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629" w:lineRule="exact"/>
        <w:ind w:left="32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2158326" cy="1034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58326" cy="1034700"/>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苏州恒久光电科技股份有限公司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公司负责人余荣清、主管会计工作负责人孙仕杰及会计机构负责人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冯芬兰声明：保证年度报告中财务报告的真实、准确、完整。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本年度报告涉及未来发展和经营计划等前瞻性陈述，不构成公司对投资者</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的实质承诺，投资者及相关人士均应当对此保持足够的风险认识，并且应当理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386" w:lineRule="auto" w:before="158"/>
        <w:ind w:left="154" w:right="1136" w:firstLine="562"/>
        <w:jc w:val="both"/>
        <w:rPr>
          <w:rFonts w:ascii="宋体" w:hAnsi="宋体" w:cs="宋体" w:eastAsia="宋体" w:hint="default"/>
          <w:sz w:val="28"/>
          <w:szCs w:val="28"/>
        </w:rPr>
      </w:pPr>
      <w:r>
        <w:rPr>
          <w:rFonts w:ascii="宋体" w:hAnsi="宋体" w:cs="宋体" w:eastAsia="宋体" w:hint="default"/>
          <w:b/>
          <w:bCs/>
          <w:spacing w:val="3"/>
          <w:sz w:val="28"/>
          <w:szCs w:val="28"/>
        </w:rPr>
        <w:t>公司已在本报告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29"/>
          <w:sz w:val="28"/>
          <w:szCs w:val="28"/>
        </w:rPr>
        <w:t> </w:t>
      </w:r>
      <w:r>
        <w:rPr>
          <w:rFonts w:ascii="宋体" w:hAnsi="宋体" w:cs="宋体" w:eastAsia="宋体" w:hint="default"/>
          <w:b/>
          <w:bCs/>
          <w:spacing w:val="3"/>
          <w:sz w:val="28"/>
          <w:szCs w:val="28"/>
        </w:rPr>
        <w:t>经营情况讨论与分析</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九、公司未来发展的展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部分详述了公司可能面临的风险与应对措施，请广大投资者查阅并注意投资</w:t>
      </w:r>
      <w:r>
        <w:rPr>
          <w:rFonts w:ascii="宋体" w:hAnsi="宋体" w:cs="宋体" w:eastAsia="宋体" w:hint="default"/>
          <w:b/>
          <w:bCs/>
          <w:w w:val="99"/>
          <w:sz w:val="28"/>
          <w:szCs w:val="28"/>
        </w:rPr>
        <w:t> </w:t>
      </w:r>
      <w:r>
        <w:rPr>
          <w:rFonts w:ascii="宋体" w:hAnsi="宋体" w:cs="宋体" w:eastAsia="宋体" w:hint="default"/>
          <w:b/>
          <w:bCs/>
          <w:sz w:val="28"/>
          <w:szCs w:val="28"/>
        </w:rPr>
        <w:t>风险。</w:t>
      </w:r>
      <w:r>
        <w:rPr>
          <w:rFonts w:ascii="宋体" w:hAnsi="宋体" w:cs="宋体" w:eastAsia="宋体" w:hint="default"/>
          <w:sz w:val="28"/>
          <w:szCs w:val="28"/>
        </w:rPr>
      </w:r>
    </w:p>
    <w:p>
      <w:pPr>
        <w:spacing w:before="185"/>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192,000,000</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向</w:t>
      </w: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w:t>
      </w:r>
      <w:r>
        <w:rPr>
          <w:rFonts w:ascii="宋体" w:hAnsi="宋体" w:cs="宋体" w:eastAsia="宋体" w:hint="default"/>
          <w:b/>
          <w:bCs/>
          <w:spacing w:val="3"/>
          <w:w w:val="99"/>
          <w:sz w:val="28"/>
          <w:szCs w:val="28"/>
        </w:rPr>
        <w:t>利</w:t>
      </w:r>
      <w:r>
        <w:rPr>
          <w:rFonts w:ascii="宋体" w:hAnsi="宋体" w:cs="宋体" w:eastAsia="宋体" w:hint="default"/>
          <w:b/>
          <w:bCs/>
          <w:spacing w:val="2"/>
          <w:w w:val="99"/>
          <w:sz w:val="28"/>
          <w:szCs w:val="28"/>
        </w:rPr>
        <w:t>人</w:t>
      </w:r>
      <w:r>
        <w:rPr>
          <w:rFonts w:ascii="宋体" w:hAnsi="宋体" w:cs="宋体" w:eastAsia="宋体" w:hint="default"/>
          <w:b/>
          <w:bCs/>
          <w:w w:val="99"/>
          <w:sz w:val="28"/>
          <w:szCs w:val="28"/>
        </w:rPr>
        <w:t>民币</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以资本公积金向全体股东每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tabs>
          <w:tab w:pos="883" w:val="left" w:leader="none"/>
        </w:tabs>
        <w:spacing w:line="540" w:lineRule="exact" w:before="0"/>
        <w:ind w:left="0" w:right="977"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5"/>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360"/>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27</w:t>
            </w:r>
          </w:hyperlink>
        </w:p>
        <w:p>
          <w:pPr>
            <w:pStyle w:val="TOC1"/>
            <w:tabs>
              <w:tab w:pos="9783" w:val="right" w:leader="dot"/>
            </w:tabs>
            <w:spacing w:line="240" w:lineRule="auto" w:before="360"/>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54</w:t>
            </w:r>
          </w:hyperlink>
        </w:p>
        <w:p>
          <w:pPr>
            <w:pStyle w:val="TOC1"/>
            <w:tabs>
              <w:tab w:pos="9783" w:val="right" w:leader="dot"/>
            </w:tabs>
            <w:spacing w:line="240" w:lineRule="auto" w:before="360"/>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60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68</w:t>
            </w:r>
          </w:hyperlink>
        </w:p>
        <w:p>
          <w:pPr>
            <w:pStyle w:val="TOC1"/>
            <w:tabs>
              <w:tab w:pos="9783" w:val="right" w:leader="dot"/>
            </w:tabs>
            <w:spacing w:line="240" w:lineRule="auto" w:before="360"/>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171</w:t>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苏州恒久、恒久科技、公司、本公司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吴中恒久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恒久欧洲</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GOLDENGREEN TECHNOLOGIES EU</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恒久国际</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GOLDENGREEN</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TECHNOLOGIES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司全资孙公司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恒久数码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环球影像</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94"/>
              <w:jc w:val="left"/>
              <w:rPr>
                <w:rFonts w:ascii="宋体" w:hAnsi="宋体" w:cs="宋体" w:eastAsia="宋体" w:hint="default"/>
                <w:sz w:val="18"/>
                <w:szCs w:val="18"/>
              </w:rPr>
            </w:pPr>
            <w:r>
              <w:rPr>
                <w:rFonts w:ascii="宋体" w:hAnsi="宋体" w:cs="宋体" w:eastAsia="宋体" w:hint="default"/>
                <w:sz w:val="18"/>
                <w:szCs w:val="18"/>
              </w:rPr>
              <w:t>环球影像系统有限公司（</w:t>
            </w:r>
            <w:r>
              <w:rPr>
                <w:rFonts w:ascii="Times New Roman" w:hAnsi="Times New Roman" w:cs="Times New Roman" w:eastAsia="Times New Roman" w:hint="default"/>
                <w:sz w:val="18"/>
                <w:szCs w:val="18"/>
              </w:rPr>
              <w:t>Global </w:t>
            </w:r>
            <w:r>
              <w:rPr>
                <w:rFonts w:ascii="Times New Roman" w:hAnsi="Times New Roman" w:cs="Times New Roman" w:eastAsia="Times New Roman" w:hint="default"/>
                <w:spacing w:val="-1"/>
                <w:sz w:val="18"/>
                <w:szCs w:val="18"/>
              </w:rPr>
              <w:t>Imaging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System</w:t>
            </w:r>
            <w:r>
              <w:rPr>
                <w:rFonts w:ascii="Times New Roman" w:hAnsi="Times New Roman" w:cs="Times New Roman" w:eastAsia="Times New Roman" w:hint="default"/>
                <w:spacing w:val="8"/>
                <w:w w:val="99"/>
                <w:sz w:val="18"/>
                <w:szCs w:val="18"/>
              </w:rPr>
              <w:t> </w:t>
            </w:r>
            <w:r>
              <w:rPr>
                <w:rFonts w:ascii="Times New Roman" w:hAnsi="Times New Roman" w:cs="Times New Roman" w:eastAsia="Times New Roman" w:hint="default"/>
                <w:spacing w:val="-7"/>
                <w:sz w:val="18"/>
                <w:szCs w:val="18"/>
              </w:rPr>
              <w:t>Limited</w:t>
            </w:r>
            <w:r>
              <w:rPr>
                <w:rFonts w:ascii="宋体" w:hAnsi="宋体" w:cs="宋体" w:eastAsia="宋体" w:hint="default"/>
                <w:spacing w:val="-7"/>
                <w:sz w:val="18"/>
                <w:szCs w:val="18"/>
              </w:rPr>
              <w:t>），公司全资</w:t>
            </w:r>
            <w:r>
              <w:rPr>
                <w:rFonts w:ascii="宋体" w:hAnsi="宋体" w:cs="宋体" w:eastAsia="宋体" w:hint="default"/>
                <w:sz w:val="18"/>
                <w:szCs w:val="18"/>
              </w:rPr>
              <w:t> 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恒久保理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恒久高新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除特别注明外，其余均指人民币元、人民币万元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激光有机光导鼓、有机光导鼓、激光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鼓</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激光有机光导鼓是鼓粉盒（硒鼓）中的最核心部件，用于将信息经光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电转换而成为输出的文字或图像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91"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硒鼓</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0"/>
              <w:jc w:val="left"/>
              <w:rPr>
                <w:rFonts w:ascii="宋体" w:hAnsi="宋体" w:cs="宋体" w:eastAsia="宋体" w:hint="default"/>
                <w:sz w:val="18"/>
                <w:szCs w:val="18"/>
              </w:rPr>
            </w:pPr>
            <w:r>
              <w:rPr>
                <w:rFonts w:ascii="宋体" w:hAnsi="宋体" w:cs="宋体" w:eastAsia="宋体" w:hint="default"/>
                <w:sz w:val="18"/>
                <w:szCs w:val="18"/>
              </w:rPr>
              <w:t>打印机、复印机、多功能一体机中关键的成像部件，由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鼓、碳 </w:t>
            </w:r>
            <w:r>
              <w:rPr>
                <w:rFonts w:ascii="宋体" w:hAnsi="宋体" w:cs="宋体" w:eastAsia="宋体" w:hint="default"/>
                <w:spacing w:val="-2"/>
                <w:sz w:val="18"/>
                <w:szCs w:val="18"/>
              </w:rPr>
              <w:t>粉、充电辊、磁辊、清洁组件、塑胶组件等构成，它不仅决定了打印</w:t>
            </w:r>
          </w:p>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（复印）质量的好坏，还决定了使用者在使用过程中需支付的费用</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碳粉</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2"/>
              <w:jc w:val="both"/>
              <w:rPr>
                <w:rFonts w:ascii="宋体" w:hAnsi="宋体" w:cs="宋体" w:eastAsia="宋体" w:hint="default"/>
                <w:sz w:val="18"/>
                <w:szCs w:val="18"/>
              </w:rPr>
            </w:pPr>
            <w:r>
              <w:rPr>
                <w:rFonts w:ascii="宋体" w:hAnsi="宋体" w:cs="宋体" w:eastAsia="宋体" w:hint="default"/>
                <w:spacing w:val="-4"/>
                <w:sz w:val="18"/>
                <w:szCs w:val="18"/>
              </w:rPr>
              <w:t>学名色调剂（</w:t>
            </w:r>
            <w:r>
              <w:rPr>
                <w:rFonts w:ascii="Times New Roman" w:hAnsi="Times New Roman" w:cs="Times New Roman" w:eastAsia="Times New Roman" w:hint="default"/>
                <w:spacing w:val="-4"/>
                <w:sz w:val="18"/>
                <w:szCs w:val="18"/>
              </w:rPr>
              <w:t>Toner</w:t>
            </w:r>
            <w:r>
              <w:rPr>
                <w:rFonts w:ascii="宋体" w:hAnsi="宋体" w:cs="宋体" w:eastAsia="宋体" w:hint="default"/>
                <w:spacing w:val="-4"/>
                <w:sz w:val="18"/>
                <w:szCs w:val="18"/>
              </w:rPr>
              <w:t>）、静电显影剂，是显影过程中使静电潜像成为可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见图像的粉末状材料，最终通过定影过程被固定在纸张上形成文字或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图像，是打印机、复印机、多功能一体机等办公设备的核心消耗材料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之一</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832840"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恒久科技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002808</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恒久科技</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恒久科技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Suzhou Goldengreen Technologies</w:t>
            </w:r>
            <w:r>
              <w:rPr>
                <w:rFonts w:ascii="Times New Roman"/>
                <w:spacing w:val="-2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SGT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余荣清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215011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215011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www.sgt21.com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孙仕杰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张漪萌</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苏州市高新区火炬路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0512-82278868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admin@sgt21.com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2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91320500737061190F</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2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254"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夏利忠、卢吉</w:t>
            </w:r>
          </w:p>
        </w:tc>
      </w:tr>
    </w:tbl>
    <w:p>
      <w:pPr>
        <w:pStyle w:val="BodyText"/>
        <w:spacing w:line="240" w:lineRule="auto" w:before="51"/>
        <w:ind w:left="254" w:right="0"/>
        <w:jc w:val="left"/>
      </w:pPr>
      <w:r>
        <w:rPr/>
        <w:t>公司聘请的报告期内履行持续督导职责的保荐机构</w:t>
      </w:r>
    </w:p>
    <w:p>
      <w:pPr>
        <w:pStyle w:val="BodyText"/>
        <w:spacing w:line="240" w:lineRule="auto" w:before="117"/>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张悦、郭玉良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日至公司募集 资金使用完毕之日</w:t>
            </w:r>
          </w:p>
        </w:tc>
      </w:tr>
    </w:tbl>
    <w:p>
      <w:pPr>
        <w:pStyle w:val="BodyText"/>
        <w:spacing w:line="240" w:lineRule="auto" w:before="51"/>
        <w:ind w:left="254" w:right="0"/>
        <w:jc w:val="left"/>
      </w:pPr>
      <w:r>
        <w:rPr/>
        <w:t>公司聘请的报告期内履行持续督导职责的财务顾问</w:t>
      </w:r>
    </w:p>
    <w:p>
      <w:pPr>
        <w:pStyle w:val="BodyText"/>
        <w:spacing w:line="240" w:lineRule="auto" w:before="117"/>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254" w:right="0"/>
        <w:jc w:val="left"/>
      </w:pPr>
      <w:r>
        <w:rPr/>
        <w:t>公司是否需追溯调整或重述以前年度会计数据</w:t>
      </w:r>
    </w:p>
    <w:p>
      <w:pPr>
        <w:pStyle w:val="BodyText"/>
        <w:spacing w:line="240" w:lineRule="auto" w:before="117"/>
        <w:ind w:left="2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740"/>
        <w:gridCol w:w="335"/>
        <w:gridCol w:w="1415"/>
        <w:gridCol w:w="1736"/>
        <w:gridCol w:w="1738"/>
        <w:gridCol w:w="1735"/>
      </w:tblGrid>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318,813,645.89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286,359,847.67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274,682,192.25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w:t>
            </w:r>
            <w:r>
              <w:rPr>
                <w:rFonts w:ascii="宋体" w:hAnsi="宋体" w:cs="宋体" w:eastAsia="宋体" w:hint="default"/>
                <w:spacing w:val="-83"/>
                <w:sz w:val="18"/>
                <w:szCs w:val="18"/>
              </w:rPr>
              <w:t>润</w:t>
            </w:r>
            <w:r>
              <w:rPr>
                <w:rFonts w:ascii="宋体" w:hAnsi="宋体" w:cs="宋体" w:eastAsia="宋体" w:hint="default"/>
                <w:sz w:val="18"/>
                <w:szCs w:val="18"/>
              </w:rPr>
              <w:t>（元</w:t>
            </w:r>
          </w:p>
        </w:tc>
        <w:tc>
          <w:tcPr>
            <w:tcW w:w="33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34,659,747.32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30,446,607.75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41,047,172.04</w:t>
            </w:r>
          </w:p>
        </w:tc>
      </w:tr>
      <w:tr>
        <w:trPr>
          <w:trHeight w:val="714"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32,739,514.17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26,500,038.70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38,223,707.60</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r>
              <w:rPr>
                <w:rFonts w:ascii="宋体" w:hAnsi="宋体" w:cs="宋体" w:eastAsia="宋体" w:hint="default"/>
                <w:spacing w:val="-83"/>
                <w:sz w:val="18"/>
                <w:szCs w:val="18"/>
              </w:rPr>
              <w:t>额</w:t>
            </w:r>
            <w:r>
              <w:rPr>
                <w:rFonts w:ascii="宋体" w:hAnsi="宋体" w:cs="宋体" w:eastAsia="宋体" w:hint="default"/>
                <w:sz w:val="18"/>
                <w:szCs w:val="18"/>
              </w:rPr>
              <w:t>（元</w:t>
            </w:r>
          </w:p>
        </w:tc>
        <w:tc>
          <w:tcPr>
            <w:tcW w:w="33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-35,016,238.51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2,730,869.44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-1,382.24%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46,775,637.54</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0.256</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0.256</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687,339,463.82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622,898,240.51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574,496,856.65</w:t>
            </w:r>
          </w:p>
        </w:tc>
      </w:tr>
      <w:tr>
        <w:trPr>
          <w:trHeight w:val="402" w:hRule="exact"/>
        </w:trPr>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w:t>
            </w:r>
            <w:r>
              <w:rPr>
                <w:rFonts w:ascii="宋体" w:hAnsi="宋体" w:cs="宋体" w:eastAsia="宋体" w:hint="default"/>
                <w:spacing w:val="-83"/>
                <w:sz w:val="18"/>
                <w:szCs w:val="18"/>
              </w:rPr>
              <w:t>产</w:t>
            </w:r>
            <w:r>
              <w:rPr>
                <w:rFonts w:ascii="宋体" w:hAnsi="宋体" w:cs="宋体" w:eastAsia="宋体" w:hint="default"/>
                <w:sz w:val="18"/>
                <w:szCs w:val="18"/>
              </w:rPr>
              <w:t>（元</w:t>
            </w:r>
          </w:p>
        </w:tc>
        <w:tc>
          <w:tcPr>
            <w:tcW w:w="33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566,624,941.71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540,957,167.11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523,077,850.03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60,867,612.28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74,559,048.82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89,389,655.82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93,997,328.97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3,314,904.92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9,705,878.59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10,527,713.50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11,111,250.31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3,660,463.73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8,821,689.73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10,171,625.88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10,085,734.83</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-25,366,189.06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-17,675,673.25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-17,882,399.07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25,908,022.87</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394"/>
        <w:gridCol w:w="1418"/>
        <w:gridCol w:w="1418"/>
        <w:gridCol w:w="2054"/>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-15,716.40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-18,689.86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r>
              <w:rPr>
                <w:rFonts w:ascii="Times New Roman"/>
                <w:sz w:val="18"/>
              </w:rPr>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607,416.73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531,456.44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1,648,819.55</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394"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-83,983.33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1,868,294.77</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4,327,546.49</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692,665.51</w:t>
            </w:r>
          </w:p>
        </w:tc>
        <w:tc>
          <w:tcPr>
            <w:tcW w:w="205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投资银行理财产品取得的 投资收益</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3,067,159.77</w:t>
            </w:r>
            <w:r>
              <w:rPr>
                <w:rFonts w:ascii="宋体" w:hAnsi="宋体" w:cs="宋体" w:eastAsia="宋体" w:hint="default"/>
                <w:spacing w:val="-11"/>
                <w:sz w:val="18"/>
                <w:szCs w:val="18"/>
              </w:rPr>
              <w:t>；处</w:t>
            </w:r>
            <w:r>
              <w:rPr>
                <w:rFonts w:ascii="宋体" w:hAnsi="宋体" w:cs="宋体" w:eastAsia="宋体" w:hint="default"/>
                <w:spacing w:val="-83"/>
                <w:sz w:val="18"/>
                <w:szCs w:val="18"/>
              </w:rPr>
              <w:t> </w:t>
            </w:r>
            <w:r>
              <w:rPr>
                <w:rFonts w:ascii="宋体" w:hAnsi="宋体" w:cs="宋体" w:eastAsia="宋体" w:hint="default"/>
                <w:sz w:val="18"/>
                <w:szCs w:val="18"/>
              </w:rPr>
              <w:t>置衍生金融工具取得的投</w:t>
            </w:r>
            <w:r>
              <w:rPr>
                <w:rFonts w:ascii="宋体" w:hAnsi="宋体" w:cs="宋体" w:eastAsia="宋体" w:hint="default"/>
                <w:sz w:val="18"/>
                <w:szCs w:val="18"/>
              </w:rPr>
              <w:t> </w:t>
            </w:r>
            <w:r>
              <w:rPr>
                <w:rFonts w:ascii="宋体" w:hAnsi="宋体" w:cs="宋体" w:eastAsia="宋体" w:hint="default"/>
                <w:spacing w:val="-5"/>
                <w:sz w:val="18"/>
                <w:szCs w:val="18"/>
              </w:rPr>
              <w:t>资收益</w:t>
            </w:r>
            <w:r>
              <w:rPr>
                <w:rFonts w:ascii="Times New Roman" w:hAnsi="Times New Roman" w:cs="Times New Roman" w:eastAsia="Times New Roman" w:hint="default"/>
                <w:spacing w:val="-5"/>
                <w:sz w:val="18"/>
                <w:szCs w:val="18"/>
              </w:rPr>
              <w:t>-1,950,152.50</w:t>
            </w:r>
            <w:r>
              <w:rPr>
                <w:rFonts w:ascii="宋体" w:hAnsi="宋体" w:cs="宋体" w:eastAsia="宋体" w:hint="default"/>
                <w:spacing w:val="-5"/>
                <w:sz w:val="18"/>
                <w:szCs w:val="18"/>
              </w:rPr>
              <w:t>；衍生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金融工具公允价值变动收 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751,287.50</w:t>
            </w:r>
            <w:r>
              <w:rPr>
                <w:rFonts w:ascii="宋体" w:hAnsi="宋体" w:cs="宋体" w:eastAsia="宋体" w:hint="default"/>
                <w:sz w:val="18"/>
                <w:szCs w:val="18"/>
              </w:rPr>
              <w:t>。</w:t>
            </w:r>
          </w:p>
        </w:tc>
      </w:tr>
      <w:tr>
        <w:trPr>
          <w:trHeight w:val="1641"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394"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4"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0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382"/>
        <w:gridCol w:w="1418"/>
        <w:gridCol w:w="1418"/>
        <w:gridCol w:w="2054"/>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-8,766.78</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804,181.54</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530,995.17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809,295.71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321,202.16</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1,920,233.15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3,946,569.05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2,823,464.44</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spacing w:line="240" w:lineRule="auto" w:before="7"/>
        <w:rPr>
          <w:rFonts w:ascii="宋体" w:hAnsi="宋体" w:cs="宋体" w:eastAsia="宋体" w:hint="default"/>
          <w:sz w:val="12"/>
          <w:szCs w:val="12"/>
        </w:rPr>
      </w:pPr>
    </w:p>
    <w:p>
      <w:pPr>
        <w:pStyle w:val="Heading4"/>
        <w:spacing w:line="240" w:lineRule="auto"/>
        <w:ind w:right="0"/>
        <w:jc w:val="left"/>
        <w:rPr>
          <w:b w:val="0"/>
          <w:bCs w:val="0"/>
        </w:rPr>
      </w:pPr>
      <w:r>
        <w:rPr/>
        <w:t>（一）公司主要业务</w:t>
      </w:r>
      <w:r>
        <w:rPr>
          <w:b w:val="0"/>
          <w:bCs w:val="0"/>
        </w:rPr>
      </w:r>
    </w:p>
    <w:p>
      <w:pPr>
        <w:spacing w:line="240" w:lineRule="auto" w:before="4"/>
        <w:rPr>
          <w:rFonts w:ascii="宋体" w:hAnsi="宋体" w:cs="宋体" w:eastAsia="宋体" w:hint="default"/>
          <w:b/>
          <w:bCs/>
          <w:sz w:val="21"/>
          <w:szCs w:val="21"/>
        </w:rPr>
      </w:pPr>
    </w:p>
    <w:p>
      <w:pPr>
        <w:pStyle w:val="BodyText"/>
        <w:spacing w:line="355" w:lineRule="auto" w:before="0"/>
        <w:ind w:right="1132" w:firstLine="360"/>
        <w:jc w:val="both"/>
      </w:pPr>
      <w:r>
        <w:rPr/>
        <w:t>公司的核心业务为激光有机光导鼓（</w:t>
      </w:r>
      <w:r>
        <w:rPr>
          <w:rFonts w:ascii="Times New Roman" w:hAnsi="Times New Roman" w:cs="Times New Roman" w:eastAsia="Times New Roman" w:hint="default"/>
        </w:rPr>
        <w:t>Organic Photo-Conductor Drum</w:t>
      </w:r>
      <w:r>
        <w:rPr/>
        <w:t>，简称</w:t>
      </w:r>
      <w:r>
        <w:rPr>
          <w:rFonts w:ascii="Times New Roman" w:hAnsi="Times New Roman" w:cs="Times New Roman" w:eastAsia="Times New Roman" w:hint="default"/>
        </w:rPr>
        <w:t>“</w:t>
      </w:r>
      <w:r>
        <w:rPr/>
        <w:t>激光 </w:t>
      </w:r>
      <w:r>
        <w:rPr>
          <w:rFonts w:ascii="Times New Roman" w:hAnsi="Times New Roman" w:cs="Times New Roman" w:eastAsia="Times New Roman" w:hint="default"/>
        </w:rPr>
        <w:t>OPC</w:t>
      </w:r>
      <w:r>
        <w:rPr>
          <w:rFonts w:ascii="Times New Roman" w:hAnsi="Times New Roman" w:cs="Times New Roman" w:eastAsia="Times New Roman" w:hint="default"/>
          <w:spacing w:val="-2"/>
        </w:rPr>
        <w:t> </w:t>
      </w:r>
      <w:r>
        <w:rPr/>
        <w:t>鼓</w:t>
      </w:r>
      <w:r>
        <w:rPr>
          <w:rFonts w:ascii="Times New Roman" w:hAnsi="Times New Roman" w:cs="Times New Roman" w:eastAsia="Times New Roman" w:hint="default"/>
        </w:rPr>
        <w:t>”</w:t>
      </w:r>
      <w:r>
        <w:rPr/>
        <w:t>）系列产品的研发、生产和销 </w:t>
      </w:r>
      <w:r>
        <w:rPr>
          <w:spacing w:val="-2"/>
        </w:rPr>
        <w:t>售，该业务为公司的传统业务，也是公司营业收入与利润的主要来源。同时，为了更好地开拓市场与服务客户，公司也经营</w:t>
      </w:r>
      <w:r>
        <w:rPr>
          <w:spacing w:val="-66"/>
        </w:rPr>
        <w:t> </w:t>
      </w:r>
      <w:r>
        <w:rPr>
          <w:spacing w:val="-66"/>
        </w:rPr>
      </w:r>
      <w:r>
        <w:rPr/>
        <w:t>碳粉、硒鼓以及其他打复印耗材的国际与国内贸易业务。</w:t>
      </w:r>
    </w:p>
    <w:p>
      <w:pPr>
        <w:pStyle w:val="BodyText"/>
        <w:spacing w:line="240" w:lineRule="auto" w:before="37"/>
        <w:ind w:left="514" w:right="0"/>
        <w:jc w:val="left"/>
      </w:pPr>
      <w:r>
        <w:rPr/>
        <w:t>报告期内，公司主要业务没有发生重大变化。</w:t>
      </w:r>
    </w:p>
    <w:p>
      <w:pPr>
        <w:pStyle w:val="BodyText"/>
        <w:spacing w:line="510" w:lineRule="atLeast" w:before="5"/>
        <w:ind w:left="514" w:right="0" w:firstLine="1"/>
        <w:jc w:val="left"/>
      </w:pPr>
      <w:r>
        <w:rPr>
          <w:rFonts w:ascii="宋体" w:hAnsi="宋体" w:cs="宋体" w:eastAsia="宋体" w:hint="default"/>
          <w:b/>
          <w:bCs/>
        </w:rPr>
        <w:t>（二）公司主要产品及用途</w:t>
      </w:r>
      <w:r>
        <w:rPr>
          <w:rFonts w:ascii="宋体" w:hAnsi="宋体" w:cs="宋体" w:eastAsia="宋体" w:hint="default"/>
          <w:b/>
          <w:bCs/>
          <w:w w:val="99"/>
        </w:rPr>
        <w:t> </w:t>
      </w:r>
      <w:r>
        <w:rPr>
          <w:spacing w:val="-2"/>
        </w:rPr>
        <w:t>公司生产的主要产品为激光有机光导鼓系列产品。它是一类在激光的照射下能使光生载流子形成并迁移的新型高技术信</w:t>
      </w:r>
    </w:p>
    <w:p>
      <w:pPr>
        <w:pStyle w:val="BodyText"/>
        <w:spacing w:line="360" w:lineRule="auto" w:before="123"/>
        <w:ind w:right="1131"/>
        <w:jc w:val="both"/>
      </w:pPr>
      <w:r>
        <w:rPr>
          <w:spacing w:val="-2"/>
        </w:rPr>
        <w:t>息处理器件，是激光打印机、数码复印机、数字图文快印、激光传真机及多功能一体机等现代办公设备中最为核心的光电转</w:t>
      </w:r>
      <w:r>
        <w:rPr>
          <w:spacing w:val="-66"/>
        </w:rPr>
        <w:t> </w:t>
      </w:r>
      <w:r>
        <w:rPr>
          <w:spacing w:val="-66"/>
        </w:rPr>
      </w:r>
      <w:r>
        <w:rPr>
          <w:spacing w:val="-2"/>
        </w:rPr>
        <w:t>换及成像部件，直接决定打印、复印等影像输出的质量，是集现代功能材料、现代先进制造技术于一体的有机光电子信息产</w:t>
      </w:r>
      <w:r>
        <w:rPr>
          <w:spacing w:val="-66"/>
        </w:rPr>
        <w:t> </w:t>
      </w:r>
      <w:r>
        <w:rPr>
          <w:spacing w:val="-66"/>
        </w:rPr>
      </w:r>
      <w:r>
        <w:rPr>
          <w:spacing w:val="-2"/>
        </w:rPr>
        <w:t>品。激光</w:t>
      </w:r>
      <w:r>
        <w:rPr>
          <w:rFonts w:ascii="Times New Roman" w:hAnsi="Times New Roman" w:cs="Times New Roman" w:eastAsia="Times New Roman" w:hint="default"/>
          <w:spacing w:val="-2"/>
        </w:rPr>
        <w:t>OPC</w:t>
      </w:r>
      <w:r>
        <w:rPr>
          <w:spacing w:val="-2"/>
        </w:rPr>
        <w:t>鼓是鼓粉盒组件（俗称</w:t>
      </w:r>
      <w:r>
        <w:rPr>
          <w:rFonts w:ascii="Times New Roman" w:hAnsi="Times New Roman" w:cs="Times New Roman" w:eastAsia="Times New Roman" w:hint="default"/>
          <w:spacing w:val="-2"/>
        </w:rPr>
        <w:t>“</w:t>
      </w:r>
      <w:r>
        <w:rPr>
          <w:spacing w:val="-2"/>
        </w:rPr>
        <w:t>硒鼓</w:t>
      </w:r>
      <w:r>
        <w:rPr>
          <w:rFonts w:ascii="Times New Roman" w:hAnsi="Times New Roman" w:cs="Times New Roman" w:eastAsia="Times New Roman" w:hint="default"/>
          <w:spacing w:val="-2"/>
        </w:rPr>
        <w:t>”</w:t>
      </w:r>
      <w:r>
        <w:rPr>
          <w:spacing w:val="-2"/>
        </w:rPr>
        <w:t>）的核心元件，与碳粉、充电辊、磁辊及塑料件等部件共同构成完整的硒鼓，应</w:t>
      </w:r>
      <w:r>
        <w:rPr>
          <w:spacing w:val="-38"/>
        </w:rPr>
        <w:t> </w:t>
      </w:r>
      <w:r>
        <w:rPr>
          <w:spacing w:val="-38"/>
        </w:rPr>
      </w:r>
      <w:r>
        <w:rPr/>
        <w:t>用于激光打印机、数码复印机等现代化办公设备。激光</w:t>
      </w:r>
      <w:r>
        <w:rPr>
          <w:rFonts w:ascii="Times New Roman" w:hAnsi="Times New Roman" w:cs="Times New Roman" w:eastAsia="Times New Roman" w:hint="default"/>
        </w:rPr>
        <w:t>OPC</w:t>
      </w:r>
      <w:r>
        <w:rPr/>
        <w:t>鼓与碳粉、硒鼓及终端产品的具体对应关系如下：</w:t>
      </w:r>
    </w:p>
    <w:p>
      <w:pPr>
        <w:spacing w:line="240" w:lineRule="auto" w:before="2"/>
        <w:rPr>
          <w:rFonts w:ascii="宋体" w:hAnsi="宋体" w:cs="宋体" w:eastAsia="宋体" w:hint="default"/>
          <w:sz w:val="7"/>
          <w:szCs w:val="7"/>
        </w:rPr>
      </w:pPr>
    </w:p>
    <w:p>
      <w:pPr>
        <w:spacing w:line="1635" w:lineRule="exact"/>
        <w:ind w:left="2033"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3962400" cy="10382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962400" cy="1038225"/>
                    </a:xfrm>
                    <a:prstGeom prst="rect">
                      <a:avLst/>
                    </a:prstGeom>
                  </pic:spPr>
                </pic:pic>
              </a:graphicData>
            </a:graphic>
          </wp:inline>
        </w:drawing>
      </w:r>
      <w:r>
        <w:rPr>
          <w:rFonts w:ascii="宋体" w:hAnsi="宋体" w:cs="宋体" w:eastAsia="宋体" w:hint="default"/>
          <w:position w:val="-32"/>
          <w:sz w:val="20"/>
          <w:szCs w:val="20"/>
        </w:rPr>
      </w:r>
    </w:p>
    <w:p>
      <w:pPr>
        <w:pStyle w:val="BodyText"/>
        <w:spacing w:line="510" w:lineRule="atLeast" w:before="34"/>
        <w:ind w:left="514" w:right="0" w:firstLine="1"/>
        <w:jc w:val="left"/>
      </w:pPr>
      <w:r>
        <w:rPr>
          <w:rFonts w:ascii="宋体" w:hAnsi="宋体" w:cs="宋体" w:eastAsia="宋体" w:hint="default"/>
          <w:b/>
          <w:bCs/>
        </w:rPr>
        <w:t>（三）公司经营模式</w:t>
      </w:r>
      <w:r>
        <w:rPr>
          <w:rFonts w:ascii="宋体" w:hAnsi="宋体" w:cs="宋体" w:eastAsia="宋体" w:hint="default"/>
          <w:b/>
          <w:bCs/>
          <w:w w:val="99"/>
        </w:rPr>
        <w:t> </w:t>
      </w:r>
      <w:r>
        <w:rPr>
          <w:spacing w:val="-2"/>
        </w:rPr>
        <w:t>公司利用自有的核心研制技术及专用设备系统集成能力，自主研发与设计产品，依据产品设计标准及生产工艺要求，采</w:t>
      </w:r>
    </w:p>
    <w:p>
      <w:pPr>
        <w:pStyle w:val="BodyText"/>
        <w:spacing w:line="364" w:lineRule="auto" w:before="123"/>
        <w:ind w:right="1043"/>
        <w:jc w:val="both"/>
      </w:pPr>
      <w:r>
        <w:rPr>
          <w:spacing w:val="-4"/>
        </w:rPr>
        <w:t>购原辅材料，按照标准自动化的生产流程完成整个产品的制造，经验收合格并实现对外销售。公司的产品销售采用直销为主，</w:t>
      </w:r>
      <w:r>
        <w:rPr>
          <w:spacing w:val="-44"/>
        </w:rPr>
        <w:t> </w:t>
      </w:r>
      <w:r>
        <w:rPr>
          <w:spacing w:val="-44"/>
        </w:rPr>
      </w:r>
      <w:r>
        <w:rPr/>
        <w:t>经销为辅的模式。报告期内，公司的经营模式没有发生重大变化。</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（四）公司主要业绩驱动因素</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31" w:firstLine="360"/>
        <w:jc w:val="both"/>
      </w:pPr>
      <w:r>
        <w:rPr>
          <w:spacing w:val="-2"/>
        </w:rPr>
        <w:t>公司作为高新技术企业，在实际运营过程中，通过将各种专利及专有技术应用于产品生产、新型产品研发、设备技术改</w:t>
      </w:r>
      <w:r>
        <w:rPr/>
        <w:t> </w:t>
      </w:r>
      <w:r>
        <w:rPr>
          <w:spacing w:val="-2"/>
        </w:rPr>
        <w:t>造及改善镀膜材料配方，以提高产品质量及生产效率，降低成本。同时，公司密切关注市场变化，在维护与巩固现有客户的</w:t>
      </w:r>
      <w:r>
        <w:rPr>
          <w:spacing w:val="-65"/>
        </w:rPr>
        <w:t> </w:t>
      </w:r>
      <w:r>
        <w:rPr>
          <w:spacing w:val="-65"/>
        </w:rPr>
      </w:r>
      <w:r>
        <w:rPr/>
        <w:t>基础上，加大市场开拓力度，增加新区域市场覆盖，并提高高端产品的销售比例，以实现公司经济效益。</w:t>
      </w: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r>
        <w:rPr/>
        <w:t>（五）行业的周期性、区域性或季节性特征</w:t>
      </w:r>
      <w:r>
        <w:rPr>
          <w:b w:val="0"/>
          <w:bCs w:val="0"/>
        </w:rPr>
      </w:r>
    </w:p>
    <w:p>
      <w:pPr>
        <w:spacing w:line="240" w:lineRule="auto" w:before="4"/>
        <w:rPr>
          <w:rFonts w:ascii="宋体" w:hAnsi="宋体" w:cs="宋体" w:eastAsia="宋体" w:hint="default"/>
          <w:b/>
          <w:bCs/>
          <w:sz w:val="21"/>
          <w:szCs w:val="21"/>
        </w:rPr>
      </w:pPr>
    </w:p>
    <w:p>
      <w:pPr>
        <w:pStyle w:val="BodyText"/>
        <w:spacing w:line="345" w:lineRule="auto" w:before="0"/>
        <w:ind w:right="1131" w:firstLine="360"/>
        <w:jc w:val="both"/>
      </w:pPr>
      <w:r>
        <w:rPr/>
        <w:t>激光</w:t>
      </w:r>
      <w:r>
        <w:rPr>
          <w:spacing w:val="-37"/>
        </w:rPr>
        <w:t> </w:t>
      </w:r>
      <w:r>
        <w:rPr>
          <w:rFonts w:ascii="Times New Roman" w:hAnsi="Times New Roman" w:cs="Times New Roman" w:eastAsia="Times New Roman" w:hint="default"/>
        </w:rPr>
        <w:t>OPC</w:t>
      </w:r>
      <w:r>
        <w:rPr>
          <w:rFonts w:ascii="Times New Roman" w:hAnsi="Times New Roman" w:cs="Times New Roman" w:eastAsia="Times New Roman" w:hint="default"/>
          <w:spacing w:val="8"/>
        </w:rPr>
        <w:t> </w:t>
      </w:r>
      <w:r>
        <w:rPr/>
        <w:t>鼓属于办公耗材，没有明显的销售淡季和旺季，因此本行业不存在明显的周期性和季节性特征，但通常每年 下半年的市场需求较上半年更为旺盛。</w:t>
      </w:r>
    </w:p>
    <w:p>
      <w:pPr>
        <w:spacing w:after="0" w:line="345" w:lineRule="auto"/>
        <w:jc w:val="both"/>
        <w:sectPr>
          <w:pgSz w:w="11910" w:h="16840"/>
          <w:pgMar w:header="747" w:footer="979" w:top="1060" w:bottom="1160" w:left="980" w:right="0"/>
        </w:sectPr>
      </w:pPr>
    </w:p>
    <w:p>
      <w:pPr>
        <w:spacing w:line="240" w:lineRule="auto" w:before="8"/>
        <w:rPr>
          <w:rFonts w:ascii="宋体" w:hAnsi="宋体" w:cs="宋体" w:eastAsia="宋体" w:hint="default"/>
          <w:sz w:val="27"/>
          <w:szCs w:val="27"/>
        </w:rPr>
      </w:pPr>
    </w:p>
    <w:p>
      <w:pPr>
        <w:pStyle w:val="BodyText"/>
        <w:spacing w:line="355" w:lineRule="auto"/>
        <w:ind w:right="1095" w:firstLine="360"/>
        <w:jc w:val="both"/>
      </w:pPr>
      <w:r>
        <w:rPr>
          <w:spacing w:val="-2"/>
        </w:rPr>
        <w:t>在我国，由于打复印耗材的生产主要集中在以广东省为主的珠江三角洲地区，特别是珠海作为世界打印耗材之都，集中</w:t>
      </w:r>
      <w:r>
        <w:rPr/>
        <w:t> 了全球排名前几位的通用耗材生产厂家，对激光 </w:t>
      </w:r>
      <w:r>
        <w:rPr>
          <w:rFonts w:ascii="Times New Roman" w:hAnsi="Times New Roman" w:cs="Times New Roman" w:eastAsia="Times New Roman" w:hint="default"/>
        </w:rPr>
        <w:t>OPC</w:t>
      </w:r>
      <w:r>
        <w:rPr>
          <w:rFonts w:ascii="Times New Roman" w:hAnsi="Times New Roman" w:cs="Times New Roman" w:eastAsia="Times New Roman" w:hint="default"/>
          <w:spacing w:val="9"/>
        </w:rPr>
        <w:t> </w:t>
      </w:r>
      <w:r>
        <w:rPr/>
        <w:t>鼓的采购量较大，但由于产品的终端用户遍布全国，乃至世界各地， 因此就产品的终端用户来说，不存在明显的区域性特征。</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r>
        <w:rPr/>
        <w:t>（六）公司所属行业的发展阶段以及公司所处的行业地位</w:t>
      </w:r>
      <w:r>
        <w:rPr>
          <w:b w:val="0"/>
          <w:bCs w:val="0"/>
        </w:rPr>
      </w:r>
    </w:p>
    <w:p>
      <w:pPr>
        <w:spacing w:line="240" w:lineRule="auto" w:before="4"/>
        <w:rPr>
          <w:rFonts w:ascii="宋体" w:hAnsi="宋体" w:cs="宋体" w:eastAsia="宋体" w:hint="default"/>
          <w:b/>
          <w:bCs/>
          <w:sz w:val="21"/>
          <w:szCs w:val="21"/>
        </w:rPr>
      </w:pPr>
    </w:p>
    <w:p>
      <w:pPr>
        <w:pStyle w:val="BodyText"/>
        <w:spacing w:line="352" w:lineRule="auto" w:before="0"/>
        <w:ind w:right="1131" w:firstLine="360"/>
        <w:jc w:val="both"/>
      </w:pPr>
      <w:r>
        <w:rPr>
          <w:rFonts w:ascii="Times New Roman" w:hAnsi="Times New Roman" w:cs="Times New Roman" w:eastAsia="Times New Roman" w:hint="default"/>
          <w:spacing w:val="-2"/>
        </w:rPr>
        <w:t>2000</w:t>
      </w:r>
      <w:r>
        <w:rPr>
          <w:spacing w:val="-2"/>
        </w:rPr>
        <w:t>年，我国引进了第一条</w:t>
      </w:r>
      <w:r>
        <w:rPr>
          <w:rFonts w:ascii="Times New Roman" w:hAnsi="Times New Roman" w:cs="Times New Roman" w:eastAsia="Times New Roman" w:hint="default"/>
          <w:spacing w:val="-2"/>
        </w:rPr>
        <w:t>OPC</w:t>
      </w:r>
      <w:r>
        <w:rPr>
          <w:spacing w:val="-2"/>
        </w:rPr>
        <w:t>鼓涂布生产线，开始了我国</w:t>
      </w:r>
      <w:r>
        <w:rPr>
          <w:rFonts w:ascii="Times New Roman" w:hAnsi="Times New Roman" w:cs="Times New Roman" w:eastAsia="Times New Roman" w:hint="default"/>
          <w:spacing w:val="-2"/>
        </w:rPr>
        <w:t>OPC</w:t>
      </w:r>
      <w:r>
        <w:rPr>
          <w:spacing w:val="-2"/>
        </w:rPr>
        <w:t>鼓的产业化进程。在国家政策的支持下，经过国内企业</w:t>
      </w:r>
      <w:r>
        <w:rPr/>
        <w:t> </w:t>
      </w:r>
      <w:r>
        <w:rPr>
          <w:spacing w:val="-2"/>
        </w:rPr>
        <w:t>的不断努力与创新，我国激光</w:t>
      </w:r>
      <w:r>
        <w:rPr>
          <w:rFonts w:ascii="Times New Roman" w:hAnsi="Times New Roman" w:cs="Times New Roman" w:eastAsia="Times New Roman" w:hint="default"/>
          <w:spacing w:val="-2"/>
        </w:rPr>
        <w:t>OPC</w:t>
      </w:r>
      <w:r>
        <w:rPr>
          <w:spacing w:val="-2"/>
        </w:rPr>
        <w:t>鼓产业取得了长足的发展和显著的成就。与此同时，随着市场的发展，行业内原装配套厂</w:t>
      </w:r>
      <w:r>
        <w:rPr>
          <w:spacing w:val="-54"/>
        </w:rPr>
        <w:t> </w:t>
      </w:r>
      <w:r>
        <w:rPr>
          <w:spacing w:val="-54"/>
        </w:rPr>
      </w:r>
      <w:r>
        <w:rPr>
          <w:spacing w:val="-2"/>
        </w:rPr>
        <w:t>商与通用耗材企业之间、各通用耗材企业之间的竞争也在不断加剧，行业已发展至充分竞争阶段，不具有自主研发能力与技</w:t>
      </w:r>
      <w:r>
        <w:rPr>
          <w:spacing w:val="-66"/>
        </w:rPr>
        <w:t> </w:t>
      </w:r>
      <w:r>
        <w:rPr>
          <w:spacing w:val="-66"/>
        </w:rPr>
      </w:r>
      <w:r>
        <w:rPr/>
        <w:t>术创新能力的企业将被淘汰，行业优秀资源将向有显著成本、品质及技术优势的企业集中。</w:t>
      </w:r>
    </w:p>
    <w:p>
      <w:pPr>
        <w:pStyle w:val="BodyText"/>
        <w:spacing w:line="345" w:lineRule="auto" w:before="38"/>
        <w:ind w:right="0" w:firstLine="405"/>
        <w:jc w:val="left"/>
      </w:pPr>
      <w:r>
        <w:rPr>
          <w:rFonts w:ascii="Times New Roman" w:hAnsi="Times New Roman" w:cs="Times New Roman" w:eastAsia="Times New Roman" w:hint="default"/>
        </w:rPr>
        <w:t>2003</w:t>
      </w:r>
      <w:r>
        <w:rPr/>
        <w:t>年，公司在国内率先以自有技术建成了一条高度自动化的高分辨力激光</w:t>
      </w:r>
      <w:r>
        <w:rPr>
          <w:rFonts w:ascii="Times New Roman" w:hAnsi="Times New Roman" w:cs="Times New Roman" w:eastAsia="Times New Roman" w:hint="default"/>
        </w:rPr>
        <w:t>OPC</w:t>
      </w:r>
      <w:r>
        <w:rPr/>
        <w:t>鼓生产线，并成为国内第一家掌握高 </w:t>
      </w:r>
      <w:r>
        <w:rPr>
          <w:spacing w:val="-2"/>
        </w:rPr>
        <w:t>分辨力激光</w:t>
      </w:r>
      <w:r>
        <w:rPr>
          <w:rFonts w:ascii="Times New Roman" w:hAnsi="Times New Roman" w:cs="Times New Roman" w:eastAsia="Times New Roman" w:hint="default"/>
          <w:spacing w:val="-2"/>
        </w:rPr>
        <w:t>OPC</w:t>
      </w:r>
      <w:r>
        <w:rPr>
          <w:spacing w:val="-2"/>
        </w:rPr>
        <w:t>鼓生产工艺和生产线集成技术的厂家，摆脱了过去激光</w:t>
      </w:r>
      <w:r>
        <w:rPr>
          <w:rFonts w:ascii="Times New Roman" w:hAnsi="Times New Roman" w:cs="Times New Roman" w:eastAsia="Times New Roman" w:hint="default"/>
          <w:spacing w:val="-2"/>
        </w:rPr>
        <w:t>OPC</w:t>
      </w:r>
      <w:r>
        <w:rPr>
          <w:spacing w:val="-2"/>
        </w:rPr>
        <w:t>鼓生产只能依赖国外设备的局面，为我国激光有</w:t>
      </w:r>
      <w:r>
        <w:rPr>
          <w:spacing w:val="-46"/>
        </w:rPr>
        <w:t> </w:t>
      </w:r>
      <w:r>
        <w:rPr>
          <w:spacing w:val="-46"/>
        </w:rPr>
      </w:r>
      <w:r>
        <w:rPr>
          <w:spacing w:val="-2"/>
        </w:rPr>
        <w:t>机光导鼓的发展掀开了新的篇章。经过多年的技术积累和生产经营，公司已发展成为在国内激光</w:t>
      </w:r>
      <w:r>
        <w:rPr>
          <w:rFonts w:ascii="Times New Roman" w:hAnsi="Times New Roman" w:cs="Times New Roman" w:eastAsia="Times New Roman" w:hint="default"/>
          <w:spacing w:val="-2"/>
        </w:rPr>
        <w:t>OPC</w:t>
      </w:r>
      <w:r>
        <w:rPr>
          <w:spacing w:val="-2"/>
        </w:rPr>
        <w:t>鼓行业具备显著的技术</w:t>
      </w:r>
      <w:r>
        <w:rPr>
          <w:spacing w:val="-53"/>
        </w:rPr>
        <w:t> </w:t>
      </w:r>
      <w:r>
        <w:rPr/>
        <w:t>和研发优势，也是目前世界上少数完整掌握激光</w:t>
      </w:r>
      <w:r>
        <w:rPr>
          <w:rFonts w:ascii="Times New Roman" w:hAnsi="Times New Roman" w:cs="Times New Roman" w:eastAsia="Times New Roman" w:hint="default"/>
        </w:rPr>
        <w:t>OPC</w:t>
      </w:r>
      <w:r>
        <w:rPr/>
        <w:t>鼓核心技术并具备专用设备系统集成能力的企业之一。</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186"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50.72%</w:t>
            </w:r>
            <w:r>
              <w:rPr>
                <w:rFonts w:ascii="宋体" w:hAnsi="宋体" w:cs="宋体" w:eastAsia="宋体" w:hint="default"/>
                <w:sz w:val="18"/>
                <w:szCs w:val="18"/>
              </w:rPr>
              <w:t>，主要系新增对外投资所致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7.93%</w:t>
            </w:r>
            <w:r>
              <w:rPr>
                <w:rFonts w:ascii="宋体" w:hAnsi="宋体" w:cs="宋体" w:eastAsia="宋体" w:hint="default"/>
                <w:sz w:val="18"/>
                <w:szCs w:val="18"/>
              </w:rPr>
              <w:t>，主要系固定资产计提折旧所致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w:t>
            </w:r>
            <w:r>
              <w:rPr>
                <w:rFonts w:ascii="宋体" w:hAnsi="宋体" w:cs="宋体" w:eastAsia="宋体" w:hint="default"/>
                <w:sz w:val="18"/>
                <w:szCs w:val="18"/>
              </w:rPr>
              <w:t>，系无形资产摊销所致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，系外汇掉期公允价值变动所致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195.70%</w:t>
            </w:r>
            <w:r>
              <w:rPr>
                <w:rFonts w:ascii="宋体" w:hAnsi="宋体" w:cs="宋体" w:eastAsia="宋体" w:hint="default"/>
                <w:sz w:val="18"/>
                <w:szCs w:val="18"/>
              </w:rPr>
              <w:t>，系应收银行承兑汇票增加所致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55.60%</w:t>
            </w:r>
            <w:r>
              <w:rPr>
                <w:rFonts w:ascii="宋体" w:hAnsi="宋体" w:cs="宋体" w:eastAsia="宋体" w:hint="default"/>
                <w:sz w:val="18"/>
                <w:szCs w:val="18"/>
              </w:rPr>
              <w:t>，系应收货款及保理款增加所致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73.31%</w:t>
            </w:r>
            <w:r>
              <w:rPr>
                <w:rFonts w:ascii="宋体" w:hAnsi="宋体" w:cs="宋体" w:eastAsia="宋体" w:hint="default"/>
                <w:sz w:val="18"/>
                <w:szCs w:val="18"/>
              </w:rPr>
              <w:t>，系预付货款增加所致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114.07%</w:t>
            </w:r>
            <w:r>
              <w:rPr>
                <w:rFonts w:ascii="宋体" w:hAnsi="宋体" w:cs="宋体" w:eastAsia="宋体" w:hint="default"/>
                <w:sz w:val="18"/>
                <w:szCs w:val="18"/>
              </w:rPr>
              <w:t>，主要系应收利息增加所致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53.99%</w:t>
            </w:r>
            <w:r>
              <w:rPr>
                <w:rFonts w:ascii="宋体" w:hAnsi="宋体" w:cs="宋体" w:eastAsia="宋体" w:hint="default"/>
                <w:sz w:val="18"/>
                <w:szCs w:val="18"/>
              </w:rPr>
              <w:t>，主要系购买银行理财产品增加所致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，主要系长期待摊费用摊销所致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58.63%</w:t>
            </w:r>
            <w:r>
              <w:rPr>
                <w:rFonts w:ascii="宋体" w:hAnsi="宋体" w:cs="宋体" w:eastAsia="宋体" w:hint="default"/>
                <w:spacing w:val="-80"/>
                <w:sz w:val="18"/>
                <w:szCs w:val="18"/>
              </w:rPr>
              <w:t>，</w:t>
            </w:r>
            <w:r>
              <w:rPr>
                <w:rFonts w:ascii="宋体" w:hAnsi="宋体" w:cs="宋体" w:eastAsia="宋体" w:hint="default"/>
                <w:sz w:val="18"/>
                <w:szCs w:val="18"/>
              </w:rPr>
              <w:t>主要系根据资产减值准备计提的递延所得税资产增加所致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98.26%</w:t>
            </w:r>
            <w:r>
              <w:rPr>
                <w:rFonts w:ascii="宋体" w:hAnsi="宋体" w:cs="宋体" w:eastAsia="宋体" w:hint="default"/>
                <w:sz w:val="18"/>
                <w:szCs w:val="18"/>
              </w:rPr>
              <w:t>，主要系收回预付款所致</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spacing w:line="240" w:lineRule="auto" w:before="10"/>
        <w:rPr>
          <w:rFonts w:ascii="宋体" w:hAnsi="宋体" w:cs="宋体" w:eastAsia="宋体" w:hint="default"/>
          <w:sz w:val="12"/>
          <w:szCs w:val="12"/>
        </w:rPr>
      </w:pPr>
    </w:p>
    <w:p>
      <w:pPr>
        <w:pStyle w:val="Heading4"/>
        <w:spacing w:line="240" w:lineRule="auto"/>
        <w:ind w:right="0"/>
        <w:jc w:val="left"/>
        <w:rPr>
          <w:b w:val="0"/>
          <w:bCs w:val="0"/>
        </w:rPr>
      </w:pPr>
      <w:r>
        <w:rPr/>
        <w:t>（</w:t>
      </w:r>
      <w:r>
        <w:rPr>
          <w:rFonts w:ascii="宋体" w:hAnsi="宋体" w:cs="宋体" w:eastAsia="宋体" w:hint="default"/>
        </w:rPr>
        <w:t>1</w:t>
      </w:r>
      <w:r>
        <w:rPr/>
        <w:t>）技术优势</w:t>
      </w:r>
      <w:r>
        <w:rPr>
          <w:b w:val="0"/>
          <w:bCs w:val="0"/>
        </w:rPr>
      </w:r>
    </w:p>
    <w:p>
      <w:pPr>
        <w:pStyle w:val="BodyText"/>
        <w:spacing w:line="514" w:lineRule="exact" w:before="77"/>
        <w:ind w:left="514" w:right="0" w:firstLine="1"/>
        <w:jc w:val="left"/>
      </w:pPr>
      <w:r>
        <w:rPr>
          <w:rFonts w:ascii="宋体" w:hAnsi="宋体" w:cs="宋体" w:eastAsia="宋体" w:hint="default"/>
          <w:b/>
          <w:bCs/>
        </w:rPr>
        <w:t>①设备集成及改造能力</w:t>
      </w:r>
      <w:r>
        <w:rPr>
          <w:rFonts w:ascii="宋体" w:hAnsi="宋体" w:cs="宋体" w:eastAsia="宋体" w:hint="default"/>
          <w:b/>
          <w:bCs/>
          <w:w w:val="99"/>
        </w:rPr>
        <w:t> </w:t>
      </w:r>
      <w:r>
        <w:rPr>
          <w:spacing w:val="-2"/>
        </w:rPr>
        <w:t>公司拥有激光有机光导鼓生产的整套工艺技术，自主研发设计适用于本公司的自动化生产线，生产线中的各主要环节均</w:t>
      </w:r>
    </w:p>
    <w:p>
      <w:pPr>
        <w:pStyle w:val="BodyText"/>
        <w:spacing w:line="364" w:lineRule="auto" w:before="45"/>
        <w:ind w:right="1132"/>
        <w:jc w:val="both"/>
      </w:pPr>
      <w:r>
        <w:rPr>
          <w:spacing w:val="-2"/>
        </w:rPr>
        <w:t>按照公司特定需求与国内的设备制造企业共同研发定制，对同行其他企业来说具有不可复制性。无论是新产品研发，还是生</w:t>
      </w:r>
      <w:r>
        <w:rPr>
          <w:spacing w:val="-66"/>
        </w:rPr>
        <w:t> </w:t>
      </w:r>
      <w:r>
        <w:rPr>
          <w:spacing w:val="-66"/>
        </w:rPr>
      </w:r>
      <w:r>
        <w:rPr>
          <w:spacing w:val="-2"/>
        </w:rPr>
        <w:t>产线中限制效率的薄弱环节，公司均能快速地对相关设备进行针对性的改造，从而增强公司对市场的应变能力或提高生产效</w:t>
      </w:r>
      <w:r>
        <w:rPr>
          <w:spacing w:val="-64"/>
        </w:rPr>
        <w:t> </w:t>
      </w:r>
      <w:r>
        <w:rPr>
          <w:spacing w:val="-64"/>
        </w:rPr>
      </w:r>
      <w:r>
        <w:rPr/>
        <w:t>率。因此，公司在设备集成及对生产线的技术改造方面较行业内其他企业具有更大的灵活性。</w:t>
      </w:r>
    </w:p>
    <w:p>
      <w:pPr>
        <w:spacing w:line="240" w:lineRule="auto" w:before="6"/>
        <w:rPr>
          <w:rFonts w:ascii="宋体" w:hAnsi="宋体" w:cs="宋体" w:eastAsia="宋体" w:hint="default"/>
          <w:sz w:val="12"/>
          <w:szCs w:val="12"/>
        </w:rPr>
      </w:pPr>
    </w:p>
    <w:p>
      <w:pPr>
        <w:pStyle w:val="Heading4"/>
        <w:spacing w:line="240" w:lineRule="auto"/>
        <w:ind w:right="0"/>
        <w:jc w:val="left"/>
        <w:rPr>
          <w:b w:val="0"/>
          <w:bCs w:val="0"/>
        </w:rPr>
      </w:pPr>
      <w:r>
        <w:rPr/>
        <w:t>②工艺流程</w:t>
      </w:r>
      <w:r>
        <w:rPr>
          <w:b w:val="0"/>
          <w:bCs w:val="0"/>
        </w:rPr>
      </w:r>
    </w:p>
    <w:p>
      <w:pPr>
        <w:spacing w:line="240" w:lineRule="auto" w:before="7"/>
        <w:rPr>
          <w:rFonts w:ascii="宋体" w:hAnsi="宋体" w:cs="宋体" w:eastAsia="宋体" w:hint="default"/>
          <w:b/>
          <w:bCs/>
          <w:sz w:val="19"/>
          <w:szCs w:val="19"/>
        </w:rPr>
      </w:pPr>
    </w:p>
    <w:p>
      <w:pPr>
        <w:pStyle w:val="BodyText"/>
        <w:spacing w:line="355" w:lineRule="auto" w:before="0"/>
        <w:ind w:right="1130" w:firstLine="360"/>
        <w:jc w:val="both"/>
      </w:pPr>
      <w:r>
        <w:rPr>
          <w:spacing w:val="-1"/>
        </w:rPr>
        <w:t>公司针对激光有机光导鼓的生产特点，研制开发出独特的</w:t>
      </w:r>
      <w:r>
        <w:rPr>
          <w:rFonts w:ascii="Times New Roman" w:hAnsi="Times New Roman" w:cs="Times New Roman" w:eastAsia="Times New Roman" w:hint="default"/>
          <w:spacing w:val="-1"/>
        </w:rPr>
        <w:t>“</w:t>
      </w:r>
      <w:r>
        <w:rPr>
          <w:spacing w:val="-1"/>
        </w:rPr>
        <w:t>一体两翼，双线联动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连续镀膜，一次成型</w:t>
      </w:r>
      <w:r>
        <w:rPr>
          <w:rFonts w:ascii="Times New Roman" w:hAnsi="Times New Roman" w:cs="Times New Roman" w:eastAsia="Times New Roman" w:hint="default"/>
          <w:spacing w:val="-1"/>
        </w:rPr>
        <w:t>”</w:t>
      </w:r>
      <w:r>
        <w:rPr>
          <w:spacing w:val="-1"/>
        </w:rPr>
        <w:t>、自动视检与</w:t>
      </w:r>
      <w:r>
        <w:rPr/>
        <w:t> </w:t>
      </w:r>
      <w:r>
        <w:rPr>
          <w:spacing w:val="-2"/>
        </w:rPr>
        <w:t>装配等技术及工艺，有效缩短了生产工艺流程，降低成本。同时，公司能根据不同产品的生产及技术特点，不断对产线实现</w:t>
      </w:r>
      <w:r>
        <w:rPr>
          <w:spacing w:val="-66"/>
        </w:rPr>
        <w:t> </w:t>
      </w:r>
      <w:r>
        <w:rPr>
          <w:spacing w:val="-66"/>
        </w:rPr>
      </w:r>
      <w:r>
        <w:rPr/>
        <w:t>循环升级优化，持续提高工艺流程的效率与自动化水平。</w:t>
      </w:r>
    </w:p>
    <w:p>
      <w:pPr>
        <w:spacing w:line="240" w:lineRule="auto" w:before="13"/>
        <w:rPr>
          <w:rFonts w:ascii="宋体" w:hAnsi="宋体" w:cs="宋体" w:eastAsia="宋体" w:hint="default"/>
          <w:sz w:val="12"/>
          <w:szCs w:val="12"/>
        </w:rPr>
      </w:pPr>
    </w:p>
    <w:p>
      <w:pPr>
        <w:pStyle w:val="Heading4"/>
        <w:spacing w:line="240" w:lineRule="auto"/>
        <w:ind w:right="0"/>
        <w:jc w:val="left"/>
        <w:rPr>
          <w:b w:val="0"/>
          <w:bCs w:val="0"/>
        </w:rPr>
      </w:pPr>
      <w:r>
        <w:rPr/>
        <w:t>③镀膜配方</w:t>
      </w:r>
      <w:r>
        <w:rPr>
          <w:b w:val="0"/>
          <w:bCs w:val="0"/>
        </w:rPr>
      </w:r>
    </w:p>
    <w:p>
      <w:pPr>
        <w:spacing w:line="240" w:lineRule="auto" w:before="7"/>
        <w:rPr>
          <w:rFonts w:ascii="宋体" w:hAnsi="宋体" w:cs="宋体" w:eastAsia="宋体" w:hint="default"/>
          <w:b/>
          <w:bCs/>
          <w:sz w:val="19"/>
          <w:szCs w:val="19"/>
        </w:rPr>
      </w:pPr>
    </w:p>
    <w:p>
      <w:pPr>
        <w:pStyle w:val="BodyText"/>
        <w:spacing w:line="355" w:lineRule="auto" w:before="0"/>
        <w:ind w:right="1024" w:firstLine="360"/>
        <w:jc w:val="left"/>
      </w:pPr>
      <w:r>
        <w:rPr>
          <w:spacing w:val="-3"/>
        </w:rPr>
        <w:t>作为激光</w:t>
      </w:r>
      <w:r>
        <w:rPr>
          <w:rFonts w:ascii="Times New Roman" w:hAnsi="Times New Roman" w:cs="Times New Roman" w:eastAsia="Times New Roman" w:hint="default"/>
          <w:spacing w:val="-3"/>
        </w:rPr>
        <w:t>OPC</w:t>
      </w:r>
      <w:r>
        <w:rPr>
          <w:spacing w:val="-3"/>
        </w:rPr>
        <w:t>鼓生产的核心环节，在镀膜液配方的研制方面，公司通过多年研发与技术积累，在保证产品质量的前提下，</w:t>
      </w:r>
      <w:r>
        <w:rPr/>
        <w:t> </w:t>
      </w:r>
      <w:r>
        <w:rPr>
          <w:spacing w:val="-2"/>
        </w:rPr>
        <w:t>能根据不同产品的性能要求，研制出成膜性高、性能稳定、高迁移率的多种镀膜材料技术配方。同时，公司能根据对现有产</w:t>
      </w:r>
      <w:r>
        <w:rPr>
          <w:spacing w:val="-66"/>
        </w:rPr>
        <w:t> </w:t>
      </w:r>
      <w:r>
        <w:rPr>
          <w:spacing w:val="-66"/>
        </w:rPr>
      </w:r>
      <w:r>
        <w:rPr/>
        <w:t>品镀膜的监测情况，积极优选与改进镀膜材料，进一步研发出高性能、低成本的镀膜配方，提高印品品质的同时降低成本。</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r>
        <w:rPr/>
        <w:t>（</w:t>
      </w:r>
      <w:r>
        <w:rPr>
          <w:rFonts w:ascii="宋体" w:hAnsi="宋体" w:cs="宋体" w:eastAsia="宋体" w:hint="default"/>
        </w:rPr>
        <w:t>2</w:t>
      </w:r>
      <w:r>
        <w:rPr/>
        <w:t>）研发优势</w:t>
      </w:r>
      <w:r>
        <w:rPr>
          <w:b w:val="0"/>
          <w:bCs w:val="0"/>
        </w:rPr>
      </w:r>
    </w:p>
    <w:p>
      <w:pPr>
        <w:spacing w:line="240" w:lineRule="auto" w:before="4"/>
        <w:rPr>
          <w:rFonts w:ascii="宋体" w:hAnsi="宋体" w:cs="宋体" w:eastAsia="宋体" w:hint="default"/>
          <w:b/>
          <w:bCs/>
          <w:sz w:val="21"/>
          <w:szCs w:val="21"/>
        </w:rPr>
      </w:pPr>
    </w:p>
    <w:p>
      <w:pPr>
        <w:pStyle w:val="BodyText"/>
        <w:spacing w:line="350" w:lineRule="auto" w:before="0"/>
        <w:ind w:right="1131" w:firstLine="360"/>
        <w:jc w:val="both"/>
      </w:pPr>
      <w:r>
        <w:rPr/>
        <w:t>公司设有</w:t>
      </w:r>
      <w:r>
        <w:rPr>
          <w:rFonts w:ascii="Times New Roman" w:hAnsi="Times New Roman" w:cs="Times New Roman" w:eastAsia="Times New Roman" w:hint="default"/>
        </w:rPr>
        <w:t>“</w:t>
      </w:r>
      <w:r>
        <w:rPr/>
        <w:t>江苏省省级企业技术中心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苏州市有机光导工程技术研究中心</w:t>
      </w:r>
      <w:r>
        <w:rPr>
          <w:rFonts w:ascii="Times New Roman" w:hAnsi="Times New Roman" w:cs="Times New Roman" w:eastAsia="Times New Roman" w:hint="default"/>
        </w:rPr>
        <w:t>”</w:t>
      </w:r>
      <w:r>
        <w:rPr/>
        <w:t>。报告期内，公司获批成立</w:t>
      </w:r>
      <w:r>
        <w:rPr>
          <w:rFonts w:ascii="Times New Roman" w:hAnsi="Times New Roman" w:cs="Times New Roman" w:eastAsia="Times New Roman" w:hint="default"/>
        </w:rPr>
        <w:t>“</w:t>
      </w:r>
      <w:r>
        <w:rPr/>
        <w:t>苏州市新型纳 米激光光导鼓工程技术研究中心</w:t>
      </w:r>
      <w:r>
        <w:rPr>
          <w:rFonts w:ascii="Times New Roman" w:hAnsi="Times New Roman" w:cs="Times New Roman" w:eastAsia="Times New Roman" w:hint="default"/>
        </w:rPr>
        <w:t>”</w:t>
      </w:r>
      <w:r>
        <w:rPr/>
        <w:t>。公司拥有较雄厚的研发实力，能够快速根据市场需要对自身产品类型做出调整，研究设 </w:t>
      </w:r>
      <w:r>
        <w:rPr>
          <w:spacing w:val="-2"/>
        </w:rPr>
        <w:t>计出符合客户需求的特色产品。公司生产的产品不仅覆盖激光</w:t>
      </w:r>
      <w:r>
        <w:rPr>
          <w:rFonts w:ascii="Times New Roman" w:hAnsi="Times New Roman" w:cs="Times New Roman" w:eastAsia="Times New Roman" w:hint="default"/>
          <w:spacing w:val="-2"/>
        </w:rPr>
        <w:t>OPC</w:t>
      </w:r>
      <w:r>
        <w:rPr>
          <w:spacing w:val="-2"/>
        </w:rPr>
        <w:t>鼓市场中主流的小直径鼓芯，还能根据客户需求，定制中</w:t>
      </w:r>
      <w:r>
        <w:rPr>
          <w:spacing w:val="-54"/>
        </w:rPr>
        <w:t> </w:t>
      </w:r>
      <w:r>
        <w:rPr>
          <w:spacing w:val="-54"/>
        </w:rPr>
      </w:r>
      <w:r>
        <w:rPr>
          <w:spacing w:val="-2"/>
        </w:rPr>
        <w:t>大直径的工程机鼓芯及特定再生鼓芯等，以丰富的产品品种满足多样化、个性化的市场需求。公司形成的对市场需求快速响</w:t>
      </w:r>
      <w:r>
        <w:rPr>
          <w:spacing w:val="-66"/>
        </w:rPr>
        <w:t> </w:t>
      </w:r>
      <w:r>
        <w:rPr>
          <w:spacing w:val="-66"/>
        </w:rPr>
      </w:r>
      <w:r>
        <w:rPr/>
        <w:t>应的研发模式，使公司在市场拓展方面显示强有力的竞争优势。</w:t>
      </w: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宋体" w:hAnsi="宋体" w:cs="宋体" w:eastAsia="宋体" w:hint="default"/>
        </w:rPr>
        <w:t>3</w:t>
      </w:r>
      <w:r>
        <w:rPr/>
        <w:t>）人才优势</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30" w:firstLine="360"/>
        <w:jc w:val="both"/>
      </w:pPr>
      <w:r>
        <w:rPr>
          <w:spacing w:val="-2"/>
        </w:rPr>
        <w:t>公司拥有一支由博士、硕士研究生等组成的专业研发技术团队，专业知识涵盖功能材料、高分子物理与化学、金属材料</w:t>
      </w:r>
      <w:r>
        <w:rPr/>
        <w:t> </w:t>
      </w:r>
      <w:r>
        <w:rPr>
          <w:spacing w:val="-2"/>
        </w:rPr>
        <w:t>与加工、光机电一体化、集成控制与制造、研发与工程管理等领域，并随着公司的发展，积累了丰富的经验，形成了一整套</w:t>
      </w:r>
      <w:r>
        <w:rPr>
          <w:spacing w:val="-68"/>
        </w:rPr>
        <w:t> </w:t>
      </w:r>
      <w:r>
        <w:rPr>
          <w:spacing w:val="-68"/>
        </w:rPr>
      </w:r>
      <w:r>
        <w:rPr>
          <w:spacing w:val="-2"/>
        </w:rPr>
        <w:t>核心技术体系，为公司的持续发展和创新奠定了强有力的基础。未来，公司将不断积极引进或培育高素质专业技术和管理人</w:t>
      </w:r>
      <w:r>
        <w:rPr>
          <w:spacing w:val="-66"/>
        </w:rPr>
        <w:t> </w:t>
      </w:r>
      <w:r>
        <w:rPr>
          <w:spacing w:val="-66"/>
        </w:rPr>
      </w:r>
      <w:r>
        <w:rPr/>
        <w:t>才，实现人才结构的不断优化。</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）质量管理优势</w:t>
      </w:r>
      <w:r>
        <w:rPr>
          <w:b w:val="0"/>
          <w:bCs w:val="0"/>
        </w:rPr>
      </w:r>
    </w:p>
    <w:p>
      <w:pPr>
        <w:spacing w:line="240" w:lineRule="auto" w:before="4"/>
        <w:rPr>
          <w:rFonts w:ascii="宋体" w:hAnsi="宋体" w:cs="宋体" w:eastAsia="宋体" w:hint="default"/>
          <w:b/>
          <w:bCs/>
          <w:sz w:val="20"/>
          <w:szCs w:val="20"/>
        </w:rPr>
      </w:pPr>
    </w:p>
    <w:p>
      <w:pPr>
        <w:pStyle w:val="BodyText"/>
        <w:spacing w:line="352" w:lineRule="auto" w:before="0"/>
        <w:ind w:right="1131" w:firstLine="360"/>
        <w:jc w:val="both"/>
      </w:pPr>
      <w:r>
        <w:rPr>
          <w:spacing w:val="-2"/>
        </w:rPr>
        <w:t>品牌是旗帜，品质是旗杆。公司激光</w:t>
      </w:r>
      <w:r>
        <w:rPr>
          <w:rFonts w:ascii="Times New Roman" w:hAnsi="Times New Roman" w:cs="Times New Roman" w:eastAsia="Times New Roman" w:hint="default"/>
          <w:spacing w:val="-2"/>
        </w:rPr>
        <w:t>OPC</w:t>
      </w:r>
      <w:r>
        <w:rPr>
          <w:spacing w:val="-2"/>
        </w:rPr>
        <w:t>鼓生产遵守严格的质量控制企业标准，建立规范化、职责分明的全面质量控制</w:t>
      </w:r>
      <w:r>
        <w:rPr/>
        <w:t> </w:t>
      </w:r>
      <w:r>
        <w:rPr>
          <w:spacing w:val="-2"/>
        </w:rPr>
        <w:t>体系，并获得</w:t>
      </w:r>
      <w:r>
        <w:rPr>
          <w:rFonts w:ascii="Times New Roman" w:hAnsi="Times New Roman" w:cs="Times New Roman" w:eastAsia="Times New Roman" w:hint="default"/>
          <w:spacing w:val="-2"/>
        </w:rPr>
        <w:t>ISO9001:2015</w:t>
      </w:r>
      <w:r>
        <w:rPr>
          <w:spacing w:val="-2"/>
        </w:rPr>
        <w:t>质量管理体系认证。鉴于公司良好的质量控制能力与丰富的经验，公司作为主起草与参与起草单</w:t>
      </w:r>
      <w:r>
        <w:rPr>
          <w:spacing w:val="-35"/>
        </w:rPr>
        <w:t> </w:t>
      </w:r>
      <w:r>
        <w:rPr>
          <w:spacing w:val="-35"/>
        </w:rPr>
      </w:r>
      <w:r>
        <w:rPr>
          <w:spacing w:val="-2"/>
        </w:rPr>
        <w:t>位制订了《彩色激光打印机用有机光导鼓》等多项国家标准、行业标准，并被全国复印机械标准化技术委员会评为第五届标</w:t>
      </w:r>
      <w:r>
        <w:rPr>
          <w:spacing w:val="-66"/>
        </w:rPr>
        <w:t> </w:t>
      </w:r>
      <w:r>
        <w:rPr>
          <w:spacing w:val="-66"/>
        </w:rPr>
      </w:r>
      <w:r>
        <w:rPr/>
        <w:t>准化工作先进单位。</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4"/>
        <w:rPr>
          <w:rFonts w:ascii="宋体" w:hAnsi="宋体" w:cs="宋体" w:eastAsia="宋体" w:hint="default"/>
          <w:b/>
          <w:bCs/>
          <w:sz w:val="28"/>
          <w:szCs w:val="28"/>
        </w:rPr>
      </w:pPr>
    </w:p>
    <w:p>
      <w:pPr>
        <w:pStyle w:val="BodyText"/>
        <w:spacing w:line="355" w:lineRule="auto" w:before="0"/>
        <w:ind w:right="1130" w:firstLine="405"/>
        <w:jc w:val="both"/>
      </w:pPr>
      <w:r>
        <w:rPr>
          <w:rFonts w:ascii="Times New Roman" w:hAnsi="Times New Roman" w:cs="Times New Roman" w:eastAsia="Times New Roman" w:hint="default"/>
        </w:rPr>
        <w:t>2018</w:t>
      </w:r>
      <w:r>
        <w:rPr/>
        <w:t>年度，面对复杂多变的国内外经济形势与市场环境，公司坚持立足于以有机光导鼓等光电子器件及碳粉等先进功 </w:t>
      </w:r>
      <w:r>
        <w:rPr>
          <w:spacing w:val="-2"/>
        </w:rPr>
        <w:t>能材料为核心而形成的产业链，深耕以打印、复印、图文和数码快印为功能特征的影像产业，稳中求进，布局长远，在保证</w:t>
      </w:r>
      <w:r>
        <w:rPr>
          <w:spacing w:val="-68"/>
        </w:rPr>
        <w:t> </w:t>
      </w:r>
      <w:r>
        <w:rPr>
          <w:spacing w:val="-68"/>
        </w:rPr>
      </w:r>
      <w:r>
        <w:rPr/>
        <w:t>业务规模稳定发展的基础上，努力提高企业经营发展质量，提升创新能动力，为公司可持续发展奠定良好基础。</w:t>
      </w:r>
    </w:p>
    <w:p>
      <w:pPr>
        <w:pStyle w:val="BodyText"/>
        <w:spacing w:line="345" w:lineRule="auto" w:before="37"/>
        <w:ind w:right="1166" w:firstLine="361"/>
        <w:jc w:val="both"/>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）经营业绩</w:t>
      </w:r>
      <w:r>
        <w:rPr/>
        <w:t>：</w:t>
      </w:r>
      <w:r>
        <w:rPr>
          <w:rFonts w:ascii="Times New Roman" w:hAnsi="Times New Roman" w:cs="Times New Roman" w:eastAsia="Times New Roman" w:hint="default"/>
        </w:rPr>
        <w:t>2018</w:t>
      </w:r>
      <w:r>
        <w:rPr/>
        <w:t>年度，公司实现营业总收入</w:t>
      </w:r>
      <w:r>
        <w:rPr>
          <w:rFonts w:ascii="Times New Roman" w:hAnsi="Times New Roman" w:cs="Times New Roman" w:eastAsia="Times New Roman" w:hint="default"/>
        </w:rPr>
        <w:t>3.19</w:t>
      </w:r>
      <w:r>
        <w:rPr/>
        <w:t>亿元，较上年同期增长</w:t>
      </w:r>
      <w:r>
        <w:rPr>
          <w:rFonts w:ascii="Times New Roman" w:hAnsi="Times New Roman" w:cs="Times New Roman" w:eastAsia="Times New Roman" w:hint="default"/>
        </w:rPr>
        <w:t>11.33%</w:t>
      </w:r>
      <w:r>
        <w:rPr/>
        <w:t>；实现归属于母公司所有者的净利 润</w:t>
      </w:r>
      <w:r>
        <w:rPr>
          <w:rFonts w:ascii="Times New Roman" w:hAnsi="Times New Roman" w:cs="Times New Roman" w:eastAsia="Times New Roman" w:hint="default"/>
        </w:rPr>
        <w:t>3,465.97</w:t>
      </w:r>
      <w:r>
        <w:rPr/>
        <w:t>万元，较上年同期增长</w:t>
      </w:r>
      <w:r>
        <w:rPr>
          <w:rFonts w:ascii="Times New Roman" w:hAnsi="Times New Roman" w:cs="Times New Roman" w:eastAsia="Times New Roman" w:hint="default"/>
        </w:rPr>
        <w:t>13.84%</w:t>
      </w:r>
      <w:r>
        <w:rPr/>
        <w:t>；实现每股收益</w:t>
      </w:r>
      <w:r>
        <w:rPr>
          <w:rFonts w:ascii="Times New Roman" w:hAnsi="Times New Roman" w:cs="Times New Roman" w:eastAsia="Times New Roman" w:hint="default"/>
        </w:rPr>
        <w:t>0.181</w:t>
      </w:r>
      <w:r>
        <w:rPr/>
        <w:t>元，较上年同期增长</w:t>
      </w:r>
      <w:r>
        <w:rPr>
          <w:rFonts w:ascii="Times New Roman" w:hAnsi="Times New Roman" w:cs="Times New Roman" w:eastAsia="Times New Roman" w:hint="default"/>
        </w:rPr>
        <w:t>0.022</w:t>
      </w:r>
      <w:r>
        <w:rPr/>
        <w:t>元。</w:t>
      </w:r>
    </w:p>
    <w:p>
      <w:pPr>
        <w:pStyle w:val="BodyText"/>
        <w:spacing w:line="345" w:lineRule="auto" w:before="22"/>
        <w:ind w:right="1130" w:firstLine="360"/>
        <w:jc w:val="both"/>
      </w:pP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日，公司总资产</w:t>
      </w:r>
      <w:r>
        <w:rPr>
          <w:rFonts w:ascii="Times New Roman" w:hAnsi="Times New Roman" w:cs="Times New Roman" w:eastAsia="Times New Roman" w:hint="default"/>
          <w:spacing w:val="-1"/>
        </w:rPr>
        <w:t>6.87</w:t>
      </w:r>
      <w:r>
        <w:rPr>
          <w:spacing w:val="-1"/>
        </w:rPr>
        <w:t>亿元，较上年同比增长</w:t>
      </w:r>
      <w:r>
        <w:rPr>
          <w:rFonts w:ascii="Times New Roman" w:hAnsi="Times New Roman" w:cs="Times New Roman" w:eastAsia="Times New Roman" w:hint="default"/>
          <w:spacing w:val="-1"/>
        </w:rPr>
        <w:t>10.35%</w:t>
      </w:r>
      <w:r>
        <w:rPr>
          <w:spacing w:val="-1"/>
        </w:rPr>
        <w:t>；归属于母公司所有者权益</w:t>
      </w:r>
      <w:r>
        <w:rPr>
          <w:rFonts w:ascii="Times New Roman" w:hAnsi="Times New Roman" w:cs="Times New Roman" w:eastAsia="Times New Roman" w:hint="default"/>
          <w:spacing w:val="-1"/>
        </w:rPr>
        <w:t>5.67</w:t>
      </w:r>
      <w:r>
        <w:rPr>
          <w:spacing w:val="-1"/>
        </w:rPr>
        <w:t>亿元，较上年同比</w:t>
      </w:r>
      <w:r>
        <w:rPr/>
        <w:t> 增长</w:t>
      </w:r>
      <w:r>
        <w:rPr>
          <w:rFonts w:ascii="Times New Roman" w:hAnsi="Times New Roman" w:cs="Times New Roman" w:eastAsia="Times New Roman" w:hint="default"/>
        </w:rPr>
        <w:t>4.74%</w:t>
      </w:r>
      <w:r>
        <w:rPr/>
        <w:t>。</w:t>
      </w:r>
    </w:p>
    <w:p>
      <w:pPr>
        <w:pStyle w:val="BodyText"/>
        <w:spacing w:line="364" w:lineRule="auto" w:before="22"/>
        <w:ind w:right="1130" w:firstLine="360"/>
        <w:jc w:val="both"/>
      </w:pPr>
      <w:r>
        <w:rPr>
          <w:spacing w:val="-2"/>
        </w:rPr>
        <w:t>报告期内，公司传统业务即激光有机光导鼓销售数量持续稳定增长；打复印耗材贸易业务特别是碳粉随着市场的不断开</w:t>
      </w:r>
      <w:r>
        <w:rPr/>
        <w:t> 拓，销售呈现快速增长态势。公司资产规模与盈利能力均较上年稳步提升。</w:t>
      </w:r>
    </w:p>
    <w:p>
      <w:pPr>
        <w:pStyle w:val="BodyText"/>
        <w:spacing w:line="355" w:lineRule="auto" w:before="29"/>
        <w:ind w:right="1043" w:firstLine="361"/>
        <w:jc w:val="both"/>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）产业整合：</w:t>
      </w:r>
      <w:r>
        <w:rPr/>
        <w:t>产业整合着眼于公司未来的发展战略与长远利益。报告期内，公司以有机光导鼓及相关技术作为核心 </w:t>
      </w:r>
      <w:r>
        <w:rPr>
          <w:spacing w:val="-2"/>
        </w:rPr>
        <w:t>产业基础，继续深化行业资源的整合，特别是加大对碳粉的市场开拓与销售，优化公司产品与其他打印耗材的匹配性与组合</w:t>
      </w:r>
      <w:r>
        <w:rPr>
          <w:spacing w:val="-66"/>
        </w:rPr>
        <w:t> </w:t>
      </w:r>
      <w:r>
        <w:rPr>
          <w:spacing w:val="-66"/>
        </w:rPr>
      </w:r>
      <w:r>
        <w:rPr>
          <w:spacing w:val="-4"/>
        </w:rPr>
        <w:t>性能，充分发挥行业资源在产品、技术、人才等方面的协同效应与优势互补作用，为客户提供更加多元化且性能卓越的产品。</w:t>
      </w:r>
    </w:p>
    <w:p>
      <w:pPr>
        <w:pStyle w:val="BodyText"/>
        <w:spacing w:line="352" w:lineRule="auto" w:before="37"/>
        <w:ind w:right="1132" w:firstLine="361"/>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3</w:t>
      </w:r>
      <w:r>
        <w:rPr>
          <w:rFonts w:ascii="宋体" w:hAnsi="宋体" w:cs="宋体" w:eastAsia="宋体" w:hint="default"/>
          <w:b/>
          <w:bCs/>
          <w:spacing w:val="-2"/>
        </w:rPr>
        <w:t>）资本运作：</w:t>
      </w:r>
      <w:r>
        <w:rPr>
          <w:spacing w:val="-2"/>
        </w:rPr>
        <w:t>为积极响应国家</w:t>
      </w:r>
      <w:r>
        <w:rPr>
          <w:rFonts w:ascii="Times New Roman" w:hAnsi="Times New Roman" w:cs="Times New Roman" w:eastAsia="Times New Roman" w:hint="default"/>
          <w:spacing w:val="-2"/>
        </w:rPr>
        <w:t>“</w:t>
      </w:r>
      <w:r>
        <w:rPr>
          <w:spacing w:val="-2"/>
        </w:rPr>
        <w:t>加快能源多元化，推动传统产业转型升级，培育新的经济增长点，促进绿色循环低碳</w:t>
      </w:r>
      <w:r>
        <w:rPr/>
        <w:t> 发展</w:t>
      </w:r>
      <w:r>
        <w:rPr>
          <w:rFonts w:ascii="Times New Roman" w:hAnsi="Times New Roman" w:cs="Times New Roman" w:eastAsia="Times New Roman" w:hint="default"/>
        </w:rPr>
        <w:t>”</w:t>
      </w:r>
      <w:r>
        <w:rPr/>
        <w:t>的号召，报告期内，公司除聚焦于影像产业外，对直接甲醇燃料电池（</w:t>
      </w:r>
      <w:r>
        <w:rPr>
          <w:rFonts w:ascii="Times New Roman" w:hAnsi="Times New Roman" w:cs="Times New Roman" w:eastAsia="Times New Roman" w:hint="default"/>
        </w:rPr>
        <w:t>DMFC</w:t>
      </w:r>
      <w:r>
        <w:rPr/>
        <w:t>）项目进行投资。甲醇作为清洁燃料已 </w:t>
      </w:r>
      <w:r>
        <w:rPr>
          <w:spacing w:val="-2"/>
        </w:rPr>
        <w:t>在国家层面获得多职能部门广泛共识，该项投资使公司完成在以先进功能材料为核心而发展、具有重大应用前景的新能源产</w:t>
      </w:r>
      <w:r>
        <w:rPr>
          <w:spacing w:val="-64"/>
        </w:rPr>
        <w:t> </w:t>
      </w:r>
      <w:r>
        <w:rPr>
          <w:spacing w:val="-64"/>
        </w:rPr>
      </w:r>
      <w:r>
        <w:rPr/>
        <w:t>业的布局。</w:t>
      </w:r>
    </w:p>
    <w:p>
      <w:pPr>
        <w:pStyle w:val="BodyText"/>
        <w:spacing w:line="355" w:lineRule="auto" w:before="38"/>
        <w:ind w:right="1129" w:firstLine="361"/>
        <w:jc w:val="both"/>
      </w:pPr>
      <w:r>
        <w:rPr>
          <w:rFonts w:ascii="宋体" w:hAnsi="宋体" w:cs="宋体" w:eastAsia="宋体" w:hint="default"/>
          <w:b/>
          <w:bCs/>
          <w:spacing w:val="-4"/>
        </w:rPr>
        <w:t>（</w:t>
      </w:r>
      <w:r>
        <w:rPr>
          <w:rFonts w:ascii="Times New Roman" w:hAnsi="Times New Roman" w:cs="Times New Roman" w:eastAsia="Times New Roman" w:hint="default"/>
          <w:b/>
          <w:bCs/>
          <w:spacing w:val="-4"/>
        </w:rPr>
        <w:t>4</w:t>
      </w:r>
      <w:r>
        <w:rPr>
          <w:rFonts w:ascii="宋体" w:hAnsi="宋体" w:cs="宋体" w:eastAsia="宋体" w:hint="default"/>
          <w:b/>
          <w:bCs/>
          <w:spacing w:val="-4"/>
        </w:rPr>
        <w:t>）技术研发与标准</w:t>
      </w:r>
      <w:r>
        <w:rPr>
          <w:spacing w:val="-4"/>
        </w:rPr>
        <w:t>：公司设有</w:t>
      </w:r>
      <w:r>
        <w:rPr>
          <w:rFonts w:ascii="Times New Roman" w:hAnsi="Times New Roman" w:cs="Times New Roman" w:eastAsia="Times New Roman" w:hint="default"/>
          <w:spacing w:val="-4"/>
        </w:rPr>
        <w:t>“</w:t>
      </w:r>
      <w:r>
        <w:rPr>
          <w:spacing w:val="-4"/>
        </w:rPr>
        <w:t>江苏省省级企业技术中心</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苏州市有机光导工程技术研究中心</w:t>
      </w:r>
      <w:r>
        <w:rPr>
          <w:rFonts w:ascii="Times New Roman" w:hAnsi="Times New Roman" w:cs="Times New Roman" w:eastAsia="Times New Roman" w:hint="default"/>
          <w:spacing w:val="-4"/>
        </w:rPr>
        <w:t>”</w:t>
      </w:r>
      <w:r>
        <w:rPr>
          <w:spacing w:val="-4"/>
        </w:rPr>
        <w:t>。报告期内，公司</w:t>
      </w:r>
      <w:r>
        <w:rPr>
          <w:rFonts w:ascii="Times New Roman" w:hAnsi="Times New Roman" w:cs="Times New Roman" w:eastAsia="Times New Roman" w:hint="default"/>
          <w:spacing w:val="-4"/>
        </w:rPr>
        <w:t>“</w:t>
      </w:r>
      <w:r>
        <w:rPr>
          <w:spacing w:val="-4"/>
        </w:rPr>
        <w:t>苏</w:t>
      </w:r>
      <w:r>
        <w:rPr/>
        <w:t> 州市新型纳米激光光导鼓工程技术研究中心</w:t>
      </w:r>
      <w:r>
        <w:rPr>
          <w:rFonts w:ascii="Times New Roman" w:hAnsi="Times New Roman" w:cs="Times New Roman" w:eastAsia="Times New Roman" w:hint="default"/>
        </w:rPr>
        <w:t>”</w:t>
      </w:r>
      <w:r>
        <w:rPr/>
        <w:t>获批成立并被评为苏州高新区科技工作先进单位。为了在日益变化的市场形势 </w:t>
      </w:r>
      <w:r>
        <w:rPr>
          <w:spacing w:val="-2"/>
        </w:rPr>
        <w:t>中获取技术与产品的先发优势与核心竞争力，公司凭借自身技术实力，持续研发与改进，对陶瓷硅鼓改有机光导鼓、超低温</w:t>
      </w:r>
      <w:r>
        <w:rPr>
          <w:spacing w:val="-66"/>
        </w:rPr>
        <w:t> </w:t>
      </w:r>
      <w:r>
        <w:rPr>
          <w:spacing w:val="-66"/>
        </w:rPr>
      </w:r>
      <w:r>
        <w:rPr>
          <w:spacing w:val="-2"/>
        </w:rPr>
        <w:t>环境下的电荷阻挡层配方研究、正电性彩色图像拟合效果的配方研究等项目进行自主研发。这些研发项目的开展将为提升公</w:t>
      </w:r>
      <w:r>
        <w:rPr>
          <w:spacing w:val="-64"/>
        </w:rPr>
        <w:t> </w:t>
      </w:r>
      <w:r>
        <w:rPr>
          <w:spacing w:val="-64"/>
        </w:rPr>
      </w:r>
      <w:r>
        <w:rPr/>
        <w:t>司产品竞争优势提供有力的支持。</w:t>
      </w:r>
    </w:p>
    <w:p>
      <w:pPr>
        <w:pStyle w:val="BodyText"/>
        <w:spacing w:line="345" w:lineRule="auto" w:before="37"/>
        <w:ind w:right="1131" w:firstLine="360"/>
        <w:jc w:val="both"/>
      </w:pPr>
      <w:r>
        <w:rPr>
          <w:spacing w:val="-2"/>
        </w:rPr>
        <w:t>报告期内，公司董事长余荣清博士被国家科学技术部评选为</w:t>
      </w:r>
      <w:r>
        <w:rPr>
          <w:rFonts w:ascii="Times New Roman" w:hAnsi="Times New Roman" w:cs="Times New Roman" w:eastAsia="Times New Roman" w:hint="default"/>
          <w:spacing w:val="-2"/>
        </w:rPr>
        <w:t>“</w:t>
      </w:r>
      <w:r>
        <w:rPr>
          <w:spacing w:val="-2"/>
        </w:rPr>
        <w:t>科技创新创业人才</w:t>
      </w:r>
      <w:r>
        <w:rPr>
          <w:rFonts w:ascii="Times New Roman" w:hAnsi="Times New Roman" w:cs="Times New Roman" w:eastAsia="Times New Roman" w:hint="default"/>
          <w:spacing w:val="-2"/>
        </w:rPr>
        <w:t>”</w:t>
      </w:r>
      <w:r>
        <w:rPr>
          <w:spacing w:val="-2"/>
        </w:rPr>
        <w:t>，现任全国复印机械标准化技术委员会</w:t>
      </w:r>
      <w:r>
        <w:rPr/>
        <w:t> 第六届委员会副主任委员。公司被全国复印机械标准化技术委员会评为第五届标准化工作先进单位。</w:t>
      </w:r>
    </w:p>
    <w:p>
      <w:pPr>
        <w:pStyle w:val="BodyText"/>
        <w:spacing w:line="360" w:lineRule="auto"/>
        <w:ind w:right="0" w:firstLine="361"/>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）募投项目建设</w:t>
      </w:r>
      <w:r>
        <w:rPr/>
        <w:t>：报告期内，公司完成激光有机光导鼓扩建项目结项的节余募集资金转出永久补充流动资金。另一 </w:t>
      </w:r>
      <w:r>
        <w:rPr>
          <w:spacing w:val="-2"/>
        </w:rPr>
        <w:t>募投项目有机光电工程技术中心建设项目鉴于其实施单位吴中恒久所取得的土地使用权的变化情况，为了更加高效、集中地</w:t>
      </w:r>
      <w:r>
        <w:rPr>
          <w:spacing w:val="-64"/>
        </w:rPr>
        <w:t> </w:t>
      </w:r>
      <w:r>
        <w:rPr>
          <w:spacing w:val="-64"/>
        </w:rPr>
      </w:r>
      <w:r>
        <w:rPr>
          <w:spacing w:val="-4"/>
        </w:rPr>
        <w:t>开发、利用土地，同时兼顾公司未来有机光电领域的研发需求，公司重新进行了建设方案的规划，项目实施时间也相应延期。</w:t>
      </w:r>
      <w:r>
        <w:rPr>
          <w:spacing w:val="-46"/>
        </w:rPr>
        <w:t> </w:t>
      </w:r>
      <w:r>
        <w:rPr>
          <w:spacing w:val="-46"/>
        </w:rPr>
      </w:r>
      <w:r>
        <w:rPr>
          <w:spacing w:val="-4"/>
        </w:rPr>
        <w:t>目前，工程技术中心建设规划方案设计文本已提交政府相关部门审核，待完成相关审批手续后，公司将加快项目的开工建设，</w:t>
      </w:r>
      <w:r>
        <w:rPr>
          <w:spacing w:val="-44"/>
        </w:rPr>
        <w:t> </w:t>
      </w:r>
      <w:r>
        <w:rPr>
          <w:spacing w:val="-44"/>
        </w:rPr>
      </w:r>
      <w:r>
        <w:rPr/>
        <w:t>争取早日发挥募投项目效益。</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354" w:right="841"/>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841"/>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pStyle w:val="BodyText"/>
        <w:spacing w:line="240" w:lineRule="auto" w:before="145"/>
        <w:ind w:left="354" w:right="841"/>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11"/>
        <w:rPr>
          <w:rFonts w:ascii="宋体" w:hAnsi="宋体" w:cs="宋体" w:eastAsia="宋体" w:hint="default"/>
          <w:sz w:val="14"/>
          <w:szCs w:val="14"/>
        </w:rPr>
      </w:pPr>
    </w:p>
    <w:p>
      <w:pPr>
        <w:pStyle w:val="Heading3"/>
        <w:spacing w:line="240" w:lineRule="auto"/>
        <w:ind w:left="354" w:right="841"/>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841"/>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宋体" w:hAnsi="宋体" w:cs="宋体" w:eastAsia="宋体" w:hint="default"/>
          <w:b/>
          <w:bCs/>
          <w:sz w:val="7"/>
          <w:szCs w:val="7"/>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64"/>
        <w:gridCol w:w="1596"/>
        <w:gridCol w:w="1592"/>
        <w:gridCol w:w="1597"/>
        <w:gridCol w:w="1588"/>
        <w:gridCol w:w="1598"/>
      </w:tblGrid>
      <w:tr>
        <w:trPr>
          <w:trHeight w:val="206" w:hRule="exact"/>
        </w:trPr>
        <w:tc>
          <w:tcPr>
            <w:tcW w:w="2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64"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164" w:type="dxa"/>
            <w:vMerge/>
            <w:tcBorders>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318,813,645.89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286,359,847.67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11.33%</w:t>
            </w:r>
          </w:p>
        </w:tc>
      </w:tr>
      <w:tr>
        <w:trPr>
          <w:trHeight w:val="397" w:hRule="exact"/>
        </w:trPr>
        <w:tc>
          <w:tcPr>
            <w:tcW w:w="1013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252,867,919.81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260,189,441.33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63,653,942.26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26,170,406.34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143.23%</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2,291,783.82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013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252,867,919.81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260,189,441.33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碳粉、硒鼓及其他耗材</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63,653,942.26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26,170,406.34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z w:val="18"/>
              </w:rPr>
              <w:t>143.23%</w:t>
            </w:r>
            <w:r>
              <w:rPr>
                <w:rFonts w:ascii="Times New Roman"/>
                <w:color w:val="FF0000"/>
                <w:position w:val="8"/>
                <w:sz w:val="12"/>
              </w:rPr>
              <w:t>1</w:t>
            </w:r>
            <w:r>
              <w:rPr>
                <w:rFonts w:ascii="Times New Roman"/>
                <w:sz w:val="12"/>
              </w:rPr>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2,291,783.82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z w:val="18"/>
              </w:rPr>
              <w:t>100.00%</w:t>
            </w:r>
            <w:r>
              <w:rPr>
                <w:rFonts w:ascii="Times New Roman"/>
                <w:color w:val="FF0000"/>
                <w:position w:val="8"/>
                <w:sz w:val="12"/>
              </w:rPr>
              <w:t>2</w:t>
            </w:r>
            <w:r>
              <w:rPr>
                <w:rFonts w:ascii="Times New Roman"/>
                <w:sz w:val="12"/>
              </w:rPr>
            </w:r>
          </w:p>
        </w:tc>
      </w:tr>
      <w:tr>
        <w:trPr>
          <w:trHeight w:val="402" w:hRule="exact"/>
        </w:trPr>
        <w:tc>
          <w:tcPr>
            <w:tcW w:w="1013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237,943,204.04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207,956,715.88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14.42%</w:t>
            </w:r>
          </w:p>
        </w:tc>
      </w:tr>
      <w:tr>
        <w:trPr>
          <w:trHeight w:val="40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80,870,441.85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78,403,131.79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r>
    </w:tbl>
    <w:p>
      <w:pPr>
        <w:pStyle w:val="BodyText"/>
        <w:spacing w:line="302" w:lineRule="auto" w:before="51"/>
        <w:ind w:left="354" w:right="841"/>
        <w:jc w:val="left"/>
      </w:pPr>
      <w:r>
        <w:rPr>
          <w:spacing w:val="-6"/>
        </w:rPr>
        <w:t>注：</w:t>
      </w:r>
      <w:r>
        <w:rPr>
          <w:rFonts w:ascii="Times New Roman" w:hAnsi="Times New Roman" w:cs="Times New Roman" w:eastAsia="Times New Roman" w:hint="default"/>
          <w:spacing w:val="-6"/>
        </w:rPr>
        <w:t>1 </w:t>
      </w:r>
      <w:r>
        <w:rPr/>
        <w:t>公司贸易收入较上年同期增长</w:t>
      </w:r>
      <w:r>
        <w:rPr>
          <w:spacing w:val="-67"/>
        </w:rPr>
        <w:t> </w:t>
      </w:r>
      <w:r>
        <w:rPr>
          <w:rFonts w:ascii="Times New Roman" w:hAnsi="Times New Roman" w:cs="Times New Roman" w:eastAsia="Times New Roman" w:hint="default"/>
        </w:rPr>
        <w:t>143.23%</w:t>
      </w:r>
      <w:r>
        <w:rPr/>
        <w:t>，主要系公司全资子公司恒久数码经营碳粉、硒鼓及其他打复印耗材的营业收 入增长所致。</w:t>
      </w:r>
    </w:p>
    <w:p>
      <w:pPr>
        <w:pStyle w:val="BodyText"/>
        <w:spacing w:line="302" w:lineRule="auto" w:before="68"/>
        <w:ind w:left="354" w:right="841" w:firstLine="360"/>
        <w:jc w:val="left"/>
      </w:pPr>
      <w:r>
        <w:rPr>
          <w:rFonts w:ascii="Times New Roman" w:hAnsi="Times New Roman" w:cs="Times New Roman" w:eastAsia="Times New Roman" w:hint="default"/>
        </w:rPr>
        <w:t>2 </w:t>
      </w:r>
      <w:r>
        <w:rPr/>
        <w:t>公司商业保理收入较上年同期增长</w:t>
      </w:r>
      <w:r>
        <w:rPr>
          <w:spacing w:val="-54"/>
        </w:rPr>
        <w:t> </w:t>
      </w:r>
      <w:r>
        <w:rPr>
          <w:rFonts w:ascii="Times New Roman" w:hAnsi="Times New Roman" w:cs="Times New Roman" w:eastAsia="Times New Roman" w:hint="default"/>
        </w:rPr>
        <w:t>100%</w:t>
      </w:r>
      <w:r>
        <w:rPr/>
        <w:t>，系公司全资子公司恒久保理于报告期内利用自有资金开展商业保理业务所 致。</w:t>
      </w:r>
    </w:p>
    <w:p>
      <w:pPr>
        <w:spacing w:line="240" w:lineRule="auto" w:before="2"/>
        <w:rPr>
          <w:rFonts w:ascii="宋体" w:hAnsi="宋体" w:cs="宋体" w:eastAsia="宋体" w:hint="default"/>
          <w:sz w:val="23"/>
          <w:szCs w:val="23"/>
        </w:rPr>
      </w:pPr>
    </w:p>
    <w:p>
      <w:pPr>
        <w:pStyle w:val="Heading3"/>
        <w:spacing w:line="240" w:lineRule="auto"/>
        <w:ind w:left="354" w:right="841"/>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780" w:right="0"/>
        </w:sectPr>
      </w:pPr>
    </w:p>
    <w:p>
      <w:pPr>
        <w:pStyle w:val="BodyText"/>
        <w:spacing w:line="348" w:lineRule="auto"/>
        <w:ind w:left="3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353" w:right="0"/>
        <w:jc w:val="left"/>
      </w:pPr>
      <w:r>
        <w:rPr/>
        <w:t>单位：元</w:t>
      </w:r>
    </w:p>
    <w:p>
      <w:pPr>
        <w:spacing w:after="0" w:line="240" w:lineRule="auto"/>
        <w:jc w:val="left"/>
        <w:sectPr>
          <w:type w:val="continuous"/>
          <w:pgSz w:w="11910" w:h="16840"/>
          <w:pgMar w:top="1060" w:bottom="1160" w:left="780" w:right="0"/>
          <w:cols w:num="2" w:equalWidth="0">
            <w:col w:w="3415" w:space="5505"/>
            <w:col w:w="2210"/>
          </w:cols>
        </w:sectPr>
      </w:pPr>
    </w:p>
    <w:p>
      <w:pPr>
        <w:spacing w:line="240" w:lineRule="auto" w:before="0"/>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252,867,919.81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197,888,580.10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21.74%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9" w:right="0"/>
              <w:jc w:val="left"/>
              <w:rPr>
                <w:rFonts w:ascii="Times New Roman" w:hAnsi="Times New Roman" w:cs="Times New Roman" w:eastAsia="Times New Roman" w:hint="default"/>
                <w:sz w:val="18"/>
                <w:szCs w:val="18"/>
              </w:rPr>
            </w:pPr>
            <w:r>
              <w:rPr>
                <w:rFonts w:ascii="Times New Roman"/>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1.32%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4" w:right="0"/>
              <w:jc w:val="left"/>
              <w:rPr>
                <w:rFonts w:ascii="Times New Roman" w:hAnsi="Times New Roman" w:cs="Times New Roman" w:eastAsia="Times New Roman" w:hint="default"/>
                <w:sz w:val="18"/>
                <w:szCs w:val="18"/>
              </w:rPr>
            </w:pPr>
            <w:r>
              <w:rPr>
                <w:rFonts w:ascii="Times New Roman"/>
                <w:sz w:val="18"/>
              </w:rPr>
              <w:t>-3.19%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7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63,653,942.26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56,422,893.59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252,867,919.81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197,888,580.10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237,943,204.04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198,053,466.25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80,870,441.85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56,962,777.93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OPC </w:t>
            </w:r>
            <w:r>
              <w:rPr>
                <w:rFonts w:ascii="宋体" w:hAnsi="宋体" w:cs="宋体" w:eastAsia="宋体" w:hint="default"/>
                <w:sz w:val="18"/>
                <w:szCs w:val="18"/>
              </w:rPr>
              <w:t>鼓制造业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万支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32.99%</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60" w:lineRule="auto" w:before="102"/>
        <w:ind w:left="514" w:right="1207"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报告期内，公司激光</w:t>
      </w:r>
      <w:r>
        <w:rPr>
          <w:rFonts w:ascii="Times New Roman" w:hAnsi="Times New Roman" w:cs="Times New Roman" w:eastAsia="Times New Roman" w:hint="default"/>
        </w:rPr>
        <w:t>OPC</w:t>
      </w:r>
      <w:r>
        <w:rPr/>
        <w:t>鼓库存量较上年同期增长</w:t>
      </w:r>
      <w:r>
        <w:rPr>
          <w:rFonts w:ascii="Times New Roman" w:hAnsi="Times New Roman" w:cs="Times New Roman" w:eastAsia="Times New Roman" w:hint="default"/>
        </w:rPr>
        <w:t>32.99%</w:t>
      </w:r>
      <w:r>
        <w:rPr/>
        <w:t>，主要系</w:t>
      </w:r>
      <w:r>
        <w:rPr>
          <w:rFonts w:ascii="Times New Roman" w:hAnsi="Times New Roman" w:cs="Times New Roman" w:eastAsia="Times New Roman" w:hint="default"/>
        </w:rPr>
        <w:t>2017</w:t>
      </w:r>
      <w:r>
        <w:rPr/>
        <w:t>年度因生产规模扩大，</w:t>
      </w:r>
      <w:r>
        <w:rPr>
          <w:rFonts w:ascii="Times New Roman" w:hAnsi="Times New Roman" w:cs="Times New Roman" w:eastAsia="Times New Roman" w:hint="default"/>
        </w:rPr>
        <w:t>2017</w:t>
      </w:r>
      <w:r>
        <w:rPr/>
        <w:t>年底库存量较</w:t>
      </w:r>
      <w:r>
        <w:rPr>
          <w:rFonts w:ascii="Times New Roman" w:hAnsi="Times New Roman" w:cs="Times New Roman" w:eastAsia="Times New Roman" w:hint="default"/>
        </w:rPr>
        <w:t>2016</w:t>
      </w:r>
    </w:p>
    <w:p>
      <w:pPr>
        <w:pStyle w:val="BodyText"/>
        <w:spacing w:line="345" w:lineRule="auto" w:before="10"/>
        <w:ind w:right="0"/>
        <w:jc w:val="left"/>
      </w:pPr>
      <w:r>
        <w:rPr>
          <w:spacing w:val="-1"/>
        </w:rPr>
        <w:t>年底增长达</w:t>
      </w:r>
      <w:r>
        <w:rPr>
          <w:rFonts w:ascii="Times New Roman" w:hAnsi="Times New Roman" w:cs="Times New Roman" w:eastAsia="Times New Roman" w:hint="default"/>
          <w:spacing w:val="-1"/>
        </w:rPr>
        <w:t>232.73%</w:t>
      </w:r>
      <w:r>
        <w:rPr>
          <w:spacing w:val="-1"/>
        </w:rPr>
        <w:t>。本报告期，公司根据库存量相应调整了生产计划。虽本期销量较去年同期有所增长，但尚需公司加强</w:t>
      </w:r>
      <w:r>
        <w:rPr>
          <w:spacing w:val="-44"/>
        </w:rPr>
        <w:t> </w:t>
      </w:r>
      <w:r>
        <w:rPr>
          <w:spacing w:val="-44"/>
        </w:rPr>
      </w:r>
      <w:r>
        <w:rPr/>
        <w:t>营销力度、开拓市场渠道，以进一步降低激光</w:t>
      </w:r>
      <w:r>
        <w:rPr>
          <w:rFonts w:ascii="Times New Roman" w:hAnsi="Times New Roman" w:cs="Times New Roman" w:eastAsia="Times New Roman" w:hint="default"/>
        </w:rPr>
        <w:t>OPC</w:t>
      </w:r>
      <w:r>
        <w:rPr/>
        <w:t>鼓库存量。</w:t>
      </w:r>
    </w:p>
    <w:p>
      <w:pPr>
        <w:pStyle w:val="BodyText"/>
        <w:spacing w:line="364" w:lineRule="auto" w:before="22"/>
        <w:ind w:right="0" w:firstLine="360"/>
        <w:jc w:val="left"/>
      </w:pPr>
      <w:r>
        <w:rPr>
          <w:spacing w:val="-2"/>
        </w:rPr>
        <w:t>报告期内，按照公司的会计政策规定，公司以存货的估计售价减去估计的销售费用和相关税费后的金额，确定其可变现</w:t>
      </w:r>
      <w:r>
        <w:rPr/>
        <w:t> 净值，以期末存货成本与可变现净值孰低的方法进行计量，期末存货跌价准备计提充分。</w:t>
      </w:r>
    </w:p>
    <w:p>
      <w:pPr>
        <w:pStyle w:val="BodyText"/>
        <w:spacing w:line="240" w:lineRule="auto" w:before="29"/>
        <w:ind w:left="514" w:right="0"/>
        <w:jc w:val="left"/>
      </w:pPr>
      <w:r>
        <w:rPr/>
        <w:t>公司将紧跟市场动态，积极地深入开拓国际国内市场，实施更为灵活的市场营销策略，实现公司既定的销售战略目标。</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154,029,858.67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154,941,125.81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18,809,424.91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18,380,520.87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24,449,409.90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21,059,526.70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6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出口征退税差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599,886.62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932,283.78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56,422,893.59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18,442,857.15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704,770.49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36"/>
        <w:gridCol w:w="1367"/>
        <w:gridCol w:w="1367"/>
        <w:gridCol w:w="1368"/>
        <w:gridCol w:w="1367"/>
        <w:gridCol w:w="1367"/>
        <w:gridCol w:w="1367"/>
      </w:tblGrid>
      <w:tr>
        <w:trPr>
          <w:trHeight w:val="402" w:hRule="exact"/>
        </w:trPr>
        <w:tc>
          <w:tcPr>
            <w:tcW w:w="1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3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154,029,858.67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154,941,125.81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18,809,424.91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18,380,520.87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24,449,409.90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21,059,526.70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16.10%</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出口征退税差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599,886.62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932,283.78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-35.65%</w:t>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碳粉、硒鼓及其他耗材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56,422,893.59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18,442,857.15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205.93%</w:t>
            </w:r>
            <w:r>
              <w:rPr>
                <w:rFonts w:ascii="Times New Roman"/>
                <w:color w:val="FF0000"/>
                <w:position w:val="8"/>
                <w:sz w:val="12"/>
              </w:rPr>
              <w:t>1</w:t>
            </w:r>
            <w:r>
              <w:rPr>
                <w:rFonts w:ascii="Times New Roman"/>
                <w:sz w:val="12"/>
              </w:rPr>
            </w:r>
          </w:p>
        </w:tc>
      </w:tr>
      <w:tr>
        <w:trPr>
          <w:trHeight w:val="402"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704,770.49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100.00%</w:t>
            </w:r>
            <w:r>
              <w:rPr>
                <w:rFonts w:ascii="Times New Roman"/>
                <w:color w:val="FF0000"/>
                <w:position w:val="8"/>
                <w:sz w:val="12"/>
              </w:rPr>
              <w:t>2</w:t>
            </w:r>
            <w:r>
              <w:rPr>
                <w:rFonts w:ascii="Times New Roman"/>
                <w:sz w:val="12"/>
              </w:rPr>
            </w:r>
          </w:p>
        </w:tc>
      </w:tr>
    </w:tbl>
    <w:p>
      <w:pPr>
        <w:pStyle w:val="BodyText"/>
        <w:spacing w:line="240" w:lineRule="auto" w:before="51"/>
        <w:ind w:left="374" w:right="481"/>
        <w:jc w:val="left"/>
      </w:pPr>
      <w:r>
        <w:rPr/>
        <w:t>说明</w:t>
      </w:r>
    </w:p>
    <w:p>
      <w:pPr>
        <w:pStyle w:val="BodyText"/>
        <w:spacing w:line="302" w:lineRule="auto" w:before="116"/>
        <w:ind w:left="374" w:right="481"/>
        <w:jc w:val="left"/>
      </w:pPr>
      <w:r>
        <w:rPr>
          <w:spacing w:val="-6"/>
        </w:rPr>
        <w:t>注：</w:t>
      </w:r>
      <w:r>
        <w:rPr>
          <w:rFonts w:ascii="Times New Roman" w:hAnsi="Times New Roman" w:cs="Times New Roman" w:eastAsia="Times New Roman" w:hint="default"/>
          <w:spacing w:val="-6"/>
        </w:rPr>
        <w:t>1 </w:t>
      </w:r>
      <w:r>
        <w:rPr/>
        <w:t>公司贸易业务成本较上年同期增长</w:t>
      </w:r>
      <w:r>
        <w:rPr>
          <w:spacing w:val="-67"/>
        </w:rPr>
        <w:t> </w:t>
      </w:r>
      <w:r>
        <w:rPr>
          <w:rFonts w:ascii="Times New Roman" w:hAnsi="Times New Roman" w:cs="Times New Roman" w:eastAsia="Times New Roman" w:hint="default"/>
        </w:rPr>
        <w:t>205.93%</w:t>
      </w:r>
      <w:r>
        <w:rPr/>
        <w:t>，主要系公司全资子公司恒久数码经营碳粉、硒鼓及其他打复印耗材的业 务增长所致。</w:t>
      </w:r>
    </w:p>
    <w:p>
      <w:pPr>
        <w:pStyle w:val="BodyText"/>
        <w:spacing w:line="302" w:lineRule="auto" w:before="68"/>
        <w:ind w:left="374" w:right="481" w:firstLine="360"/>
        <w:jc w:val="left"/>
      </w:pPr>
      <w:r>
        <w:rPr>
          <w:rFonts w:ascii="Times New Roman" w:hAnsi="Times New Roman" w:cs="Times New Roman" w:eastAsia="Times New Roman" w:hint="default"/>
        </w:rPr>
        <w:t>2 </w:t>
      </w:r>
      <w:r>
        <w:rPr/>
        <w:t>公司商业保理运营成本较上年同期增长</w:t>
      </w:r>
      <w:r>
        <w:rPr>
          <w:spacing w:val="-54"/>
        </w:rPr>
        <w:t> </w:t>
      </w:r>
      <w:r>
        <w:rPr>
          <w:rFonts w:ascii="Times New Roman" w:hAnsi="Times New Roman" w:cs="Times New Roman" w:eastAsia="Times New Roman" w:hint="default"/>
        </w:rPr>
        <w:t>100%</w:t>
      </w:r>
      <w:r>
        <w:rPr/>
        <w:t>，系公司全资子公司恒久保理于报告期内利用自有资金开展商业保理业 务所致。</w:t>
      </w:r>
    </w:p>
    <w:p>
      <w:pPr>
        <w:spacing w:line="240" w:lineRule="auto" w:before="4"/>
        <w:rPr>
          <w:rFonts w:ascii="宋体" w:hAnsi="宋体" w:cs="宋体" w:eastAsia="宋体" w:hint="default"/>
          <w:sz w:val="23"/>
          <w:szCs w:val="23"/>
        </w:rPr>
      </w:pPr>
    </w:p>
    <w:p>
      <w:pPr>
        <w:pStyle w:val="Heading3"/>
        <w:spacing w:line="240" w:lineRule="auto"/>
        <w:ind w:left="374" w:right="481"/>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374" w:right="4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374" w:right="481"/>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374" w:right="4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374" w:right="481"/>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374" w:right="481"/>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36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71,175,043.30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w:t>
            </w:r>
          </w:p>
        </w:tc>
      </w:tr>
    </w:tbl>
    <w:p>
      <w:pPr>
        <w:pStyle w:val="BodyText"/>
        <w:spacing w:line="240" w:lineRule="auto" w:before="51"/>
        <w:ind w:left="374" w:right="48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36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21,283,094.98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17,702,759.27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13,725,899.61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760" w:right="0"/>
        </w:sectPr>
      </w:pPr>
    </w:p>
    <w:p>
      <w:pPr>
        <w:spacing w:line="240" w:lineRule="auto" w:before="6"/>
        <w:rPr>
          <w:rFonts w:ascii="宋体" w:hAnsi="宋体" w:cs="宋体" w:eastAsia="宋体" w:hint="default"/>
          <w:sz w:val="28"/>
          <w:szCs w:val="28"/>
        </w:rPr>
      </w:pPr>
    </w:p>
    <w:tbl>
      <w:tblPr>
        <w:tblW w:w="0" w:type="auto"/>
        <w:jc w:val="left"/>
        <w:tblInd w:w="30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9,337,516.19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9,125,773.25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6"/>
              <w:jc w:val="righ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71,175,043.30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22.32%</w:t>
            </w:r>
          </w:p>
        </w:tc>
      </w:tr>
    </w:tbl>
    <w:p>
      <w:pPr>
        <w:pStyle w:val="BodyText"/>
        <w:spacing w:line="240" w:lineRule="auto" w:before="51"/>
        <w:ind w:left="314" w:right="1197"/>
        <w:jc w:val="left"/>
      </w:pPr>
      <w:r>
        <w:rPr/>
        <w:t>主要客户其他情况说明</w:t>
      </w:r>
    </w:p>
    <w:p>
      <w:pPr>
        <w:pStyle w:val="BodyText"/>
        <w:spacing w:line="319" w:lineRule="auto" w:before="117"/>
        <w:ind w:left="314" w:right="11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公司前五大客户中的客户五为公司参股公司珠海东越数码科技有限公司，公司持有其</w:t>
      </w:r>
      <w:r>
        <w:rPr>
          <w:rFonts w:ascii="Times New Roman" w:hAnsi="Times New Roman" w:cs="Times New Roman" w:eastAsia="Times New Roman" w:hint="default"/>
        </w:rPr>
        <w:t>21.74%</w:t>
      </w:r>
      <w:r>
        <w:rPr/>
        <w:t>的股权。公司董事、监事、高 级管理人员、核心技术人员、持股</w:t>
      </w:r>
      <w:r>
        <w:rPr>
          <w:rFonts w:ascii="Times New Roman" w:hAnsi="Times New Roman" w:cs="Times New Roman" w:eastAsia="Times New Roman" w:hint="default"/>
        </w:rPr>
        <w:t>5%</w:t>
      </w:r>
      <w:r>
        <w:rPr/>
        <w:t>以上股东、实际控制人和其他关联方未在该公司直接或间接拥有权益。</w:t>
      </w:r>
    </w:p>
    <w:p>
      <w:pPr>
        <w:spacing w:line="240" w:lineRule="auto" w:before="10"/>
        <w:rPr>
          <w:rFonts w:ascii="宋体" w:hAnsi="宋体" w:cs="宋体" w:eastAsia="宋体" w:hint="default"/>
          <w:sz w:val="26"/>
          <w:szCs w:val="26"/>
        </w:rPr>
      </w:pPr>
    </w:p>
    <w:p>
      <w:pPr>
        <w:pStyle w:val="BodyText"/>
        <w:spacing w:line="240" w:lineRule="auto" w:before="0"/>
        <w:ind w:left="314" w:right="1197"/>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3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110,700,470.88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314" w:right="119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32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36,971,148.07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31,490,259.62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21,923,066.22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10,809,347.11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9,506,649.86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110,700,470.88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w:t>
            </w:r>
          </w:p>
        </w:tc>
      </w:tr>
    </w:tbl>
    <w:p>
      <w:pPr>
        <w:pStyle w:val="BodyText"/>
        <w:spacing w:line="240" w:lineRule="auto" w:before="51"/>
        <w:ind w:left="314" w:right="1197"/>
        <w:jc w:val="left"/>
      </w:pPr>
      <w:r>
        <w:rPr/>
        <w:t>主要供应商其他情况说明</w:t>
      </w:r>
    </w:p>
    <w:p>
      <w:pPr>
        <w:pStyle w:val="BodyText"/>
        <w:spacing w:line="240" w:lineRule="auto" w:before="117"/>
        <w:ind w:left="314" w:right="11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14" w:right="1197"/>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11"/>
        <w:gridCol w:w="1712"/>
        <w:gridCol w:w="1702"/>
        <w:gridCol w:w="1560"/>
        <w:gridCol w:w="3969"/>
      </w:tblGrid>
      <w:tr>
        <w:trPr>
          <w:trHeight w:val="402" w:hRule="exact"/>
        </w:trPr>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11,562,936.50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11,193,777.86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w:t>
            </w:r>
          </w:p>
        </w:tc>
        <w:tc>
          <w:tcPr>
            <w:tcW w:w="3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7,646,467.08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7,117,279.17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7.44%</w:t>
            </w:r>
          </w:p>
        </w:tc>
        <w:tc>
          <w:tcPr>
            <w:tcW w:w="3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-11,147,137.33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6,569,896.76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-269.67%</w:t>
            </w:r>
            <w:r>
              <w:rPr>
                <w:rFonts w:ascii="Times New Roman"/>
                <w:sz w:val="18"/>
              </w:rPr>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3"/>
                <w:sz w:val="18"/>
                <w:szCs w:val="18"/>
              </w:rPr>
              <w:t>主要系美元汇率大幅波动、财务汇兑收益增加所致</w:t>
            </w:r>
          </w:p>
        </w:tc>
      </w:tr>
      <w:tr>
        <w:trPr>
          <w:trHeight w:val="403" w:hRule="exact"/>
        </w:trPr>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14,719,202.15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17,569,878.17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-16.22%</w:t>
            </w:r>
          </w:p>
        </w:tc>
        <w:tc>
          <w:tcPr>
            <w:tcW w:w="39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14" w:right="1197"/>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674" w:right="117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公司设有</w:t>
      </w:r>
      <w:r>
        <w:rPr>
          <w:rFonts w:ascii="Times New Roman" w:hAnsi="Times New Roman" w:cs="Times New Roman" w:eastAsia="Times New Roman" w:hint="default"/>
        </w:rPr>
        <w:t>“</w:t>
      </w:r>
      <w:r>
        <w:rPr/>
        <w:t>江苏省省级企业技术中心</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苏州市有机光导工程技术研究中心</w:t>
      </w:r>
      <w:r>
        <w:rPr>
          <w:rFonts w:ascii="Times New Roman" w:hAnsi="Times New Roman" w:cs="Times New Roman" w:eastAsia="Times New Roman" w:hint="default"/>
        </w:rPr>
        <w:t>”</w:t>
      </w:r>
      <w:r>
        <w:rPr/>
        <w:t>。报告期内，公司</w:t>
      </w:r>
      <w:r>
        <w:rPr>
          <w:rFonts w:ascii="Times New Roman" w:hAnsi="Times New Roman" w:cs="Times New Roman" w:eastAsia="Times New Roman" w:hint="default"/>
        </w:rPr>
        <w:t>“</w:t>
      </w:r>
      <w:r>
        <w:rPr/>
        <w:t>苏州市新型纳米激光光</w:t>
      </w:r>
    </w:p>
    <w:p>
      <w:pPr>
        <w:pStyle w:val="BodyText"/>
        <w:spacing w:line="240" w:lineRule="auto" w:before="10"/>
        <w:ind w:left="314" w:right="0"/>
        <w:jc w:val="left"/>
      </w:pPr>
      <w:r>
        <w:rPr/>
        <w:t>导鼓工程技术研究中心</w:t>
      </w:r>
      <w:r>
        <w:rPr>
          <w:rFonts w:ascii="Times New Roman" w:hAnsi="Times New Roman" w:cs="Times New Roman" w:eastAsia="Times New Roman" w:hint="default"/>
        </w:rPr>
        <w:t>”</w:t>
      </w:r>
      <w:r>
        <w:rPr/>
        <w:t>获批成立并被评为苏州高新区科技工作先进单位。为了在日益变化的市场形势中获取技术与产品的</w:t>
      </w:r>
    </w:p>
    <w:p>
      <w:pPr>
        <w:spacing w:after="0" w:line="240" w:lineRule="auto"/>
        <w:jc w:val="left"/>
        <w:sectPr>
          <w:pgSz w:w="11910" w:h="16840"/>
          <w:pgMar w:header="747" w:footer="979" w:top="1060" w:bottom="1160" w:left="820" w:right="0"/>
        </w:sectPr>
      </w:pPr>
    </w:p>
    <w:p>
      <w:pPr>
        <w:spacing w:line="240" w:lineRule="auto" w:before="8"/>
        <w:rPr>
          <w:rFonts w:ascii="宋体" w:hAnsi="宋体" w:cs="宋体" w:eastAsia="宋体" w:hint="default"/>
          <w:sz w:val="27"/>
          <w:szCs w:val="27"/>
        </w:rPr>
      </w:pPr>
    </w:p>
    <w:p>
      <w:pPr>
        <w:pStyle w:val="BodyText"/>
        <w:spacing w:line="364" w:lineRule="auto"/>
        <w:ind w:left="214" w:right="1131"/>
        <w:jc w:val="both"/>
      </w:pPr>
      <w:r>
        <w:rPr>
          <w:spacing w:val="-2"/>
        </w:rPr>
        <w:t>先发优势与核心竞争力，公司凭借自身技术实力，持续研发与改进，对陶瓷硅鼓改有机光导鼓、超低温环境下的电荷阻挡层</w:t>
      </w:r>
      <w:r>
        <w:rPr>
          <w:spacing w:val="-66"/>
        </w:rPr>
        <w:t> </w:t>
      </w:r>
      <w:r>
        <w:rPr>
          <w:spacing w:val="-66"/>
        </w:rPr>
      </w:r>
      <w:r>
        <w:rPr>
          <w:spacing w:val="-2"/>
        </w:rPr>
        <w:t>配方研究、正电性彩色图像拟合效果的配方研究等项目进行自主研发。这些研发项目的开展将为提升公司产品竞争优势提供</w:t>
      </w:r>
      <w:r>
        <w:rPr>
          <w:spacing w:val="-64"/>
        </w:rPr>
        <w:t> </w:t>
      </w:r>
      <w:r>
        <w:rPr>
          <w:spacing w:val="-64"/>
        </w:rPr>
      </w:r>
      <w:r>
        <w:rPr/>
        <w:t>有力的支持。</w:t>
      </w:r>
    </w:p>
    <w:p>
      <w:pPr>
        <w:pStyle w:val="BodyText"/>
        <w:spacing w:line="345" w:lineRule="auto" w:before="29"/>
        <w:ind w:left="214" w:right="1121" w:firstLine="360"/>
        <w:jc w:val="left"/>
      </w:pPr>
      <w:r>
        <w:rPr>
          <w:spacing w:val="-2"/>
        </w:rPr>
        <w:t>报告期内，公司申请</w:t>
      </w:r>
      <w:r>
        <w:rPr>
          <w:rFonts w:ascii="Times New Roman" w:hAnsi="Times New Roman" w:cs="Times New Roman" w:eastAsia="Times New Roman" w:hint="default"/>
          <w:spacing w:val="-2"/>
        </w:rPr>
        <w:t>1</w:t>
      </w:r>
      <w:r>
        <w:rPr>
          <w:spacing w:val="-2"/>
        </w:rPr>
        <w:t>项实用新型专利，</w:t>
      </w:r>
      <w:r>
        <w:rPr>
          <w:rFonts w:ascii="Times New Roman" w:hAnsi="Times New Roman" w:cs="Times New Roman" w:eastAsia="Times New Roman" w:hint="default"/>
          <w:spacing w:val="-2"/>
        </w:rPr>
        <w:t>3</w:t>
      </w:r>
      <w:r>
        <w:rPr>
          <w:spacing w:val="-2"/>
        </w:rPr>
        <w:t>项实用新型专利获得授权。截止报告期末，公司共有</w:t>
      </w:r>
      <w:r>
        <w:rPr>
          <w:rFonts w:ascii="Times New Roman" w:hAnsi="Times New Roman" w:cs="Times New Roman" w:eastAsia="Times New Roman" w:hint="default"/>
          <w:spacing w:val="-2"/>
        </w:rPr>
        <w:t>4</w:t>
      </w:r>
      <w:r>
        <w:rPr>
          <w:spacing w:val="-2"/>
        </w:rPr>
        <w:t>项发明专利，</w:t>
      </w:r>
      <w:r>
        <w:rPr>
          <w:rFonts w:ascii="Times New Roman" w:hAnsi="Times New Roman" w:cs="Times New Roman" w:eastAsia="Times New Roman" w:hint="default"/>
          <w:spacing w:val="-2"/>
        </w:rPr>
        <w:t>7</w:t>
      </w:r>
      <w:r>
        <w:rPr>
          <w:spacing w:val="-2"/>
        </w:rPr>
        <w:t>项实用新</w:t>
      </w:r>
      <w:r>
        <w:rPr/>
        <w:t> 型专利，</w:t>
      </w:r>
      <w:r>
        <w:rPr>
          <w:rFonts w:ascii="Times New Roman" w:hAnsi="Times New Roman" w:cs="Times New Roman" w:eastAsia="Times New Roman" w:hint="default"/>
        </w:rPr>
        <w:t>15</w:t>
      </w:r>
      <w:r>
        <w:rPr/>
        <w:t>项外观专利获得授权，另有</w:t>
      </w:r>
      <w:r>
        <w:rPr>
          <w:rFonts w:ascii="Times New Roman" w:hAnsi="Times New Roman" w:cs="Times New Roman" w:eastAsia="Times New Roman" w:hint="default"/>
        </w:rPr>
        <w:t>14</w:t>
      </w:r>
      <w:r>
        <w:rPr/>
        <w:t>项发明专利进入实审阶段。</w:t>
      </w:r>
    </w:p>
    <w:p>
      <w:pPr>
        <w:pStyle w:val="BodyText"/>
        <w:spacing w:line="240" w:lineRule="auto" w:before="40"/>
        <w:ind w:left="214" w:right="0"/>
        <w:jc w:val="both"/>
      </w:pPr>
      <w:r>
        <w:rPr/>
        <w:t>公司研发投入情况</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14,719,202.15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17,569,878.17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14" w:right="1121"/>
        <w:jc w:val="left"/>
      </w:pPr>
      <w:r>
        <w:rPr/>
        <w:t>研发投入总额占营业收入的比重较上年发生显著变化的原因</w:t>
      </w:r>
    </w:p>
    <w:p>
      <w:pPr>
        <w:pStyle w:val="BodyText"/>
        <w:spacing w:line="338" w:lineRule="auto" w:before="117"/>
        <w:ind w:left="21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left="214"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214" w:right="1121"/>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653"/>
        <w:gridCol w:w="2404"/>
        <w:gridCol w:w="2393"/>
        <w:gridCol w:w="2392"/>
      </w:tblGrid>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366,442,013.04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329,891,698.00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11.08%</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401,458,251.55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327,160,828.56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22.71%</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-35,016,238.51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2,730,869.44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-1,382.24%</w:t>
            </w:r>
            <w:r>
              <w:rPr>
                <w:rFonts w:ascii="Times New Roman"/>
                <w:sz w:val="18"/>
              </w:rPr>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369,233,222.27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550,003,021.49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433,551,788.06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507,189,596.05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-64,318,565.79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42,813,425.44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-250.23%</w:t>
            </w:r>
            <w:r>
              <w:rPr>
                <w:rFonts w:ascii="Times New Roman"/>
                <w:sz w:val="18"/>
              </w:rPr>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63,174,188.98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12,326,899.81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14,391,581.95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50,847,289.17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-14,391,581.95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453.31%</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-40,243,621.93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23,512,402.69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-271.16%</w:t>
            </w:r>
            <w:r>
              <w:rPr>
                <w:rFonts w:ascii="Times New Roman"/>
                <w:sz w:val="18"/>
              </w:rPr>
            </w:r>
          </w:p>
        </w:tc>
      </w:tr>
    </w:tbl>
    <w:p>
      <w:pPr>
        <w:pStyle w:val="BodyText"/>
        <w:spacing w:line="240" w:lineRule="auto" w:before="51"/>
        <w:ind w:left="214" w:right="1121"/>
        <w:jc w:val="left"/>
      </w:pPr>
      <w:r>
        <w:rPr/>
        <w:t>相关数据同比发生重大变动的主要影响因素说明</w:t>
      </w:r>
    </w:p>
    <w:p>
      <w:pPr>
        <w:pStyle w:val="BodyText"/>
        <w:spacing w:line="240" w:lineRule="auto" w:before="117"/>
        <w:ind w:left="214"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5" w:lineRule="auto" w:before="124"/>
        <w:ind w:left="214" w:right="1121" w:firstLine="360"/>
        <w:jc w:val="left"/>
      </w:pPr>
      <w:r>
        <w:rPr/>
        <w:t>（</w:t>
      </w:r>
      <w:r>
        <w:rPr>
          <w:rFonts w:ascii="Times New Roman" w:hAnsi="Times New Roman" w:cs="Times New Roman" w:eastAsia="Times New Roman" w:hint="default"/>
        </w:rPr>
        <w:t>1</w:t>
      </w:r>
      <w:r>
        <w:rPr/>
        <w:t>）经营活动产生的现金流量净额较上年同期下降</w:t>
      </w:r>
      <w:r>
        <w:rPr>
          <w:rFonts w:ascii="Times New Roman" w:hAnsi="Times New Roman" w:cs="Times New Roman" w:eastAsia="Times New Roman" w:hint="default"/>
        </w:rPr>
        <w:t>37,747,107.95</w:t>
      </w:r>
      <w:r>
        <w:rPr>
          <w:rFonts w:ascii="Times New Roman" w:hAnsi="Times New Roman" w:cs="Times New Roman" w:eastAsia="Times New Roman" w:hint="default"/>
          <w:spacing w:val="25"/>
        </w:rPr>
        <w:t> </w:t>
      </w:r>
      <w:r>
        <w:rPr>
          <w:spacing w:val="-3"/>
        </w:rPr>
        <w:t>元，下降了</w:t>
      </w:r>
      <w:r>
        <w:rPr>
          <w:rFonts w:ascii="Times New Roman" w:hAnsi="Times New Roman" w:cs="Times New Roman" w:eastAsia="Times New Roman" w:hint="default"/>
          <w:spacing w:val="-3"/>
        </w:rPr>
        <w:t>1,382.24%</w:t>
      </w:r>
      <w:r>
        <w:rPr>
          <w:spacing w:val="-3"/>
        </w:rPr>
        <w:t>，主要系报告期内保理款的发放</w:t>
      </w:r>
      <w:r>
        <w:rPr/>
        <w:t> </w:t>
      </w:r>
      <w:r>
        <w:rPr>
          <w:spacing w:val="-1"/>
        </w:rPr>
        <w:t>与回收现金净流出较去年增加</w:t>
      </w:r>
      <w:r>
        <w:rPr>
          <w:rFonts w:ascii="Times New Roman" w:hAnsi="Times New Roman" w:cs="Times New Roman" w:eastAsia="Times New Roman" w:hint="default"/>
          <w:spacing w:val="-1"/>
        </w:rPr>
        <w:t>8,730,000.00</w:t>
      </w:r>
      <w:r>
        <w:rPr>
          <w:spacing w:val="-1"/>
        </w:rPr>
        <w:t>元，从而使支付其他与经营活动有关的现金较上年同期增长</w:t>
      </w:r>
      <w:r>
        <w:rPr>
          <w:rFonts w:ascii="Times New Roman" w:hAnsi="Times New Roman" w:cs="Times New Roman" w:eastAsia="Times New Roman" w:hint="default"/>
          <w:spacing w:val="-1"/>
        </w:rPr>
        <w:t>120.92%</w:t>
      </w:r>
      <w:r>
        <w:rPr>
          <w:spacing w:val="-1"/>
        </w:rPr>
        <w:t>；同时，随着</w:t>
      </w:r>
    </w:p>
    <w:p>
      <w:pPr>
        <w:spacing w:after="0" w:line="345" w:lineRule="auto"/>
        <w:jc w:val="left"/>
        <w:sectPr>
          <w:pgSz w:w="11910" w:h="16840"/>
          <w:pgMar w:header="747" w:footer="979" w:top="1060" w:bottom="1160" w:left="920" w:right="0"/>
        </w:sectPr>
      </w:pPr>
    </w:p>
    <w:p>
      <w:pPr>
        <w:spacing w:line="240" w:lineRule="auto" w:before="8"/>
        <w:rPr>
          <w:rFonts w:ascii="宋体" w:hAnsi="宋体" w:cs="宋体" w:eastAsia="宋体" w:hint="default"/>
          <w:sz w:val="27"/>
          <w:szCs w:val="27"/>
        </w:rPr>
      </w:pPr>
    </w:p>
    <w:p>
      <w:pPr>
        <w:pStyle w:val="BodyText"/>
        <w:spacing w:line="345" w:lineRule="auto"/>
        <w:ind w:left="314" w:right="0"/>
        <w:jc w:val="left"/>
      </w:pPr>
      <w:r>
        <w:rPr>
          <w:spacing w:val="-1"/>
        </w:rPr>
        <w:t>公司硒鼓等打复印耗材贸易业务的开展，公司购买商品、接受劳务支付的现金也较上年同期增长了</w:t>
      </w:r>
      <w:r>
        <w:rPr>
          <w:rFonts w:ascii="Times New Roman" w:hAnsi="Times New Roman" w:cs="Times New Roman" w:eastAsia="Times New Roman" w:hint="default"/>
          <w:spacing w:val="-1"/>
        </w:rPr>
        <w:t>18.77%</w:t>
      </w:r>
      <w:r>
        <w:rPr>
          <w:spacing w:val="-1"/>
        </w:rPr>
        <w:t>；两者共同作用，</w:t>
      </w:r>
      <w:r>
        <w:rPr>
          <w:spacing w:val="-43"/>
        </w:rPr>
        <w:t> </w:t>
      </w:r>
      <w:r>
        <w:rPr>
          <w:spacing w:val="-43"/>
        </w:rPr>
      </w:r>
      <w:r>
        <w:rPr/>
        <w:t>是导致经营活动产生的现金流量净额较上年同期出现下降的主要原因。</w:t>
      </w:r>
    </w:p>
    <w:p>
      <w:pPr>
        <w:pStyle w:val="BodyText"/>
        <w:spacing w:line="345" w:lineRule="auto"/>
        <w:ind w:left="314" w:right="1215" w:firstLine="360"/>
        <w:jc w:val="both"/>
      </w:pPr>
      <w:r>
        <w:rPr/>
        <w:t>（</w:t>
      </w:r>
      <w:r>
        <w:rPr>
          <w:rFonts w:ascii="Times New Roman" w:hAnsi="Times New Roman" w:cs="Times New Roman" w:eastAsia="Times New Roman" w:hint="default"/>
        </w:rPr>
        <w:t>2</w:t>
      </w:r>
      <w:r>
        <w:rPr/>
        <w:t>）投资活动产生的现金流量净额较上年同期下降</w:t>
      </w:r>
      <w:r>
        <w:rPr>
          <w:rFonts w:ascii="Times New Roman" w:hAnsi="Times New Roman" w:cs="Times New Roman" w:eastAsia="Times New Roman" w:hint="default"/>
        </w:rPr>
        <w:t>250.23%</w:t>
      </w:r>
      <w:r>
        <w:rPr/>
        <w:t>，主要系报告期内收回到期理财产品及投资收益较上年同 期减少，从而使投资活动现金流入较上年同期下降了</w:t>
      </w:r>
      <w:r>
        <w:rPr>
          <w:rFonts w:ascii="Times New Roman" w:hAnsi="Times New Roman" w:cs="Times New Roman" w:eastAsia="Times New Roman" w:hint="default"/>
        </w:rPr>
        <w:t>32.87%</w:t>
      </w:r>
      <w:r>
        <w:rPr/>
        <w:t>。</w:t>
      </w:r>
    </w:p>
    <w:p>
      <w:pPr>
        <w:pStyle w:val="BodyText"/>
        <w:spacing w:line="362" w:lineRule="auto" w:before="22"/>
        <w:ind w:left="764" w:right="1377" w:hanging="90"/>
        <w:jc w:val="left"/>
      </w:pPr>
      <w:r>
        <w:rPr/>
        <w:t>（</w:t>
      </w:r>
      <w:r>
        <w:rPr>
          <w:rFonts w:ascii="Times New Roman" w:hAnsi="Times New Roman" w:cs="Times New Roman" w:eastAsia="Times New Roman" w:hint="default"/>
        </w:rPr>
        <w:t>3</w:t>
      </w:r>
      <w:r>
        <w:rPr/>
        <w:t>）筹资活动产生的现金流量净额较上年同期增长</w:t>
      </w:r>
      <w:r>
        <w:rPr>
          <w:rFonts w:ascii="Times New Roman" w:hAnsi="Times New Roman" w:cs="Times New Roman" w:eastAsia="Times New Roman" w:hint="default"/>
        </w:rPr>
        <w:t>453.31%</w:t>
      </w:r>
      <w:r>
        <w:rPr/>
        <w:t>，主要系公司报告期内新增银行借款的现金流入所致。 以上因素共同作用，是构成现金及现金等价物净增加额较上年同期下降</w:t>
      </w:r>
      <w:r>
        <w:rPr>
          <w:spacing w:val="-45"/>
        </w:rPr>
        <w:t> </w:t>
      </w:r>
      <w:r>
        <w:rPr>
          <w:rFonts w:ascii="宋体" w:hAnsi="宋体" w:cs="宋体" w:eastAsia="宋体" w:hint="default"/>
        </w:rPr>
        <w:t>271.16%</w:t>
      </w:r>
      <w:r>
        <w:rPr/>
        <w:t>的主要原因。</w:t>
      </w:r>
    </w:p>
    <w:p>
      <w:pPr>
        <w:pStyle w:val="BodyText"/>
        <w:spacing w:line="240" w:lineRule="auto" w:before="25"/>
        <w:ind w:left="314" w:right="1197"/>
        <w:jc w:val="left"/>
      </w:pPr>
      <w:r>
        <w:rPr/>
        <w:t>报告期内公司经营活动产生的现金净流量与本年度净利润存在重大差异的原因说明</w:t>
      </w:r>
    </w:p>
    <w:p>
      <w:pPr>
        <w:pStyle w:val="BodyText"/>
        <w:spacing w:line="240" w:lineRule="auto" w:before="116"/>
        <w:ind w:left="314" w:right="11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24"/>
        <w:ind w:left="674" w:right="1197"/>
        <w:jc w:val="left"/>
      </w:pPr>
      <w:r>
        <w:rPr/>
        <w:t>报告期内，公司经营活动产生的现金流量净额为</w:t>
      </w:r>
      <w:r>
        <w:rPr>
          <w:rFonts w:ascii="Times New Roman" w:hAnsi="Times New Roman" w:cs="Times New Roman" w:eastAsia="Times New Roman" w:hint="default"/>
        </w:rPr>
        <w:t>-35,016,238.51</w:t>
      </w:r>
      <w:r>
        <w:rPr/>
        <w:t>元，实现本年度归属于母公司所有者的净利润为</w:t>
      </w:r>
    </w:p>
    <w:p>
      <w:pPr>
        <w:pStyle w:val="BodyText"/>
        <w:spacing w:line="240" w:lineRule="auto" w:before="109"/>
        <w:ind w:left="314" w:right="1197"/>
        <w:jc w:val="left"/>
      </w:pPr>
      <w:r>
        <w:rPr>
          <w:rFonts w:ascii="Times New Roman" w:hAnsi="Times New Roman" w:cs="Times New Roman" w:eastAsia="Times New Roman" w:hint="default"/>
        </w:rPr>
        <w:t>34,659,747.32</w:t>
      </w:r>
      <w:r>
        <w:rPr/>
        <w:t>元，两者之前存在重大差异的原因为：</w:t>
      </w:r>
    </w:p>
    <w:p>
      <w:pPr>
        <w:pStyle w:val="BodyText"/>
        <w:spacing w:line="345" w:lineRule="auto" w:before="109"/>
        <w:ind w:left="314" w:right="1215" w:firstLine="360"/>
        <w:jc w:val="both"/>
      </w:pPr>
      <w:r>
        <w:rPr/>
        <w:t>（</w:t>
      </w:r>
      <w:r>
        <w:rPr>
          <w:rFonts w:ascii="Times New Roman" w:hAnsi="Times New Roman" w:cs="Times New Roman" w:eastAsia="Times New Roman" w:hint="default"/>
        </w:rPr>
        <w:t>1</w:t>
      </w:r>
      <w:r>
        <w:rPr/>
        <w:t>）报告期内，公司销售商品、提供劳务收到的现金较上年同期增长</w:t>
      </w:r>
      <w:r>
        <w:rPr>
          <w:rFonts w:ascii="Times New Roman" w:hAnsi="Times New Roman" w:cs="Times New Roman" w:eastAsia="Times New Roman" w:hint="default"/>
        </w:rPr>
        <w:t>1.81%</w:t>
      </w:r>
      <w:r>
        <w:rPr/>
        <w:t>；而随着公司硒鼓等打复印耗材贸易业务 的市场开拓，公司购买商品、接受劳务支付的现金较上年同期增长</w:t>
      </w:r>
      <w:r>
        <w:rPr>
          <w:rFonts w:ascii="Times New Roman" w:hAnsi="Times New Roman" w:cs="Times New Roman" w:eastAsia="Times New Roman" w:hint="default"/>
        </w:rPr>
        <w:t>18.77%</w:t>
      </w:r>
      <w:r>
        <w:rPr/>
        <w:t>；从而使公司经营活动现金流入与现金流出存在 较大差异；</w:t>
      </w:r>
    </w:p>
    <w:p>
      <w:pPr>
        <w:pStyle w:val="BodyText"/>
        <w:spacing w:line="345" w:lineRule="auto"/>
        <w:ind w:left="314" w:right="1130" w:firstLine="360"/>
        <w:jc w:val="both"/>
      </w:pPr>
      <w:r>
        <w:rPr>
          <w:spacing w:val="-1"/>
        </w:rPr>
        <w:t>（</w:t>
      </w:r>
      <w:r>
        <w:rPr>
          <w:rFonts w:ascii="Times New Roman" w:hAnsi="Times New Roman" w:cs="Times New Roman" w:eastAsia="Times New Roman" w:hint="default"/>
          <w:spacing w:val="-1"/>
        </w:rPr>
        <w:t>2</w:t>
      </w:r>
      <w:r>
        <w:rPr>
          <w:spacing w:val="-1"/>
        </w:rPr>
        <w:t>）公司全资子公司恒久保理开展商业保理业务，报告期内保理款的发放与回收现金净流出为</w:t>
      </w:r>
      <w:r>
        <w:rPr>
          <w:rFonts w:ascii="Times New Roman" w:hAnsi="Times New Roman" w:cs="Times New Roman" w:eastAsia="Times New Roman" w:hint="default"/>
          <w:spacing w:val="-1"/>
        </w:rPr>
        <w:t>1,473</w:t>
      </w:r>
      <w:r>
        <w:rPr>
          <w:spacing w:val="-1"/>
        </w:rPr>
        <w:t>万元，而保理业务</w:t>
      </w:r>
      <w:r>
        <w:rPr/>
        <w:t> 形成的净利润为</w:t>
      </w:r>
      <w:r>
        <w:rPr>
          <w:rFonts w:ascii="Times New Roman" w:hAnsi="Times New Roman" w:cs="Times New Roman" w:eastAsia="Times New Roman" w:hint="default"/>
        </w:rPr>
        <w:t>122.01</w:t>
      </w:r>
      <w:r>
        <w:rPr/>
        <w:t>万元，其现金流量与净利润之间存在一定的差异；</w:t>
      </w:r>
    </w:p>
    <w:p>
      <w:pPr>
        <w:pStyle w:val="BodyText"/>
        <w:spacing w:line="240" w:lineRule="auto" w:before="22"/>
        <w:ind w:left="674" w:right="0"/>
        <w:jc w:val="left"/>
      </w:pPr>
      <w:r>
        <w:rPr/>
        <w:t>（</w:t>
      </w:r>
      <w:r>
        <w:rPr>
          <w:rFonts w:ascii="Times New Roman" w:hAnsi="Times New Roman" w:cs="Times New Roman" w:eastAsia="Times New Roman" w:hint="default"/>
        </w:rPr>
        <w:t>3</w:t>
      </w:r>
      <w:r>
        <w:rPr/>
        <w:t>）公司实现本年度归属于母公司所有者的净利润为</w:t>
      </w:r>
      <w:r>
        <w:rPr>
          <w:rFonts w:ascii="Times New Roman" w:hAnsi="Times New Roman" w:cs="Times New Roman" w:eastAsia="Times New Roman" w:hint="default"/>
        </w:rPr>
        <w:t>34,659,747.32</w:t>
      </w:r>
      <w:r>
        <w:rPr/>
        <w:t>元，其中包含对联营企业按权益法核算的投资收益</w:t>
      </w:r>
    </w:p>
    <w:p>
      <w:pPr>
        <w:pStyle w:val="BodyText"/>
        <w:spacing w:line="240" w:lineRule="auto" w:before="109"/>
        <w:ind w:left="314" w:right="1197"/>
        <w:jc w:val="left"/>
      </w:pPr>
      <w:r>
        <w:rPr>
          <w:rFonts w:ascii="Times New Roman" w:hAnsi="Times New Roman" w:cs="Times New Roman" w:eastAsia="Times New Roman" w:hint="default"/>
        </w:rPr>
        <w:t>491.23</w:t>
      </w:r>
      <w:r>
        <w:rPr/>
        <w:t>万元，财务汇兑收益</w:t>
      </w:r>
      <w:r>
        <w:rPr>
          <w:rFonts w:ascii="宋体" w:hAnsi="宋体" w:cs="宋体" w:eastAsia="宋体" w:hint="default"/>
        </w:rPr>
        <w:t>892.07</w:t>
      </w:r>
      <w:r>
        <w:rPr/>
        <w:t>万元。</w:t>
      </w:r>
    </w:p>
    <w:p>
      <w:pPr>
        <w:spacing w:line="240" w:lineRule="auto" w:before="12"/>
        <w:rPr>
          <w:rFonts w:ascii="宋体" w:hAnsi="宋体" w:cs="宋体" w:eastAsia="宋体" w:hint="default"/>
          <w:sz w:val="25"/>
          <w:szCs w:val="25"/>
        </w:rPr>
      </w:pPr>
    </w:p>
    <w:p>
      <w:pPr>
        <w:pStyle w:val="Heading2"/>
        <w:spacing w:line="240" w:lineRule="auto"/>
        <w:ind w:left="374" w:right="1197"/>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314" w:right="11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309" w:type="dxa"/>
        <w:tblLayout w:type="fixed"/>
        <w:tblCellMar>
          <w:top w:w="0" w:type="dxa"/>
          <w:left w:w="0" w:type="dxa"/>
          <w:bottom w:w="0" w:type="dxa"/>
          <w:right w:w="0" w:type="dxa"/>
        </w:tblCellMar>
        <w:tblLook w:val="01E0"/>
      </w:tblPr>
      <w:tblGrid>
        <w:gridCol w:w="1512"/>
        <w:gridCol w:w="1607"/>
        <w:gridCol w:w="1559"/>
        <w:gridCol w:w="3261"/>
        <w:gridCol w:w="1631"/>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6,029,267.55</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1" w:right="0"/>
              <w:jc w:val="left"/>
              <w:rPr>
                <w:rFonts w:ascii="Times New Roman" w:hAnsi="Times New Roman" w:cs="Times New Roman" w:eastAsia="Times New Roman" w:hint="default"/>
                <w:sz w:val="18"/>
                <w:szCs w:val="18"/>
              </w:rPr>
            </w:pPr>
            <w:r>
              <w:rPr>
                <w:rFonts w:ascii="Times New Roman"/>
                <w:sz w:val="18"/>
              </w:rPr>
              <w:t>15.56%</w:t>
            </w:r>
          </w:p>
        </w:tc>
        <w:tc>
          <w:tcPr>
            <w:tcW w:w="3261" w:type="dxa"/>
            <w:vMerge w:val="restart"/>
            <w:tcBorders>
              <w:top w:val="single" w:sz="4" w:space="0" w:color="000000"/>
              <w:left w:val="single" w:sz="4" w:space="0" w:color="000000"/>
              <w:right w:val="single" w:sz="4" w:space="0" w:color="000000"/>
            </w:tcBorders>
          </w:tcPr>
          <w:p>
            <w:pPr>
              <w:pStyle w:val="TableParagraph"/>
              <w:spacing w:line="319"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理财产品收益、按权益法核算的投资收 益、处置衍生金融工具形成的投资损失</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07"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751,287.50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衍生金融工具产生的公允价值变动收益</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7,625,157.51</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1" w:right="0"/>
              <w:jc w:val="left"/>
              <w:rPr>
                <w:rFonts w:ascii="Times New Roman" w:hAnsi="Times New Roman" w:cs="Times New Roman" w:eastAsia="Times New Roman" w:hint="default"/>
                <w:sz w:val="18"/>
                <w:szCs w:val="18"/>
              </w:rPr>
            </w:pPr>
            <w:r>
              <w:rPr>
                <w:rFonts w:ascii="Times New Roman"/>
                <w:sz w:val="18"/>
              </w:rPr>
              <w:t>19.68%</w:t>
            </w:r>
          </w:p>
        </w:tc>
        <w:tc>
          <w:tcPr>
            <w:tcW w:w="3261" w:type="dxa"/>
            <w:vMerge w:val="restart"/>
            <w:tcBorders>
              <w:top w:val="single" w:sz="4" w:space="0" w:color="000000"/>
              <w:left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2"/>
                <w:sz w:val="18"/>
                <w:szCs w:val="18"/>
              </w:rPr>
              <w:t>计提的存货跌价准备、坏账准备及可供出</w:t>
            </w:r>
            <w:r>
              <w:rPr>
                <w:rFonts w:ascii="宋体" w:hAnsi="宋体" w:cs="宋体" w:eastAsia="宋体" w:hint="default"/>
                <w:sz w:val="18"/>
                <w:szCs w:val="18"/>
              </w:rPr>
              <w:t> 售金融资产减值损失</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607"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0.0005%</w:t>
            </w:r>
          </w:p>
        </w:tc>
        <w:tc>
          <w:tcPr>
            <w:tcW w:w="3261"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24,662.18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261"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607,416.73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政府补助收入及递延收益转入</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314" w:right="1197"/>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14" w:right="1197"/>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94"/>
        <w:gridCol w:w="1398"/>
        <w:gridCol w:w="1064"/>
        <w:gridCol w:w="1195"/>
        <w:gridCol w:w="1063"/>
        <w:gridCol w:w="798"/>
        <w:gridCol w:w="2918"/>
      </w:tblGrid>
      <w:tr>
        <w:trPr>
          <w:trHeight w:val="412" w:hRule="exact"/>
        </w:trPr>
        <w:tc>
          <w:tcPr>
            <w:tcW w:w="1594" w:type="dxa"/>
            <w:vMerge w:val="restart"/>
            <w:tcBorders>
              <w:top w:val="single" w:sz="4" w:space="0" w:color="000000"/>
              <w:left w:val="single" w:sz="4" w:space="0" w:color="000000"/>
              <w:right w:val="single" w:sz="4" w:space="0" w:color="000000"/>
            </w:tcBorders>
            <w:shd w:val="clear" w:color="auto" w:fill="D2D2D2"/>
          </w:tcPr>
          <w:p>
            <w:pPr/>
          </w:p>
        </w:tc>
        <w:tc>
          <w:tcPr>
            <w:tcW w:w="24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2"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82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571"/>
        <w:gridCol w:w="1409"/>
        <w:gridCol w:w="1064"/>
        <w:gridCol w:w="1195"/>
        <w:gridCol w:w="1063"/>
        <w:gridCol w:w="798"/>
        <w:gridCol w:w="2918"/>
      </w:tblGrid>
      <w:tr>
        <w:trPr>
          <w:trHeight w:val="36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160,416,538.74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202,537,002.62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主要系公司购买理财产品所致</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115,708,365.92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74,362,327.34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系应收货款及保理款增加所致</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106,658,120.35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93,948,146.38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37,147,586.86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32,235,326.58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100,336,397.91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108,973,425.47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主要系公司固定资产计提折旧所致</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系公司增加银行短期借款所致</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0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108,673,282.01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70,570,525.82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主要系购买的理财产品增加所致</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0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29,377,168.51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11,902,301.00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主要系公司对外投资增加所致</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0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49,709,548.09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73,423,061.66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主要系公司应付货款减少所致</w:t>
            </w:r>
          </w:p>
        </w:tc>
      </w:tr>
    </w:tbl>
    <w:p>
      <w:pPr>
        <w:spacing w:line="240" w:lineRule="auto" w:before="2"/>
        <w:rPr>
          <w:rFonts w:ascii="宋体" w:hAnsi="宋体" w:cs="宋体" w:eastAsia="宋体" w:hint="default"/>
          <w:sz w:val="19"/>
          <w:szCs w:val="19"/>
        </w:rPr>
      </w:pPr>
    </w:p>
    <w:p>
      <w:pPr>
        <w:pStyle w:val="Heading3"/>
        <w:spacing w:line="240" w:lineRule="auto" w:before="35"/>
        <w:ind w:left="29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2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63" w:type="dxa"/>
        <w:tblLayout w:type="fixed"/>
        <w:tblCellMar>
          <w:top w:w="0" w:type="dxa"/>
          <w:left w:w="0" w:type="dxa"/>
          <w:bottom w:w="0" w:type="dxa"/>
          <w:right w:w="0" w:type="dxa"/>
        </w:tblCellMar>
        <w:tblLook w:val="01E0"/>
      </w:tblPr>
      <w:tblGrid>
        <w:gridCol w:w="1338"/>
        <w:gridCol w:w="1230"/>
        <w:gridCol w:w="1208"/>
        <w:gridCol w:w="1213"/>
        <w:gridCol w:w="1208"/>
        <w:gridCol w:w="1220"/>
        <w:gridCol w:w="1212"/>
        <w:gridCol w:w="1074"/>
      </w:tblGrid>
      <w:tr>
        <w:trPr>
          <w:trHeight w:val="161" w:hRule="exact"/>
        </w:trPr>
        <w:tc>
          <w:tcPr>
            <w:tcW w:w="1338" w:type="dxa"/>
            <w:vMerge w:val="restart"/>
            <w:tcBorders>
              <w:top w:val="single" w:sz="4" w:space="0" w:color="000000"/>
              <w:left w:val="single" w:sz="4" w:space="0" w:color="000000"/>
              <w:right w:val="single" w:sz="4" w:space="0" w:color="000000"/>
            </w:tcBorders>
            <w:shd w:val="clear" w:color="auto" w:fill="D2D2D2"/>
          </w:tcPr>
          <w:p>
            <w:pPr/>
          </w:p>
        </w:tc>
        <w:tc>
          <w:tcPr>
            <w:tcW w:w="1230" w:type="dxa"/>
            <w:vMerge w:val="restart"/>
            <w:tcBorders>
              <w:top w:val="single" w:sz="4" w:space="0" w:color="000000"/>
              <w:left w:val="single" w:sz="4" w:space="0" w:color="000000"/>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107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338" w:type="dxa"/>
            <w:vMerge/>
            <w:tcBorders>
              <w:left w:val="single" w:sz="4" w:space="0" w:color="000000"/>
              <w:bottom w:val="nil" w:sz="6" w:space="0" w:color="auto"/>
              <w:right w:val="single" w:sz="4" w:space="0" w:color="000000"/>
            </w:tcBorders>
            <w:shd w:val="clear" w:color="auto" w:fill="D2D2D2"/>
          </w:tcPr>
          <w:p>
            <w:pPr/>
          </w:p>
        </w:tc>
        <w:tc>
          <w:tcPr>
            <w:tcW w:w="1230" w:type="dxa"/>
            <w:vMerge/>
            <w:tcBorders>
              <w:left w:val="single" w:sz="4" w:space="0" w:color="000000"/>
              <w:bottom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1" w:right="54"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3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8"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338" w:type="dxa"/>
            <w:vMerge w:val="restart"/>
            <w:tcBorders>
              <w:top w:val="nil" w:sz="6" w:space="0" w:color="auto"/>
              <w:left w:val="single" w:sz="4" w:space="0" w:color="000000"/>
              <w:right w:val="single" w:sz="4" w:space="0" w:color="000000"/>
            </w:tcBorders>
            <w:shd w:val="clear" w:color="auto" w:fill="D2D2D2"/>
          </w:tcPr>
          <w:p>
            <w:pPr/>
          </w:p>
        </w:tc>
        <w:tc>
          <w:tcPr>
            <w:tcW w:w="1230" w:type="dxa"/>
            <w:vMerge w:val="restart"/>
            <w:tcBorders>
              <w:top w:val="nil" w:sz="6" w:space="0" w:color="auto"/>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338" w:type="dxa"/>
            <w:vMerge/>
            <w:tcBorders>
              <w:left w:val="single" w:sz="4" w:space="0" w:color="000000"/>
              <w:bottom w:val="single" w:sz="4" w:space="0" w:color="000000"/>
              <w:right w:val="single" w:sz="4" w:space="0" w:color="000000"/>
            </w:tcBorders>
            <w:shd w:val="clear" w:color="auto" w:fill="D2D2D2"/>
          </w:tcPr>
          <w:p>
            <w:pPr/>
          </w:p>
        </w:tc>
        <w:tc>
          <w:tcPr>
            <w:tcW w:w="1230"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30" w:type="dxa"/>
            <w:tcBorders>
              <w:top w:val="single" w:sz="4" w:space="0" w:color="000000"/>
              <w:left w:val="single" w:sz="13" w:space="0" w:color="D2D2D2"/>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r>
      <w:tr>
        <w:trPr>
          <w:trHeight w:val="402" w:hRule="exact"/>
        </w:trPr>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0" w:type="dxa"/>
            <w:tcBorders>
              <w:top w:val="single" w:sz="4" w:space="0" w:color="000000"/>
              <w:left w:val="single" w:sz="13" w:space="0" w:color="D2D2D2"/>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r>
      <w:tr>
        <w:trPr>
          <w:trHeight w:val="402" w:hRule="exact"/>
        </w:trPr>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r>
      <w:tr>
        <w:trPr>
          <w:trHeight w:val="402" w:hRule="exact"/>
        </w:trPr>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676,475.00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676,475.00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94" w:right="0"/>
        <w:jc w:val="left"/>
      </w:pPr>
      <w:r>
        <w:rPr/>
        <w:t>报告期内公司主要资产计量属性是否发生重大变化</w:t>
      </w:r>
    </w:p>
    <w:p>
      <w:pPr>
        <w:pStyle w:val="BodyText"/>
        <w:spacing w:line="240" w:lineRule="auto" w:before="117"/>
        <w:ind w:left="29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294"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294" w:right="0"/>
        <w:jc w:val="left"/>
      </w:pPr>
      <w:r>
        <w:rPr/>
        <w:t>截至报告期末，公司存在外汇掉期业务保证金</w:t>
      </w:r>
      <w:r>
        <w:rPr>
          <w:rFonts w:ascii="Times New Roman" w:hAnsi="Times New Roman" w:cs="Times New Roman" w:eastAsia="Times New Roman" w:hint="default"/>
        </w:rPr>
        <w:t>514,740.00</w:t>
      </w:r>
      <w:r>
        <w:rPr/>
        <w:t>元。</w:t>
      </w:r>
    </w:p>
    <w:p>
      <w:pPr>
        <w:spacing w:line="240" w:lineRule="auto" w:before="1"/>
        <w:rPr>
          <w:rFonts w:ascii="宋体" w:hAnsi="宋体" w:cs="宋体" w:eastAsia="宋体" w:hint="default"/>
          <w:sz w:val="24"/>
          <w:szCs w:val="24"/>
        </w:rPr>
      </w:pPr>
    </w:p>
    <w:p>
      <w:pPr>
        <w:pStyle w:val="Heading2"/>
        <w:spacing w:line="240" w:lineRule="auto"/>
        <w:ind w:left="294"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94"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2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8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19,981,983.07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31,982,118.40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4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IPO</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19,069.93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7,502.89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5,585.85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暂存于募 集资金专 用账户及 进行现金 管理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4,377.10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19,069.93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7,502.89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5,585.85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4,377.10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5"/>
              <w:jc w:val="both"/>
              <w:rPr>
                <w:rFonts w:ascii="宋体" w:hAnsi="宋体" w:cs="宋体" w:eastAsia="宋体" w:hint="default"/>
                <w:sz w:val="18"/>
                <w:szCs w:val="18"/>
              </w:rPr>
            </w:pPr>
            <w:r>
              <w:rPr>
                <w:rFonts w:ascii="宋体" w:hAnsi="宋体" w:cs="宋体" w:eastAsia="宋体" w:hint="default"/>
                <w:sz w:val="18"/>
                <w:szCs w:val="18"/>
              </w:rPr>
              <w:t>根据中国证券监督管理委员会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[2016]1549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《关于核准苏州恒久光电科技股份有限公司首次公开发行股票 的批复》核准，本公司向社会公开发行人民币普通股（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元，溢价发行，发行价格为每股 </w:t>
            </w:r>
            <w:r>
              <w:rPr>
                <w:rFonts w:ascii="Times New Roman" w:hAnsi="Times New Roman" w:cs="Times New Roman" w:eastAsia="Times New Roman" w:hint="default"/>
                <w:sz w:val="18"/>
                <w:szCs w:val="18"/>
              </w:rPr>
              <w:t>7.71 </w:t>
            </w:r>
            <w:r>
              <w:rPr>
                <w:rFonts w:ascii="宋体" w:hAnsi="宋体" w:cs="宋体" w:eastAsia="宋体" w:hint="default"/>
                <w:spacing w:val="-5"/>
                <w:sz w:val="18"/>
                <w:szCs w:val="18"/>
              </w:rPr>
              <w:t>元，募集资金总额为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231,300,000.00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元，扣除支付的发行费用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40,600,700.00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元后，实际募集资金净额为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190,699,300.00 </w:t>
            </w:r>
            <w:r>
              <w:rPr>
                <w:rFonts w:ascii="宋体" w:hAnsi="宋体" w:cs="宋体" w:eastAsia="宋体" w:hint="default"/>
                <w:sz w:val="18"/>
                <w:szCs w:val="18"/>
              </w:rPr>
              <w:t>元。</w:t>
            </w:r>
          </w:p>
          <w:p>
            <w:pPr>
              <w:pStyle w:val="TableParagraph"/>
              <w:spacing w:line="240" w:lineRule="auto" w:before="70"/>
              <w:ind w:left="36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年度扣除累计已使用募集资金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35,957,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87.00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扣</w:t>
            </w:r>
            <w:r>
              <w:rPr>
                <w:rFonts w:ascii="宋体" w:hAnsi="宋体" w:cs="宋体" w:eastAsia="宋体" w:hint="default"/>
                <w:spacing w:val="-2"/>
                <w:sz w:val="18"/>
                <w:szCs w:val="18"/>
              </w:rPr>
              <w:t>除</w:t>
            </w:r>
            <w:r>
              <w:rPr>
                <w:rFonts w:ascii="宋体" w:hAnsi="宋体" w:cs="宋体" w:eastAsia="宋体" w:hint="default"/>
                <w:sz w:val="18"/>
                <w:szCs w:val="18"/>
              </w:rPr>
              <w:t>手续费支出 </w:t>
            </w:r>
            <w:r>
              <w:rPr>
                <w:rFonts w:ascii="Times New Roman" w:hAnsi="Times New Roman" w:cs="Times New Roman" w:eastAsia="Times New Roman" w:hint="default"/>
                <w:sz w:val="18"/>
                <w:szCs w:val="18"/>
              </w:rPr>
              <w:t>574.51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加上</w:t>
            </w:r>
            <w:r>
              <w:rPr>
                <w:rFonts w:ascii="宋体" w:hAnsi="宋体" w:cs="宋体" w:eastAsia="宋体" w:hint="default"/>
                <w:spacing w:val="-2"/>
                <w:sz w:val="18"/>
                <w:szCs w:val="18"/>
              </w:rPr>
              <w:t>收</w:t>
            </w:r>
            <w:r>
              <w:rPr>
                <w:rFonts w:ascii="宋体" w:hAnsi="宋体" w:cs="宋体" w:eastAsia="宋体" w:hint="default"/>
                <w:sz w:val="18"/>
                <w:szCs w:val="18"/>
              </w:rPr>
              <w:t>到的存款利息收入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484,418.96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2627" w:lineRule="exact"/>
        <w:ind w:left="194" w:right="0" w:firstLine="0"/>
        <w:rPr>
          <w:rFonts w:ascii="宋体" w:hAnsi="宋体" w:cs="宋体" w:eastAsia="宋体" w:hint="default"/>
          <w:sz w:val="20"/>
          <w:szCs w:val="20"/>
        </w:rPr>
      </w:pPr>
      <w:r>
        <w:rPr>
          <w:rFonts w:ascii="宋体" w:hAnsi="宋体" w:cs="宋体" w:eastAsia="宋体" w:hint="default"/>
          <w:position w:val="-52"/>
          <w:sz w:val="20"/>
          <w:szCs w:val="20"/>
        </w:rPr>
        <w:pict>
          <v:shape style="width:478.3pt;height:131.4pt;mso-position-horizontal-relative:char;mso-position-vertical-relative:line" type="#_x0000_t202" filled="false" stroked="true" strokeweight=".48004pt" strokecolor="#000000">
            <w10:anchorlock/>
            <v:textbox inset="0,0,0,0">
              <w:txbxContent>
                <w:p>
                  <w:pPr>
                    <w:pStyle w:val="BodyText"/>
                    <w:spacing w:line="240" w:lineRule="auto" w:before="11"/>
                    <w:ind w:left="22" w:right="0"/>
                    <w:jc w:val="left"/>
                  </w:pPr>
                  <w:r>
                    <w:rPr/>
                    <w:t>元，加上理财产品收益</w:t>
                  </w:r>
                  <w:r>
                    <w:rPr>
                      <w:spacing w:val="-1"/>
                    </w:rPr>
                    <w:t> </w:t>
                  </w:r>
                  <w:r>
                    <w:rPr>
                      <w:rFonts w:ascii="Times New Roman" w:hAnsi="Times New Roman" w:cs="Times New Roman" w:eastAsia="Times New Roman" w:hint="default"/>
                    </w:rPr>
                    <w:t>206,136.99</w:t>
                  </w:r>
                  <w:r>
                    <w:rPr>
                      <w:rFonts w:ascii="Times New Roman" w:hAnsi="Times New Roman" w:cs="Times New Roman" w:eastAsia="Times New Roman" w:hint="default"/>
                      <w:spacing w:val="44"/>
                    </w:rPr>
                    <w:t> </w:t>
                  </w:r>
                  <w:r>
                    <w:rPr/>
                    <w:t>元，截止</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日尚未使用的募集资金余额为</w:t>
                  </w:r>
                  <w:r>
                    <w:rPr>
                      <w:spacing w:val="-47"/>
                    </w:rPr>
                    <w:t> </w:t>
                  </w:r>
                  <w:r>
                    <w:rPr>
                      <w:rFonts w:ascii="Times New Roman" w:hAnsi="Times New Roman" w:cs="Times New Roman" w:eastAsia="Times New Roman" w:hint="default"/>
                    </w:rPr>
                    <w:t>155,432,094.44</w:t>
                  </w:r>
                  <w:r>
                    <w:rPr>
                      <w:rFonts w:ascii="Times New Roman" w:hAnsi="Times New Roman" w:cs="Times New Roman" w:eastAsia="Times New Roman" w:hint="default"/>
                      <w:spacing w:val="-2"/>
                    </w:rPr>
                    <w:t> </w:t>
                  </w:r>
                  <w:r>
                    <w:rPr/>
                    <w:t>元。</w:t>
                  </w:r>
                </w:p>
                <w:p>
                  <w:pPr>
                    <w:pStyle w:val="BodyText"/>
                    <w:spacing w:line="240" w:lineRule="auto" w:before="102"/>
                    <w:ind w:left="36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年，公司募集资金投资激光有机光导鼓扩建项目新增支出</w:t>
                  </w:r>
                  <w:r>
                    <w:rPr>
                      <w:spacing w:val="-47"/>
                    </w:rPr>
                    <w:t> </w:t>
                  </w:r>
                  <w:r>
                    <w:rPr>
                      <w:rFonts w:ascii="Times New Roman" w:hAnsi="Times New Roman" w:cs="Times New Roman" w:eastAsia="Times New Roman" w:hint="default"/>
                    </w:rPr>
                    <w:t>29,997,570.00</w:t>
                  </w:r>
                  <w:r>
                    <w:rPr>
                      <w:rFonts w:ascii="Times New Roman" w:hAnsi="Times New Roman" w:cs="Times New Roman" w:eastAsia="Times New Roman" w:hint="default"/>
                      <w:spacing w:val="-1"/>
                    </w:rPr>
                    <w:t> </w:t>
                  </w:r>
                  <w:r>
                    <w:rPr/>
                    <w:t>元，投资有机光电工程技术中心建设项</w:t>
                  </w:r>
                </w:p>
                <w:p>
                  <w:pPr>
                    <w:pStyle w:val="BodyText"/>
                    <w:spacing w:line="240" w:lineRule="auto" w:before="63"/>
                    <w:ind w:left="22" w:right="0"/>
                    <w:jc w:val="left"/>
                    <w:rPr>
                      <w:rFonts w:ascii="Times New Roman" w:hAnsi="Times New Roman" w:cs="Times New Roman" w:eastAsia="Times New Roman" w:hint="default"/>
                    </w:rPr>
                  </w:pPr>
                  <w:r>
                    <w:rPr/>
                    <w:t>目支出</w:t>
                  </w:r>
                  <w:r>
                    <w:rPr>
                      <w:spacing w:val="-45"/>
                    </w:rPr>
                    <w:t> </w:t>
                  </w:r>
                  <w:r>
                    <w:rPr>
                      <w:rFonts w:ascii="Times New Roman" w:hAnsi="Times New Roman" w:cs="Times New Roman" w:eastAsia="Times New Roman" w:hint="default"/>
                    </w:rPr>
                    <w:t>18,900.00 </w:t>
                  </w:r>
                  <w:r>
                    <w:rPr>
                      <w:spacing w:val="-8"/>
                    </w:rPr>
                    <w:t>元，扣除手续费支出</w:t>
                  </w:r>
                  <w:r>
                    <w:rPr>
                      <w:spacing w:val="-45"/>
                    </w:rPr>
                    <w:t> </w:t>
                  </w:r>
                  <w:r>
                    <w:rPr>
                      <w:rFonts w:ascii="Times New Roman" w:hAnsi="Times New Roman" w:cs="Times New Roman" w:eastAsia="Times New Roman" w:hint="default"/>
                    </w:rPr>
                    <w:t>2,791.90 </w:t>
                  </w:r>
                  <w:r>
                    <w:rPr>
                      <w:spacing w:val="-6"/>
                    </w:rPr>
                    <w:t>元，加上收到的存款利息收入</w:t>
                  </w:r>
                  <w:r>
                    <w:rPr>
                      <w:spacing w:val="-45"/>
                    </w:rPr>
                    <w:t> </w:t>
                  </w:r>
                  <w:r>
                    <w:rPr>
                      <w:rFonts w:ascii="Times New Roman" w:hAnsi="Times New Roman" w:cs="Times New Roman" w:eastAsia="Times New Roman" w:hint="default"/>
                    </w:rPr>
                    <w:t>351,785.13 </w:t>
                  </w:r>
                  <w:r>
                    <w:rPr>
                      <w:spacing w:val="-8"/>
                    </w:rPr>
                    <w:t>元，加上理财产品收益</w:t>
                  </w:r>
                  <w:r>
                    <w:rPr>
                      <w:spacing w:val="-45"/>
                    </w:rPr>
                    <w:t> </w:t>
                  </w:r>
                  <w:r>
                    <w:rPr>
                      <w:rFonts w:ascii="Times New Roman" w:hAnsi="Times New Roman" w:cs="Times New Roman" w:eastAsia="Times New Roman" w:hint="default"/>
                    </w:rPr>
                    <w:t>4,212,231.88</w:t>
                  </w:r>
                </w:p>
                <w:p>
                  <w:pPr>
                    <w:pStyle w:val="BodyText"/>
                    <w:spacing w:line="240" w:lineRule="auto" w:before="64"/>
                    <w:ind w:left="22" w:right="0"/>
                    <w:jc w:val="left"/>
                  </w:pPr>
                  <w:r>
                    <w:rPr/>
                    <w:t>元，截止</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日，公司募集资金余额应为</w:t>
                  </w:r>
                  <w:r>
                    <w:rPr>
                      <w:spacing w:val="-46"/>
                    </w:rPr>
                    <w:t> </w:t>
                  </w:r>
                  <w:r>
                    <w:rPr>
                      <w:rFonts w:ascii="Times New Roman" w:hAnsi="Times New Roman" w:cs="Times New Roman" w:eastAsia="Times New Roman" w:hint="default"/>
                    </w:rPr>
                    <w:t>129,976,849.55 </w:t>
                  </w:r>
                  <w:r>
                    <w:rPr/>
                    <w:t>元。</w:t>
                  </w:r>
                </w:p>
                <w:p>
                  <w:pPr>
                    <w:pStyle w:val="BodyText"/>
                    <w:spacing w:line="240" w:lineRule="auto" w:before="101"/>
                    <w:ind w:left="36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年度，根据</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t>年第一次临时股东大会决议，公司激光有机光导鼓扩建项目结项，并自该项目的苏州恒久募集</w:t>
                  </w:r>
                </w:p>
                <w:p>
                  <w:pPr>
                    <w:pStyle w:val="BodyText"/>
                    <w:spacing w:line="240" w:lineRule="auto" w:before="63"/>
                    <w:ind w:left="22" w:right="0"/>
                    <w:jc w:val="left"/>
                  </w:pPr>
                  <w:r>
                    <w:rPr/>
                    <w:t>资金账户及理财产品专用结算账户转出节余募集资金</w:t>
                  </w:r>
                  <w:r>
                    <w:rPr>
                      <w:spacing w:val="-45"/>
                    </w:rPr>
                    <w:t> </w:t>
                  </w:r>
                  <w:r>
                    <w:rPr>
                      <w:rFonts w:ascii="Times New Roman" w:hAnsi="Times New Roman" w:cs="Times New Roman" w:eastAsia="Times New Roman" w:hint="default"/>
                    </w:rPr>
                    <w:t>67,040,321.01 </w:t>
                  </w:r>
                  <w:r>
                    <w:rPr/>
                    <w:t>元</w:t>
                  </w:r>
                  <w:r>
                    <w:rPr>
                      <w:spacing w:val="-2"/>
                    </w:rPr>
                    <w:t>用</w:t>
                  </w:r>
                  <w:r>
                    <w:rPr/>
                    <w:t>于永久补充流动资金</w:t>
                  </w:r>
                  <w:r>
                    <w:rPr>
                      <w:spacing w:val="-77"/>
                    </w:rPr>
                    <w:t>，</w:t>
                  </w:r>
                  <w:r>
                    <w:rPr/>
                    <w:t>并继续使用实施该项目的吴</w:t>
                  </w:r>
                </w:p>
                <w:p>
                  <w:pPr>
                    <w:pStyle w:val="BodyText"/>
                    <w:spacing w:line="240" w:lineRule="auto" w:before="63"/>
                    <w:ind w:left="22" w:right="0"/>
                    <w:jc w:val="left"/>
                  </w:pPr>
                  <w:r>
                    <w:rPr/>
                    <w:t>中恒久募集资金账户支付项目尾款</w:t>
                  </w:r>
                  <w:r>
                    <w:rPr>
                      <w:spacing w:val="-47"/>
                    </w:rPr>
                    <w:t> </w:t>
                  </w:r>
                  <w:r>
                    <w:rPr>
                      <w:rFonts w:ascii="Times New Roman" w:hAnsi="Times New Roman" w:cs="Times New Roman" w:eastAsia="Times New Roman" w:hint="default"/>
                    </w:rPr>
                    <w:t>9,055,285.71</w:t>
                  </w:r>
                  <w:r>
                    <w:rPr>
                      <w:rFonts w:ascii="Times New Roman" w:hAnsi="Times New Roman" w:cs="Times New Roman" w:eastAsia="Times New Roman" w:hint="default"/>
                      <w:spacing w:val="-1"/>
                    </w:rPr>
                    <w:t> </w:t>
                  </w:r>
                  <w:r>
                    <w:rPr/>
                    <w:t>元，扣除手续费支出</w:t>
                  </w:r>
                  <w:r>
                    <w:rPr>
                      <w:spacing w:val="-47"/>
                    </w:rPr>
                    <w:t> </w:t>
                  </w:r>
                  <w:r>
                    <w:rPr>
                      <w:rFonts w:ascii="Times New Roman" w:hAnsi="Times New Roman" w:cs="Times New Roman" w:eastAsia="Times New Roman" w:hint="default"/>
                    </w:rPr>
                    <w:t>1,584.50</w:t>
                  </w:r>
                  <w:r>
                    <w:rPr>
                      <w:rFonts w:ascii="Times New Roman" w:hAnsi="Times New Roman" w:cs="Times New Roman" w:eastAsia="Times New Roman" w:hint="default"/>
                      <w:spacing w:val="-2"/>
                    </w:rPr>
                    <w:t> </w:t>
                  </w:r>
                  <w:r>
                    <w:rPr/>
                    <w:t>元，加上收到的存款利息</w:t>
                  </w:r>
                  <w:r>
                    <w:rPr>
                      <w:spacing w:val="-47"/>
                    </w:rPr>
                    <w:t> </w:t>
                  </w:r>
                  <w:r>
                    <w:rPr>
                      <w:rFonts w:ascii="Times New Roman" w:hAnsi="Times New Roman" w:cs="Times New Roman" w:eastAsia="Times New Roman" w:hint="default"/>
                    </w:rPr>
                    <w:t>176,943.41</w:t>
                  </w:r>
                  <w:r>
                    <w:rPr>
                      <w:rFonts w:ascii="Times New Roman" w:hAnsi="Times New Roman" w:cs="Times New Roman" w:eastAsia="Times New Roman" w:hint="default"/>
                      <w:spacing w:val="-2"/>
                    </w:rPr>
                    <w:t> </w:t>
                  </w:r>
                  <w:r>
                    <w:rPr/>
                    <w:t>元，加</w:t>
                  </w:r>
                </w:p>
                <w:p>
                  <w:pPr>
                    <w:pStyle w:val="BodyText"/>
                    <w:spacing w:line="240" w:lineRule="auto" w:before="64"/>
                    <w:ind w:left="22" w:right="0"/>
                    <w:jc w:val="left"/>
                  </w:pPr>
                  <w:r>
                    <w:rPr/>
                    <w:t>上理财收益</w:t>
                  </w:r>
                  <w:r>
                    <w:rPr>
                      <w:spacing w:val="-47"/>
                    </w:rPr>
                    <w:t> </w:t>
                  </w:r>
                  <w:r>
                    <w:rPr>
                      <w:rFonts w:ascii="Times New Roman" w:hAnsi="Times New Roman" w:cs="Times New Roman" w:eastAsia="Times New Roman" w:hint="default"/>
                    </w:rPr>
                    <w:t>1,801,938.47</w:t>
                  </w:r>
                  <w:r>
                    <w:rPr>
                      <w:rFonts w:ascii="Times New Roman" w:hAnsi="Times New Roman" w:cs="Times New Roman" w:eastAsia="Times New Roman" w:hint="default"/>
                      <w:spacing w:val="-1"/>
                    </w:rPr>
                    <w:t> </w:t>
                  </w:r>
                  <w:r>
                    <w:rPr/>
                    <w:t>元，截止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日，公司尚未使用的募集资金余额为</w:t>
                  </w:r>
                  <w:r>
                    <w:rPr>
                      <w:spacing w:val="-47"/>
                    </w:rPr>
                    <w:t> </w:t>
                  </w:r>
                  <w:r>
                    <w:rPr>
                      <w:rFonts w:ascii="Times New Roman" w:hAnsi="Times New Roman" w:cs="Times New Roman" w:eastAsia="Times New Roman" w:hint="default"/>
                    </w:rPr>
                    <w:t>55,858,540.21</w:t>
                  </w:r>
                  <w:r>
                    <w:rPr>
                      <w:rFonts w:ascii="Times New Roman" w:hAnsi="Times New Roman" w:cs="Times New Roman" w:eastAsia="Times New Roman" w:hint="default"/>
                      <w:spacing w:val="-1"/>
                    </w:rPr>
                    <w:t> </w:t>
                  </w:r>
                  <w:r>
                    <w:rPr/>
                    <w:t>元。</w:t>
                  </w:r>
                </w:p>
              </w:txbxContent>
            </v:textbox>
          </v:shape>
        </w:pict>
      </w:r>
      <w:r>
        <w:rPr>
          <w:rFonts w:ascii="宋体" w:hAnsi="宋体" w:cs="宋体" w:eastAsia="宋体" w:hint="default"/>
          <w:position w:val="-52"/>
          <w:sz w:val="20"/>
          <w:szCs w:val="20"/>
        </w:rPr>
      </w:r>
    </w:p>
    <w:p>
      <w:pPr>
        <w:spacing w:line="240" w:lineRule="auto" w:before="7"/>
        <w:rPr>
          <w:rFonts w:ascii="宋体" w:hAnsi="宋体" w:cs="宋体" w:eastAsia="宋体" w:hint="default"/>
          <w:sz w:val="19"/>
          <w:szCs w:val="19"/>
        </w:rPr>
      </w:pPr>
    </w:p>
    <w:p>
      <w:pPr>
        <w:pStyle w:val="Heading3"/>
        <w:spacing w:line="240" w:lineRule="auto" w:before="35"/>
        <w:ind w:left="194" w:right="4632"/>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94" w:right="4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1491"/>
        <w:gridCol w:w="568"/>
        <w:gridCol w:w="566"/>
        <w:gridCol w:w="709"/>
      </w:tblGrid>
      <w:tr>
        <w:trPr>
          <w:trHeight w:val="164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19" w:right="69"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4"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00" w:right="108"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78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激光有机光导鼓扩建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14,992.10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8,669.09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683.08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有机光电工程技术中 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4,083.02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4,083.02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不适 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19,075.12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12,752.11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905.53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7,502.89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683.08</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6"/>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88"/>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78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19,075.12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12,752.11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7,502.89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683.08</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6"/>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88"/>
              <w:jc w:val="right"/>
              <w:rPr>
                <w:rFonts w:ascii="Times New Roman" w:hAnsi="Times New Roman" w:cs="Times New Roman" w:eastAsia="Times New Roman" w:hint="default"/>
                <w:sz w:val="18"/>
                <w:szCs w:val="18"/>
              </w:rPr>
            </w:pPr>
            <w:r>
              <w:rPr>
                <w:rFonts w:ascii="Times New Roman"/>
                <w:sz w:val="18"/>
              </w:rPr>
              <w:t>--</w:t>
            </w:r>
          </w:p>
        </w:tc>
      </w:tr>
      <w:tr>
        <w:trPr>
          <w:trHeight w:val="174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12" w:type="dxa"/>
            <w:gridSpan w:val="10"/>
            <w:vMerge w:val="restart"/>
            <w:tcBorders>
              <w:top w:val="single" w:sz="4" w:space="0" w:color="000000"/>
              <w:left w:val="single" w:sz="9" w:space="0" w:color="D2D2D2"/>
              <w:right w:val="single" w:sz="4" w:space="0" w:color="000000"/>
            </w:tcBorders>
          </w:tcPr>
          <w:p>
            <w:pPr>
              <w:pStyle w:val="TableParagraph"/>
              <w:spacing w:line="309" w:lineRule="auto" w:before="52"/>
              <w:ind w:left="16"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、公司有机光导鼓扩建项目所建设的四条生产线于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月全部达到预定可使用状态。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度因近几年市场竞争加剧，产品的销量与销售单价较预测时有所下降，是项目未能达到预计效益的主 要原因。</w:t>
            </w:r>
          </w:p>
          <w:p>
            <w:pPr>
              <w:pStyle w:val="TableParagraph"/>
              <w:spacing w:line="302" w:lineRule="auto" w:before="62"/>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有机光电工程技术中心建设项目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原拟在吴中恒久位于苏州市吴中区越溪北官渡路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 </w:t>
            </w:r>
            <w:r>
              <w:rPr>
                <w:rFonts w:ascii="宋体" w:hAnsi="宋体" w:cs="宋体" w:eastAsia="宋体" w:hint="default"/>
                <w:sz w:val="18"/>
                <w:szCs w:val="18"/>
              </w:rPr>
              <w:t>号 的厂区内的编号为</w:t>
            </w:r>
            <w:r>
              <w:rPr>
                <w:rFonts w:ascii="Times New Roman" w:hAnsi="Times New Roman" w:cs="Times New Roman" w:eastAsia="Times New Roman" w:hint="default"/>
                <w:sz w:val="18"/>
                <w:szCs w:val="18"/>
              </w:rPr>
              <w:t>“</w:t>
            </w:r>
            <w:r>
              <w:rPr>
                <w:rFonts w:ascii="宋体" w:hAnsi="宋体" w:cs="宋体" w:eastAsia="宋体" w:hint="default"/>
                <w:sz w:val="18"/>
                <w:szCs w:val="18"/>
              </w:rPr>
              <w:t>吴国用（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06100228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土地（以下简称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地块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）实施新建研发大楼及相 关配套建筑的建设工作。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年，吴中恒久新取得编号为</w:t>
            </w:r>
            <w:r>
              <w:rPr>
                <w:rFonts w:ascii="Times New Roman" w:hAnsi="Times New Roman" w:cs="Times New Roman" w:eastAsia="Times New Roman" w:hint="default"/>
                <w:sz w:val="18"/>
                <w:szCs w:val="18"/>
              </w:rPr>
              <w:t>“</w:t>
            </w:r>
            <w:r>
              <w:rPr>
                <w:rFonts w:ascii="宋体" w:hAnsi="宋体" w:cs="宋体" w:eastAsia="宋体" w:hint="default"/>
                <w:sz w:val="18"/>
                <w:szCs w:val="18"/>
              </w:rPr>
              <w:t>苏（</w:t>
            </w:r>
            <w:r>
              <w:rPr>
                <w:rFonts w:ascii="Times New Roman" w:hAnsi="Times New Roman" w:cs="Times New Roman" w:eastAsia="Times New Roman" w:hint="default"/>
                <w:sz w:val="18"/>
                <w:szCs w:val="18"/>
              </w:rPr>
              <w:t>2016</w:t>
            </w:r>
            <w:r>
              <w:rPr>
                <w:rFonts w:ascii="宋体" w:hAnsi="宋体" w:cs="宋体" w:eastAsia="宋体" w:hint="default"/>
                <w:sz w:val="18"/>
                <w:szCs w:val="18"/>
              </w:rPr>
              <w:t>）苏州市不动产权第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6054576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3"/>
                <w:w w:val="100"/>
                <w:sz w:val="18"/>
                <w:szCs w:val="18"/>
              </w:rPr>
              <w:t>的不动产权证书（以下简称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地块</w:t>
            </w:r>
            <w:r>
              <w:rPr>
                <w:rFonts w:ascii="宋体" w:hAnsi="宋体" w:cs="宋体" w:eastAsia="宋体" w:hint="default"/>
                <w:spacing w:val="-43"/>
                <w:w w:val="100"/>
                <w:sz w:val="18"/>
                <w:szCs w:val="18"/>
              </w:rPr>
              <w:t> </w:t>
            </w:r>
            <w:r>
              <w:rPr>
                <w:rFonts w:ascii="Times New Roman" w:hAnsi="Times New Roman" w:cs="Times New Roman" w:eastAsia="Times New Roman" w:hint="default"/>
                <w:spacing w:val="-16"/>
                <w:w w:val="100"/>
                <w:sz w:val="18"/>
                <w:szCs w:val="18"/>
              </w:rPr>
              <w:t>2”</w:t>
            </w:r>
            <w:r>
              <w:rPr>
                <w:rFonts w:ascii="宋体" w:hAnsi="宋体" w:cs="宋体" w:eastAsia="宋体" w:hint="default"/>
                <w:spacing w:val="-16"/>
                <w:w w:val="100"/>
                <w:sz w:val="18"/>
                <w:szCs w:val="18"/>
              </w:rPr>
              <w:t>），该</w:t>
            </w:r>
            <w:r>
              <w:rPr>
                <w:rFonts w:ascii="Times New Roman" w:hAnsi="Times New Roman" w:cs="Times New Roman" w:eastAsia="Times New Roman" w:hint="default"/>
                <w:spacing w:val="-16"/>
                <w:w w:val="100"/>
                <w:sz w:val="18"/>
                <w:szCs w:val="18"/>
              </w:rPr>
              <w:t>“</w:t>
            </w:r>
            <w:r>
              <w:rPr>
                <w:rFonts w:ascii="宋体" w:hAnsi="宋体" w:cs="宋体" w:eastAsia="宋体" w:hint="default"/>
                <w:spacing w:val="-16"/>
                <w:w w:val="100"/>
                <w:sz w:val="18"/>
                <w:szCs w:val="18"/>
              </w:rPr>
              <w:t>地块</w:t>
            </w:r>
            <w:r>
              <w:rPr>
                <w:rFonts w:ascii="宋体" w:hAnsi="宋体" w:cs="宋体" w:eastAsia="宋体" w:hint="default"/>
                <w:spacing w:val="-43"/>
                <w:w w:val="100"/>
                <w:sz w:val="18"/>
                <w:szCs w:val="18"/>
              </w:rPr>
              <w:t> </w:t>
            </w:r>
            <w:r>
              <w:rPr>
                <w:rFonts w:ascii="Times New Roman" w:hAnsi="Times New Roman" w:cs="Times New Roman" w:eastAsia="Times New Roman" w:hint="default"/>
                <w:w w:val="100"/>
                <w:sz w:val="18"/>
                <w:szCs w:val="18"/>
              </w:rPr>
              <w:t>2”</w:t>
            </w:r>
            <w:r>
              <w:rPr>
                <w:rFonts w:ascii="宋体" w:hAnsi="宋体" w:cs="宋体" w:eastAsia="宋体" w:hint="default"/>
                <w:w w:val="100"/>
                <w:sz w:val="18"/>
                <w:szCs w:val="18"/>
              </w:rPr>
              <w:t>的地址仍为苏州市吴中区越溪北官渡路</w:t>
            </w:r>
            <w:r>
              <w:rPr>
                <w:rFonts w:ascii="宋体" w:hAnsi="宋体" w:cs="宋体" w:eastAsia="宋体" w:hint="default"/>
                <w:spacing w:val="-43"/>
                <w:w w:val="100"/>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2"/>
                <w:sz w:val="18"/>
                <w:szCs w:val="18"/>
              </w:rPr>
              <w:t> </w:t>
            </w:r>
            <w:r>
              <w:rPr>
                <w:rFonts w:ascii="宋体" w:hAnsi="宋体" w:cs="宋体" w:eastAsia="宋体" w:hint="default"/>
                <w:spacing w:val="-7"/>
                <w:w w:val="100"/>
                <w:sz w:val="18"/>
                <w:szCs w:val="18"/>
              </w:rPr>
              <w:t>号，与</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地</w:t>
            </w:r>
            <w:r>
              <w:rPr>
                <w:rFonts w:ascii="宋体" w:hAnsi="宋体" w:cs="宋体" w:eastAsia="宋体" w:hint="default"/>
                <w:spacing w:val="-88"/>
                <w:w w:val="100"/>
                <w:sz w:val="18"/>
                <w:szCs w:val="18"/>
              </w:rPr>
              <w:t> </w:t>
            </w:r>
            <w:r>
              <w:rPr>
                <w:rFonts w:ascii="宋体" w:hAnsi="宋体" w:cs="宋体" w:eastAsia="宋体" w:hint="default"/>
                <w:sz w:val="18"/>
                <w:szCs w:val="18"/>
              </w:rPr>
              <w:t>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为相邻地块。该两地块为吴中恒久现所拥有的全部土地使用权。根据相关政策的要求，吴中恒久 需将上述两块土地证件合二为一后方能申请建设项目。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月，吴中恒久就上述两地块合并后取 得编号为</w:t>
            </w:r>
            <w:r>
              <w:rPr>
                <w:rFonts w:ascii="Times New Roman" w:hAnsi="Times New Roman" w:cs="Times New Roman" w:eastAsia="Times New Roman" w:hint="default"/>
                <w:sz w:val="18"/>
                <w:szCs w:val="18"/>
              </w:rPr>
              <w:t>“</w:t>
            </w:r>
            <w:r>
              <w:rPr>
                <w:rFonts w:ascii="宋体" w:hAnsi="宋体" w:cs="宋体" w:eastAsia="宋体" w:hint="default"/>
                <w:sz w:val="18"/>
                <w:szCs w:val="18"/>
              </w:rPr>
              <w:t>苏（</w:t>
            </w:r>
            <w:r>
              <w:rPr>
                <w:rFonts w:ascii="Times New Roman" w:hAnsi="Times New Roman" w:cs="Times New Roman" w:eastAsia="Times New Roman" w:hint="default"/>
                <w:sz w:val="18"/>
                <w:szCs w:val="18"/>
              </w:rPr>
              <w:t>2018</w:t>
            </w:r>
            <w:r>
              <w:rPr>
                <w:rFonts w:ascii="宋体" w:hAnsi="宋体" w:cs="宋体" w:eastAsia="宋体" w:hint="default"/>
                <w:sz w:val="18"/>
                <w:szCs w:val="18"/>
              </w:rPr>
              <w:t>）苏州市不动产权第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6056654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不动产权证书。鉴于所取得的土地使用权的变化 情况，为了更加高效、集中地开发、利用土地，同时兼顾公司未来有机光电领域的研发需求，公司重 </w:t>
            </w:r>
            <w:r>
              <w:rPr>
                <w:rFonts w:ascii="宋体" w:hAnsi="宋体" w:cs="宋体" w:eastAsia="宋体" w:hint="default"/>
                <w:spacing w:val="-2"/>
                <w:sz w:val="18"/>
                <w:szCs w:val="18"/>
              </w:rPr>
              <w:t>新进行了建设方案的规划，项目实施时间也相应延期。因此，受上述原因影响，导致募投项目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有机光</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电工程技术中心建设项目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建设方案和实施期限与预计规划存在差异。目前，</w:t>
            </w:r>
            <w:r>
              <w:rPr>
                <w:rFonts w:ascii="Times New Roman" w:hAnsi="Times New Roman" w:cs="Times New Roman" w:eastAsia="Times New Roman" w:hint="default"/>
                <w:sz w:val="18"/>
                <w:szCs w:val="18"/>
              </w:rPr>
              <w:t>“</w:t>
            </w:r>
            <w:r>
              <w:rPr>
                <w:rFonts w:ascii="宋体" w:hAnsi="宋体" w:cs="宋体" w:eastAsia="宋体" w:hint="default"/>
                <w:sz w:val="18"/>
                <w:szCs w:val="18"/>
              </w:rPr>
              <w:t>有机光电工程技术中心 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规划方案设计文本已报送苏州市规划局吴中分局审核。</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012" w:type="dxa"/>
            <w:gridSpan w:val="10"/>
            <w:vMerge/>
            <w:tcBorders>
              <w:left w:val="single" w:sz="9" w:space="0" w:color="D2D2D2"/>
              <w:right w:val="single" w:sz="4" w:space="0" w:color="000000"/>
            </w:tcBorders>
          </w:tcPr>
          <w:p>
            <w:pPr/>
          </w:p>
        </w:tc>
      </w:tr>
      <w:tr>
        <w:trPr>
          <w:trHeight w:val="174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12"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70"/>
        <w:gridCol w:w="8012"/>
      </w:tblGrid>
      <w:tr>
        <w:trPr>
          <w:trHeight w:val="714"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0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8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日，公司召开了第四届董事会第二次会议，审议通过了《关于部分募投项目建设方案 </w:t>
            </w:r>
            <w:r>
              <w:rPr>
                <w:rFonts w:ascii="宋体" w:hAnsi="宋体" w:cs="宋体" w:eastAsia="宋体" w:hint="default"/>
                <w:spacing w:val="-3"/>
                <w:w w:val="100"/>
                <w:sz w:val="18"/>
                <w:szCs w:val="18"/>
              </w:rPr>
              <w:t>调整及实施期限延期的议案》。鉴于募投项目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有机光电工程技术中心建设项目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的实施单位吴中恒久所</w:t>
            </w:r>
            <w:r>
              <w:rPr>
                <w:rFonts w:ascii="宋体" w:hAnsi="宋体" w:cs="宋体" w:eastAsia="宋体" w:hint="default"/>
                <w:spacing w:val="-78"/>
                <w:w w:val="100"/>
                <w:sz w:val="18"/>
                <w:szCs w:val="18"/>
              </w:rPr>
              <w:t> </w:t>
            </w:r>
            <w:r>
              <w:rPr>
                <w:rFonts w:ascii="宋体" w:hAnsi="宋体" w:cs="宋体" w:eastAsia="宋体" w:hint="default"/>
                <w:sz w:val="18"/>
                <w:szCs w:val="18"/>
              </w:rPr>
              <w:t>取得的土地使用权的变化情况，为了更加高效、集中地开发、利用土地，同时兼顾公司未来有机光电 领域的研发需求，公司新建研发大楼及相关配套建筑的建设用地进行调整，建筑面积亦由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米增加至约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平方米，但项目实施地点与实施主体未发生变化，仍为吴中恒久位于苏州市吴中区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越溪北官渡路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号厂区内。因项目建设方案调整，项目实施时间也相应延期至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日。本</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次调整未改变该项目募集资金的用途和投向。具体内容详见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日公司刊登在证券时报、 </w:t>
            </w:r>
            <w:r>
              <w:rPr>
                <w:rFonts w:ascii="宋体" w:hAnsi="宋体" w:cs="宋体" w:eastAsia="宋体" w:hint="default"/>
                <w:spacing w:val="-2"/>
                <w:sz w:val="18"/>
                <w:szCs w:val="18"/>
              </w:rPr>
              <w:t>证券日报、中国证券报、上海证券报及巨潮资讯网（</w:t>
            </w: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）的《关于部分募投项目</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9"/>
                <w:sz w:val="18"/>
                <w:szCs w:val="18"/>
              </w:rPr>
              <w:t>建设方案调整及实施期限延期的公告》（公告编号：</w:t>
            </w:r>
            <w:r>
              <w:rPr>
                <w:rFonts w:ascii="Times New Roman" w:hAnsi="Times New Roman" w:cs="Times New Roman" w:eastAsia="Times New Roman" w:hint="default"/>
                <w:spacing w:val="-9"/>
                <w:sz w:val="18"/>
                <w:szCs w:val="18"/>
              </w:rPr>
              <w:t>2018-050</w:t>
            </w:r>
            <w:r>
              <w:rPr>
                <w:rFonts w:ascii="宋体" w:hAnsi="宋体" w:cs="宋体" w:eastAsia="宋体" w:hint="default"/>
                <w:spacing w:val="-9"/>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89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FFFFFF"/>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日，公司召开了第四届董事会第二次会议，审议通过了《关于部分募投项目建设方案 </w:t>
            </w:r>
            <w:r>
              <w:rPr>
                <w:rFonts w:ascii="宋体" w:hAnsi="宋体" w:cs="宋体" w:eastAsia="宋体" w:hint="default"/>
                <w:spacing w:val="-3"/>
                <w:w w:val="100"/>
                <w:sz w:val="18"/>
                <w:szCs w:val="18"/>
              </w:rPr>
              <w:t>调整及实施期限延期的议案》。鉴于募投项目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有机光电工程技术中心建设项目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的实施单位吴中恒久所</w:t>
            </w:r>
            <w:r>
              <w:rPr>
                <w:rFonts w:ascii="宋体" w:hAnsi="宋体" w:cs="宋体" w:eastAsia="宋体" w:hint="default"/>
                <w:spacing w:val="-78"/>
                <w:w w:val="100"/>
                <w:sz w:val="18"/>
                <w:szCs w:val="18"/>
              </w:rPr>
              <w:t> </w:t>
            </w:r>
            <w:r>
              <w:rPr>
                <w:rFonts w:ascii="宋体" w:hAnsi="宋体" w:cs="宋体" w:eastAsia="宋体" w:hint="default"/>
                <w:sz w:val="18"/>
                <w:szCs w:val="18"/>
              </w:rPr>
              <w:t>取得的土地使用权的变化情况，为了更加高效、集中地开发、利用土地，同时兼顾公司未来有机光电 领域的研发需求，公司新建研发大楼及相关配套建筑的建设用地进行调整，建筑面积亦由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米增加至约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平方米，但项目实施地点与实施主体未发生变化，仍为吴中恒久位于苏州市吴中区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越溪北官渡路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号厂区内。因项目建设方案调整，项目实施时间也相应延期至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日。本</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次调整未改变该项目募集资金的用途和投向。具体内容详见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日公司刊登在证券时报、 </w:t>
            </w:r>
            <w:r>
              <w:rPr>
                <w:rFonts w:ascii="宋体" w:hAnsi="宋体" w:cs="宋体" w:eastAsia="宋体" w:hint="default"/>
                <w:spacing w:val="-2"/>
                <w:sz w:val="18"/>
                <w:szCs w:val="18"/>
              </w:rPr>
              <w:t>证券日报、中国证券报、上海证券报及巨潮资讯网（</w:t>
            </w: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）的《关于部分募投项目</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9"/>
                <w:sz w:val="18"/>
                <w:szCs w:val="18"/>
              </w:rPr>
              <w:t>建设方案调整及实施期限延期的公告》（公告编号：</w:t>
            </w:r>
            <w:r>
              <w:rPr>
                <w:rFonts w:ascii="Times New Roman" w:hAnsi="Times New Roman" w:cs="Times New Roman" w:eastAsia="Times New Roman" w:hint="default"/>
                <w:spacing w:val="-9"/>
                <w:sz w:val="18"/>
                <w:szCs w:val="18"/>
              </w:rPr>
              <w:t>2018-050</w:t>
            </w:r>
            <w:r>
              <w:rPr>
                <w:rFonts w:ascii="宋体" w:hAnsi="宋体" w:cs="宋体" w:eastAsia="宋体" w:hint="default"/>
                <w:spacing w:val="-9"/>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报告期内，公司不存在此情况</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激光有机光导鼓扩建项目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月达到预定可使用状态，经第三届董事会第十 九次会议、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年第一次临时股东大会审议，该募投项目结项并转出节余募集资金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6,662.99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万元永久 补充流动资金（受募集资金专户后续利息收入及理财收益的影响，具体补充流动资金的金额以募集资 </w:t>
            </w:r>
            <w:r>
              <w:rPr>
                <w:rFonts w:ascii="宋体" w:hAnsi="宋体" w:cs="宋体" w:eastAsia="宋体" w:hint="default"/>
                <w:spacing w:val="-4"/>
                <w:sz w:val="18"/>
                <w:szCs w:val="18"/>
              </w:rPr>
              <w:t>金专户最终转入自有资金账户的实际金额为准）。</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年度，该项目的苏州恒久募集资金账户及理财</w:t>
            </w:r>
            <w:r>
              <w:rPr>
                <w:rFonts w:ascii="宋体" w:hAnsi="宋体" w:cs="宋体" w:eastAsia="宋体" w:hint="default"/>
                <w:spacing w:val="-77"/>
                <w:sz w:val="18"/>
                <w:szCs w:val="18"/>
              </w:rPr>
              <w:t> </w:t>
            </w:r>
            <w:r>
              <w:rPr>
                <w:rFonts w:ascii="宋体" w:hAnsi="宋体" w:cs="宋体" w:eastAsia="宋体" w:hint="default"/>
                <w:sz w:val="18"/>
                <w:szCs w:val="18"/>
              </w:rPr>
              <w:t>产品专用结算账户转出节余募集资金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6,704.03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万元用于永久补充流动资金，该项目的吴中恒久募集资 金账户资金继续用于支付工程尾款。项目实施出现募集资金结余的原因如下：</w:t>
            </w:r>
          </w:p>
          <w:p>
            <w:pPr>
              <w:pStyle w:val="TableParagraph"/>
              <w:spacing w:line="309" w:lineRule="auto" w:before="66"/>
              <w:ind w:left="22"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、激光有机光导鼓扩建项目拟投入募集资金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14,992.10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万元，其中包括铺底流动资金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 司在该募投项目建设过程中，使用了自有资金进行铺底流动资金的支出，在一定程度上减少了该募投 项目募集资金的投资总额。</w:t>
            </w:r>
          </w:p>
        </w:tc>
      </w:tr>
    </w:tbl>
    <w:p>
      <w:pPr>
        <w:spacing w:after="0" w:line="309" w:lineRule="auto"/>
        <w:jc w:val="both"/>
        <w:rPr>
          <w:rFonts w:ascii="宋体" w:hAnsi="宋体" w:cs="宋体" w:eastAsia="宋体" w:hint="default"/>
          <w:sz w:val="18"/>
          <w:szCs w:val="18"/>
        </w:rPr>
        <w:sectPr>
          <w:pgSz w:w="11910" w:h="16840"/>
          <w:pgMar w:header="747" w:footer="979"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998"/>
        <w:jc w:val="right"/>
      </w:pPr>
      <w:r>
        <w:rPr/>
        <w:pict>
          <v:shape style="position:absolute;margin-left:52.860001pt;margin-top:-178.948273pt;width:489.85pt;height:281.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8012"/>
                  </w:tblGrid>
                  <w:tr>
                    <w:trPr>
                      <w:trHeight w:val="23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、公司在募投项目立项至正式的建设期间，利用自身设备集成与改造的技术优势，对募投项目设备、 生产工艺流程进行了不断的优化与改进，对项目进行更加合理的规划，从而也减少了募投项目部分投 资总额。</w:t>
                        </w:r>
                      </w:p>
                      <w:p>
                        <w:pPr>
                          <w:pStyle w:val="TableParagraph"/>
                          <w:spacing w:line="302" w:lineRule="auto" w:before="64"/>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、公司在募投项目建设过程中，在保障项目质量和项目进度的前提下，加强项目精细化管理和费用控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制，本着合理、有效、节约的原则谨慎使用募集资金，严格把控采购、建设环节，有效地控制成本。</w:t>
                        </w:r>
                      </w:p>
                      <w:p>
                        <w:pPr>
                          <w:pStyle w:val="TableParagraph"/>
                          <w:spacing w:line="302" w:lineRule="auto" w:before="68"/>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、为使募集资金使用效益达到最大化，公司依据相关规定运用募集资金进行现金管理，产生了部分理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财收益和利息收入。</w:t>
                        </w:r>
                      </w:p>
                    </w:tc>
                  </w:tr>
                  <w:tr>
                    <w:trPr>
                      <w:trHeight w:val="22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公司尚未使用的募集资金除存放于募集资金专户外，公司为提高暂时闲置的募集资金收益，在第三届 董事会第十六次会议及第四届董事会第三次会议审议通过的关于公司使用部分闲置募集资金购买理财 产品的最高循环滚动使用额度内，购买安全性高，流动性好，产品发行主体能够提供保本承诺的银行 理财产品。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年度，公司使用募集资金购买理财产品未超过董事会批准额度。截止</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pacing w:val="-4"/>
                            <w:sz w:val="18"/>
                            <w:szCs w:val="18"/>
                          </w:rPr>
                          <w:t>日，公司尚未使用的募集资金余额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55,858,540.21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元，其中：购买保本型理财产品余额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302"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定期存款与结构性存款余额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44,940,000.00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元，募集资金银行专项账户余额为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918,540.21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元。公司尚未 使用的募集资金将按照募投项目建设进度和需要陆续投入并统筹规划。</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35"/>
        <w:ind w:left="534" w:right="7332"/>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34"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534" w:right="7332"/>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4" w:right="7332"/>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left="53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left="534" w:right="7332"/>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34"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34" w:right="7332"/>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600" w:right="0"/>
        </w:sectPr>
      </w:pPr>
    </w:p>
    <w:p>
      <w:pPr>
        <w:pStyle w:val="BodyText"/>
        <w:spacing w:line="240" w:lineRule="auto"/>
        <w:ind w:left="5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3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533" w:right="0"/>
        <w:jc w:val="left"/>
      </w:pPr>
      <w:r>
        <w:rPr/>
        <w:t>单位：元</w:t>
      </w:r>
    </w:p>
    <w:p>
      <w:pPr>
        <w:spacing w:after="0" w:line="240" w:lineRule="auto"/>
        <w:jc w:val="left"/>
        <w:sectPr>
          <w:type w:val="continuous"/>
          <w:pgSz w:w="11910" w:h="16840"/>
          <w:pgMar w:top="1060" w:bottom="1160" w:left="600" w:right="0"/>
          <w:cols w:num="2" w:equalWidth="0">
            <w:col w:w="5229" w:space="3690"/>
            <w:col w:w="2391"/>
          </w:cols>
        </w:sectPr>
      </w:pP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419"/>
        <w:gridCol w:w="832"/>
        <w:gridCol w:w="1045"/>
        <w:gridCol w:w="1046"/>
        <w:gridCol w:w="1330"/>
        <w:gridCol w:w="1276"/>
        <w:gridCol w:w="1277"/>
        <w:gridCol w:w="1134"/>
        <w:gridCol w:w="1134"/>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吴中恒久</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光电子器件 与组件、计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90,000,000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227,789,651.78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167,624,950.57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162,597,501.52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6,408,101.64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5,477,939.86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6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419"/>
        <w:gridCol w:w="832"/>
        <w:gridCol w:w="1045"/>
        <w:gridCol w:w="1046"/>
        <w:gridCol w:w="1330"/>
        <w:gridCol w:w="1276"/>
        <w:gridCol w:w="1277"/>
        <w:gridCol w:w="1134"/>
        <w:gridCol w:w="1134"/>
      </w:tblGrid>
      <w:tr>
        <w:trPr>
          <w:trHeight w:val="129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算机及其周 边设备的研 发、生产与 销售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深圳市壹办公科 技股份有限公司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硒鼓等打印 机耗材的生 产与销售； 办公设备及 耗材的批发 与零售等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38,522,880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159,040,200.24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60,252,938.43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399,982,553.26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15,660,214.82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16,476,091.68</w:t>
            </w:r>
          </w:p>
        </w:tc>
      </w:tr>
    </w:tbl>
    <w:p>
      <w:pPr>
        <w:pStyle w:val="BodyText"/>
        <w:spacing w:line="240" w:lineRule="auto" w:before="51"/>
        <w:ind w:left="534" w:right="0"/>
        <w:jc w:val="both"/>
      </w:pPr>
      <w:r>
        <w:rPr/>
        <w:t>报告期内取得和处置子公司的情况</w:t>
      </w:r>
    </w:p>
    <w:p>
      <w:pPr>
        <w:pStyle w:val="BodyText"/>
        <w:spacing w:line="338" w:lineRule="auto" w:before="117"/>
        <w:ind w:left="534"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240" w:lineRule="auto" w:before="64"/>
        <w:ind w:left="894" w:right="1032"/>
        <w:jc w:val="left"/>
      </w:pPr>
      <w:r>
        <w:rPr/>
        <w:t>深圳市壹办公科技股份有限公司系本公司参股公司，持股比例为</w:t>
      </w:r>
      <w:r>
        <w:rPr>
          <w:rFonts w:ascii="Times New Roman" w:hAnsi="Times New Roman" w:cs="Times New Roman" w:eastAsia="Times New Roman" w:hint="default"/>
        </w:rPr>
        <w:t>27.5%</w:t>
      </w:r>
      <w:r>
        <w:rPr/>
        <w:t>。该公司为全国中小企业股份转让系统挂牌公司</w:t>
      </w:r>
    </w:p>
    <w:p>
      <w:pPr>
        <w:pStyle w:val="BodyText"/>
        <w:spacing w:line="345" w:lineRule="auto" w:before="109"/>
        <w:ind w:left="534" w:right="1136"/>
        <w:jc w:val="both"/>
      </w:pPr>
      <w:r>
        <w:rPr/>
        <w:t>（证券代码：</w:t>
      </w:r>
      <w:r>
        <w:rPr>
          <w:rFonts w:ascii="Times New Roman" w:hAnsi="Times New Roman" w:cs="Times New Roman" w:eastAsia="Times New Roman" w:hint="default"/>
        </w:rPr>
        <w:t>837439</w:t>
      </w:r>
      <w:r>
        <w:rPr/>
        <w:t>），其一方面致力于打印耗材硒鼓、墨盒的研发、生产和销售；另一方面开发运营了</w:t>
      </w:r>
      <w:r>
        <w:rPr>
          <w:rFonts w:ascii="Times New Roman" w:hAnsi="Times New Roman" w:cs="Times New Roman" w:eastAsia="Times New Roman" w:hint="default"/>
        </w:rPr>
        <w:t>“</w:t>
      </w:r>
      <w:r>
        <w:rPr/>
        <w:t>壹办公电商云平 台</w:t>
      </w:r>
      <w:r>
        <w:rPr>
          <w:rFonts w:ascii="Times New Roman" w:hAnsi="Times New Roman" w:cs="Times New Roman" w:eastAsia="Times New Roman" w:hint="default"/>
        </w:rPr>
        <w:t>”</w:t>
      </w:r>
      <w:r>
        <w:rPr/>
        <w:t>，专注于大办公行业的互联网</w:t>
      </w:r>
      <w:r>
        <w:rPr>
          <w:rFonts w:ascii="Times New Roman" w:hAnsi="Times New Roman" w:cs="Times New Roman" w:eastAsia="Times New Roman" w:hint="default"/>
        </w:rPr>
        <w:t>+</w:t>
      </w:r>
      <w:r>
        <w:rPr/>
        <w:t>政采（集采）电商平台运营。</w:t>
      </w:r>
      <w:r>
        <w:rPr>
          <w:rFonts w:ascii="Times New Roman" w:hAnsi="Times New Roman" w:cs="Times New Roman" w:eastAsia="Times New Roman" w:hint="default"/>
        </w:rPr>
        <w:t>2018</w:t>
      </w:r>
      <w:r>
        <w:rPr/>
        <w:t>年度该公司实现净利润</w:t>
      </w:r>
      <w:r>
        <w:rPr>
          <w:rFonts w:ascii="Times New Roman" w:hAnsi="Times New Roman" w:cs="Times New Roman" w:eastAsia="Times New Roman" w:hint="default"/>
        </w:rPr>
        <w:t>1,647.61</w:t>
      </w:r>
      <w:r>
        <w:rPr/>
        <w:t>万元，本公司按权益法 核算的投资收益为</w:t>
      </w:r>
      <w:r>
        <w:rPr>
          <w:rFonts w:ascii="Times New Roman" w:hAnsi="Times New Roman" w:cs="Times New Roman" w:eastAsia="Times New Roman" w:hint="default"/>
        </w:rPr>
        <w:t>453.09</w:t>
      </w:r>
      <w:r>
        <w:rPr/>
        <w:t>万元。</w:t>
      </w:r>
    </w:p>
    <w:p>
      <w:pPr>
        <w:spacing w:line="240" w:lineRule="auto" w:before="3"/>
        <w:rPr>
          <w:rFonts w:ascii="宋体" w:hAnsi="宋体" w:cs="宋体" w:eastAsia="宋体" w:hint="default"/>
          <w:sz w:val="19"/>
          <w:szCs w:val="19"/>
        </w:rPr>
      </w:pPr>
    </w:p>
    <w:p>
      <w:pPr>
        <w:pStyle w:val="Heading2"/>
        <w:spacing w:line="240" w:lineRule="auto"/>
        <w:ind w:left="534"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left="534" w:right="0"/>
        <w:jc w:val="both"/>
        <w:rPr>
          <w:b w:val="0"/>
          <w:bCs w:val="0"/>
        </w:rPr>
      </w:pPr>
      <w:bookmarkStart w:name="九、公司未来发展的展望" w:id="59"/>
      <w:bookmarkEnd w:id="59"/>
      <w:r>
        <w:rPr>
          <w:b w:val="0"/>
          <w:bCs w:val="0"/>
        </w:rPr>
      </w:r>
      <w:r>
        <w:rPr/>
        <w:t>九、公司未来发展的展望</w:t>
      </w:r>
      <w:r>
        <w:rPr>
          <w:b w:val="0"/>
          <w:bCs w:val="0"/>
        </w:rPr>
      </w:r>
    </w:p>
    <w:p>
      <w:pPr>
        <w:spacing w:line="510" w:lineRule="atLeast" w:before="94"/>
        <w:ind w:left="894" w:right="1032" w:firstLine="1"/>
        <w:jc w:val="left"/>
        <w:rPr>
          <w:rFonts w:ascii="宋体" w:hAnsi="宋体" w:cs="宋体" w:eastAsia="宋体" w:hint="default"/>
          <w:sz w:val="18"/>
          <w:szCs w:val="18"/>
        </w:rPr>
      </w:pPr>
      <w:r>
        <w:rPr>
          <w:rFonts w:ascii="宋体" w:hAnsi="宋体" w:cs="宋体" w:eastAsia="宋体" w:hint="default"/>
          <w:b/>
          <w:bCs/>
          <w:sz w:val="18"/>
          <w:szCs w:val="18"/>
        </w:rPr>
        <w:t>（一）、行业发展格局与趋势</w:t>
      </w:r>
      <w:r>
        <w:rPr>
          <w:rFonts w:ascii="宋体" w:hAnsi="宋体" w:cs="宋体" w:eastAsia="宋体" w:hint="default"/>
          <w:b/>
          <w:bCs/>
          <w:w w:val="99"/>
          <w:sz w:val="18"/>
          <w:szCs w:val="18"/>
        </w:rPr>
        <w:t> </w:t>
      </w:r>
      <w:r>
        <w:rPr>
          <w:rFonts w:ascii="宋体" w:hAnsi="宋体" w:cs="宋体" w:eastAsia="宋体" w:hint="default"/>
          <w:spacing w:val="-2"/>
          <w:sz w:val="18"/>
          <w:szCs w:val="18"/>
        </w:rPr>
        <w:t>有机光导鼓的市场主要分为原装配套市场和通用耗材市场两部分。原装配套市场仍几乎全部被外资品牌垄断。通用耗材</w:t>
      </w:r>
    </w:p>
    <w:p>
      <w:pPr>
        <w:pStyle w:val="BodyText"/>
        <w:spacing w:line="364" w:lineRule="auto" w:before="123"/>
        <w:ind w:left="534" w:right="1131"/>
        <w:jc w:val="both"/>
      </w:pPr>
      <w:r>
        <w:rPr>
          <w:spacing w:val="-2"/>
        </w:rPr>
        <w:t>市场企业一方面依靠生产技术和产品品质，在与原装配套企业竞争中不断获得新的市场份额，且随着自身产品质量的不断改</w:t>
      </w:r>
      <w:r>
        <w:rPr>
          <w:spacing w:val="-64"/>
        </w:rPr>
        <w:t> </w:t>
      </w:r>
      <w:r>
        <w:rPr>
          <w:spacing w:val="-64"/>
        </w:rPr>
      </w:r>
      <w:r>
        <w:rPr>
          <w:spacing w:val="-2"/>
        </w:rPr>
        <w:t>善以及价格上的优势，通用耗材的市场占有率将越来越高；另一方面，随着通用耗材行业内各企业的发展，通用耗材企业之</w:t>
      </w:r>
      <w:r>
        <w:rPr>
          <w:spacing w:val="-66"/>
        </w:rPr>
        <w:t> </w:t>
      </w:r>
      <w:r>
        <w:rPr>
          <w:spacing w:val="-66"/>
        </w:rPr>
      </w:r>
      <w:r>
        <w:rPr>
          <w:spacing w:val="-2"/>
        </w:rPr>
        <w:t>间的竞争也日趋激烈，在面临巨大挑战的同时，也面临巨大的机遇，各企业在战略、品牌、技术、质量、价格等方面进行市</w:t>
      </w:r>
      <w:r>
        <w:rPr>
          <w:spacing w:val="-71"/>
        </w:rPr>
        <w:t> </w:t>
      </w:r>
      <w:r>
        <w:rPr>
          <w:spacing w:val="-71"/>
        </w:rPr>
      </w:r>
      <w:r>
        <w:rPr/>
        <w:t>场布局并充分竞争，在巩固原有市场份额的同时开拓新的市场，以提升企业的核心竞争优势。</w:t>
      </w:r>
    </w:p>
    <w:p>
      <w:pPr>
        <w:pStyle w:val="BodyText"/>
        <w:spacing w:line="360" w:lineRule="auto" w:before="29"/>
        <w:ind w:left="534" w:right="1032" w:firstLine="360"/>
        <w:jc w:val="left"/>
      </w:pPr>
      <w:r>
        <w:rPr/>
        <w:t>有机光导鼓作为激光打印机、数码复印机、激光传真机及多功能一体机等现代办公设备中最为核心的部件及耗材之一， </w:t>
      </w:r>
      <w:r>
        <w:rPr>
          <w:spacing w:val="-2"/>
        </w:rPr>
        <w:t>其市场需求与激光打印机、数码复印机、激光传真机及多功能一体机的产量与保有量息息相关。近年来，随着信息技术的不</w:t>
      </w:r>
      <w:r>
        <w:rPr>
          <w:spacing w:val="-66"/>
        </w:rPr>
        <w:t> </w:t>
      </w:r>
      <w:r>
        <w:rPr>
          <w:spacing w:val="-66"/>
        </w:rPr>
      </w:r>
      <w:r>
        <w:rPr>
          <w:spacing w:val="-2"/>
        </w:rPr>
        <w:t>断发展与突破，全球打印外设设备（</w:t>
      </w:r>
      <w:r>
        <w:rPr>
          <w:rFonts w:ascii="Times New Roman" w:hAnsi="Times New Roman" w:cs="Times New Roman" w:eastAsia="Times New Roman" w:hint="default"/>
          <w:spacing w:val="-2"/>
        </w:rPr>
        <w:t>HCP</w:t>
      </w:r>
      <w:r>
        <w:rPr>
          <w:spacing w:val="-2"/>
        </w:rPr>
        <w:t>）市场出货量均保持稳定发展，同时，随着数码印刷技术的快速发展和应用的日益</w:t>
      </w:r>
      <w:r>
        <w:rPr>
          <w:spacing w:val="-56"/>
        </w:rPr>
        <w:t> </w:t>
      </w:r>
      <w:r>
        <w:rPr>
          <w:spacing w:val="-56"/>
        </w:rPr>
      </w:r>
      <w:r>
        <w:rPr>
          <w:spacing w:val="-2"/>
        </w:rPr>
        <w:t>广泛，人们对印刷品快速化、个性化、多样性的需求不断增加，带动数码印刷行业迅速发展。这些均为有机光导鼓行业的发</w:t>
      </w:r>
      <w:r>
        <w:rPr>
          <w:spacing w:val="-66"/>
        </w:rPr>
        <w:t> </w:t>
      </w:r>
      <w:r>
        <w:rPr>
          <w:spacing w:val="-66"/>
        </w:rPr>
      </w:r>
      <w:r>
        <w:rPr/>
        <w:t>展带来广阔的市场空间与行业前景。</w:t>
      </w:r>
    </w:p>
    <w:p>
      <w:pPr>
        <w:spacing w:line="240" w:lineRule="auto" w:before="6"/>
        <w:rPr>
          <w:rFonts w:ascii="宋体" w:hAnsi="宋体" w:cs="宋体" w:eastAsia="宋体" w:hint="default"/>
          <w:sz w:val="14"/>
          <w:szCs w:val="14"/>
        </w:rPr>
      </w:pPr>
    </w:p>
    <w:p>
      <w:pPr>
        <w:pStyle w:val="Heading4"/>
        <w:spacing w:line="240" w:lineRule="auto"/>
        <w:ind w:left="895" w:right="7332"/>
        <w:jc w:val="left"/>
        <w:rPr>
          <w:b w:val="0"/>
          <w:bCs w:val="0"/>
        </w:rPr>
      </w:pPr>
      <w:r>
        <w:rPr/>
        <w:t>（二）、公司发展战略</w:t>
      </w:r>
      <w:r>
        <w:rPr>
          <w:b w:val="0"/>
          <w:bCs w:val="0"/>
        </w:rPr>
      </w:r>
    </w:p>
    <w:p>
      <w:pPr>
        <w:spacing w:line="240" w:lineRule="auto" w:before="5"/>
        <w:rPr>
          <w:rFonts w:ascii="宋体" w:hAnsi="宋体" w:cs="宋体" w:eastAsia="宋体" w:hint="default"/>
          <w:b/>
          <w:bCs/>
          <w:sz w:val="21"/>
          <w:szCs w:val="21"/>
        </w:rPr>
      </w:pPr>
    </w:p>
    <w:p>
      <w:pPr>
        <w:pStyle w:val="BodyText"/>
        <w:spacing w:line="355" w:lineRule="auto" w:before="0"/>
        <w:ind w:left="534" w:right="1132" w:firstLine="360"/>
        <w:jc w:val="both"/>
      </w:pPr>
      <w:r>
        <w:rPr>
          <w:spacing w:val="-2"/>
        </w:rPr>
        <w:t>公司将坚持立足于以有机光导鼓等光电子器件及碳粉等先进功能材料为核心而形成的产业链，深耕以打印、复印、图文</w:t>
      </w:r>
      <w:r>
        <w:rPr/>
        <w:t> </w:t>
      </w:r>
      <w:r>
        <w:rPr>
          <w:spacing w:val="-2"/>
        </w:rPr>
        <w:t>和数码快印为功能特征的影像产业，以持续不断的技术创新、产品研发为基础，通过</w:t>
      </w:r>
      <w:r>
        <w:rPr>
          <w:rFonts w:ascii="Times New Roman" w:hAnsi="Times New Roman" w:cs="Times New Roman" w:eastAsia="Times New Roman" w:hint="default"/>
          <w:spacing w:val="-2"/>
        </w:rPr>
        <w:t>“</w:t>
      </w:r>
      <w:r>
        <w:rPr>
          <w:spacing w:val="-2"/>
        </w:rPr>
        <w:t>市场、研发、生产、人才</w:t>
      </w:r>
      <w:r>
        <w:rPr>
          <w:rFonts w:ascii="Times New Roman" w:hAnsi="Times New Roman" w:cs="Times New Roman" w:eastAsia="Times New Roman" w:hint="default"/>
          <w:spacing w:val="-2"/>
        </w:rPr>
        <w:t>”</w:t>
      </w:r>
      <w:r>
        <w:rPr>
          <w:spacing w:val="-2"/>
        </w:rPr>
        <w:t>四个核心工</w:t>
      </w:r>
      <w:r>
        <w:rPr>
          <w:spacing w:val="-45"/>
        </w:rPr>
        <w:t> </w:t>
      </w:r>
      <w:r>
        <w:rPr>
          <w:spacing w:val="-45"/>
        </w:rPr>
      </w:r>
      <w:r>
        <w:rPr>
          <w:spacing w:val="-2"/>
        </w:rPr>
        <w:t>程的实施，全面提升公司的持续发展能力、创新能力和核心竞争力，致力于将公司由目前以制造影印系统光电元器件为主的</w:t>
      </w:r>
    </w:p>
    <w:p>
      <w:pPr>
        <w:spacing w:after="0" w:line="355" w:lineRule="auto"/>
        <w:jc w:val="both"/>
        <w:sectPr>
          <w:pgSz w:w="11910" w:h="16840"/>
          <w:pgMar w:header="747" w:footer="979" w:top="1060" w:bottom="1160" w:left="600" w:right="0"/>
        </w:sectPr>
      </w:pPr>
    </w:p>
    <w:p>
      <w:pPr>
        <w:spacing w:line="240" w:lineRule="auto" w:before="8"/>
        <w:rPr>
          <w:rFonts w:ascii="宋体" w:hAnsi="宋体" w:cs="宋体" w:eastAsia="宋体" w:hint="default"/>
          <w:sz w:val="27"/>
          <w:szCs w:val="27"/>
        </w:rPr>
      </w:pPr>
    </w:p>
    <w:p>
      <w:pPr>
        <w:pStyle w:val="BodyText"/>
        <w:spacing w:line="240" w:lineRule="auto"/>
        <w:ind w:right="0"/>
        <w:jc w:val="left"/>
      </w:pPr>
      <w:r>
        <w:rPr/>
        <w:t>企业，建设成为具有国际先进水平的有机光电专业化研发与生产基地。</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（三）、经营计划</w:t>
      </w:r>
      <w:r>
        <w:rPr>
          <w:b w:val="0"/>
          <w:bCs w:val="0"/>
        </w:rPr>
      </w:r>
    </w:p>
    <w:p>
      <w:pPr>
        <w:spacing w:line="240" w:lineRule="auto" w:before="4"/>
        <w:rPr>
          <w:rFonts w:ascii="宋体" w:hAnsi="宋体" w:cs="宋体" w:eastAsia="宋体" w:hint="default"/>
          <w:b/>
          <w:bCs/>
          <w:sz w:val="21"/>
          <w:szCs w:val="21"/>
        </w:rPr>
      </w:pPr>
    </w:p>
    <w:p>
      <w:pPr>
        <w:pStyle w:val="BodyText"/>
        <w:spacing w:line="345" w:lineRule="auto" w:before="0"/>
        <w:ind w:right="1118" w:firstLine="360"/>
        <w:jc w:val="left"/>
      </w:pPr>
      <w:r>
        <w:rPr>
          <w:rFonts w:ascii="Times New Roman" w:hAnsi="Times New Roman" w:cs="Times New Roman" w:eastAsia="Times New Roman" w:hint="default"/>
          <w:spacing w:val="-2"/>
        </w:rPr>
        <w:t>2019</w:t>
      </w:r>
      <w:r>
        <w:rPr>
          <w:spacing w:val="-2"/>
        </w:rPr>
        <w:t>年是新中国成立</w:t>
      </w:r>
      <w:r>
        <w:rPr>
          <w:rFonts w:ascii="Times New Roman" w:hAnsi="Times New Roman" w:cs="Times New Roman" w:eastAsia="Times New Roman" w:hint="default"/>
          <w:spacing w:val="-2"/>
        </w:rPr>
        <w:t>70</w:t>
      </w:r>
      <w:r>
        <w:rPr>
          <w:spacing w:val="-2"/>
        </w:rPr>
        <w:t>周年，是全面建成小康社会、实现第一个百年奋斗目标的关键之年。公司将积极推进实施以下经</w:t>
      </w:r>
      <w:r>
        <w:rPr/>
        <w:t> 营计划：</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rFonts w:ascii="宋体" w:hAnsi="宋体" w:cs="宋体" w:eastAsia="宋体" w:hint="default"/>
        </w:rPr>
        <w:t>1</w:t>
      </w:r>
      <w:r>
        <w:rPr/>
        <w:t>、巩固与发展市场，优化客户与产品结构</w:t>
      </w:r>
      <w:r>
        <w:rPr>
          <w:b w:val="0"/>
          <w:bCs w:val="0"/>
        </w:rPr>
      </w:r>
    </w:p>
    <w:p>
      <w:pPr>
        <w:spacing w:line="240" w:lineRule="auto" w:before="4"/>
        <w:rPr>
          <w:rFonts w:ascii="宋体" w:hAnsi="宋体" w:cs="宋体" w:eastAsia="宋体" w:hint="default"/>
          <w:b/>
          <w:bCs/>
          <w:sz w:val="21"/>
          <w:szCs w:val="21"/>
        </w:rPr>
      </w:pPr>
    </w:p>
    <w:p>
      <w:pPr>
        <w:pStyle w:val="BodyText"/>
        <w:spacing w:line="355" w:lineRule="auto" w:before="0"/>
        <w:ind w:right="1131" w:firstLine="360"/>
        <w:jc w:val="both"/>
      </w:pPr>
      <w:r>
        <w:rPr>
          <w:rFonts w:ascii="Times New Roman" w:hAnsi="Times New Roman" w:cs="Times New Roman" w:eastAsia="Times New Roman" w:hint="default"/>
          <w:spacing w:val="-2"/>
        </w:rPr>
        <w:t>2019</w:t>
      </w:r>
      <w:r>
        <w:rPr>
          <w:spacing w:val="-2"/>
        </w:rPr>
        <w:t>年，公司将在维护原有销售渠道、稳定原有市场的基础上，继续加强新市场的调研、开发与管理，全力做好老客户</w:t>
      </w:r>
      <w:r>
        <w:rPr/>
        <w:t> </w:t>
      </w:r>
      <w:r>
        <w:rPr>
          <w:spacing w:val="-2"/>
        </w:rPr>
        <w:t>的维护、拓展与新市场的开发，并继续攻克与原装整机厂配套合作业务，同时优化客户结构与产品结构，提高产品及服务质</w:t>
      </w:r>
      <w:r>
        <w:rPr>
          <w:spacing w:val="-66"/>
        </w:rPr>
        <w:t> </w:t>
      </w:r>
      <w:r>
        <w:rPr>
          <w:spacing w:val="-66"/>
        </w:rPr>
      </w:r>
      <w:r>
        <w:rPr/>
        <w:t>量，增加产品附加值。公司将继续秉承以市场为导向，产品创新为依托，质量为本的原则，提高市场占有率。</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2</w:t>
      </w:r>
      <w:r>
        <w:rPr/>
        <w:t>、强化内部管理，优化用人机制</w:t>
      </w:r>
      <w:r>
        <w:rPr>
          <w:b w:val="0"/>
          <w:bCs w:val="0"/>
        </w:rPr>
      </w:r>
    </w:p>
    <w:p>
      <w:pPr>
        <w:spacing w:line="240" w:lineRule="auto" w:before="4"/>
        <w:rPr>
          <w:rFonts w:ascii="宋体" w:hAnsi="宋体" w:cs="宋体" w:eastAsia="宋体" w:hint="default"/>
          <w:b/>
          <w:bCs/>
          <w:sz w:val="21"/>
          <w:szCs w:val="21"/>
        </w:rPr>
      </w:pPr>
    </w:p>
    <w:p>
      <w:pPr>
        <w:pStyle w:val="BodyText"/>
        <w:spacing w:line="360" w:lineRule="auto" w:before="0"/>
        <w:ind w:right="1130" w:firstLine="360"/>
        <w:jc w:val="both"/>
      </w:pPr>
      <w:r>
        <w:rPr>
          <w:rFonts w:ascii="Times New Roman" w:hAnsi="Times New Roman" w:cs="Times New Roman" w:eastAsia="Times New Roman" w:hint="default"/>
          <w:spacing w:val="-2"/>
        </w:rPr>
        <w:t>2019</w:t>
      </w:r>
      <w:r>
        <w:rPr>
          <w:spacing w:val="-2"/>
        </w:rPr>
        <w:t>年公司将继续强化采购、生产、销售、研发、质检等各环节的内部管理与监控，降低生产经营成本，增强企业运营</w:t>
      </w:r>
      <w:r>
        <w:rPr/>
        <w:t> </w:t>
      </w:r>
      <w:r>
        <w:rPr>
          <w:spacing w:val="-2"/>
        </w:rPr>
        <w:t>效率，提升公司决策力、执行力与组织活力。在公司用人机制上，公司将引培结合，加强人才选拔、任用、考核与调整，优</w:t>
      </w:r>
      <w:r>
        <w:rPr>
          <w:spacing w:val="-67"/>
        </w:rPr>
        <w:t> </w:t>
      </w:r>
      <w:r>
        <w:rPr>
          <w:spacing w:val="-67"/>
        </w:rPr>
      </w:r>
      <w:r>
        <w:rPr>
          <w:spacing w:val="-2"/>
        </w:rPr>
        <w:t>化公司人才梯队建设，拓宽人才职业发展通道；进一步完善绩效考核和薪酬分配激励机制，打造精干高效经营管理团队，实</w:t>
      </w:r>
      <w:r>
        <w:rPr>
          <w:spacing w:val="-66"/>
        </w:rPr>
        <w:t> </w:t>
      </w:r>
      <w:r>
        <w:rPr>
          <w:spacing w:val="-66"/>
        </w:rPr>
      </w:r>
      <w:r>
        <w:rPr/>
        <w:t>现有助于公司发展的人才驱动战略。</w:t>
      </w:r>
    </w:p>
    <w:p>
      <w:pPr>
        <w:spacing w:line="240" w:lineRule="auto" w:before="6"/>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3</w:t>
      </w:r>
      <w:r>
        <w:rPr/>
        <w:t>、加快募投项目建设，坚持科技创新，培育技术人才</w:t>
      </w:r>
      <w:r>
        <w:rPr>
          <w:b w:val="0"/>
          <w:bCs w:val="0"/>
        </w:rPr>
      </w:r>
    </w:p>
    <w:p>
      <w:pPr>
        <w:spacing w:line="240" w:lineRule="auto" w:before="4"/>
        <w:rPr>
          <w:rFonts w:ascii="宋体" w:hAnsi="宋体" w:cs="宋体" w:eastAsia="宋体" w:hint="default"/>
          <w:b/>
          <w:bCs/>
          <w:sz w:val="21"/>
          <w:szCs w:val="21"/>
        </w:rPr>
      </w:pPr>
    </w:p>
    <w:p>
      <w:pPr>
        <w:pStyle w:val="BodyText"/>
        <w:spacing w:line="352" w:lineRule="auto" w:before="0"/>
        <w:ind w:right="1123" w:firstLine="360"/>
        <w:jc w:val="left"/>
      </w:pPr>
      <w:r>
        <w:rPr>
          <w:rFonts w:ascii="Times New Roman" w:hAnsi="Times New Roman" w:cs="Times New Roman" w:eastAsia="Times New Roman" w:hint="default"/>
        </w:rPr>
        <w:t>2019</w:t>
      </w:r>
      <w:r>
        <w:rPr/>
        <w:t>年，公司将加快募投项目</w:t>
      </w:r>
      <w:r>
        <w:rPr>
          <w:rFonts w:ascii="Times New Roman" w:hAnsi="Times New Roman" w:cs="Times New Roman" w:eastAsia="Times New Roman" w:hint="default"/>
        </w:rPr>
        <w:t>“</w:t>
      </w:r>
      <w:r>
        <w:rPr/>
        <w:t>有机光电工程技术研究中心</w:t>
      </w:r>
      <w:r>
        <w:rPr>
          <w:rFonts w:ascii="Times New Roman" w:hAnsi="Times New Roman" w:cs="Times New Roman" w:eastAsia="Times New Roman" w:hint="default"/>
        </w:rPr>
        <w:t>”</w:t>
      </w:r>
      <w:r>
        <w:rPr/>
        <w:t>的建设步伐，结合公司现有的</w:t>
      </w:r>
      <w:r>
        <w:rPr>
          <w:rFonts w:ascii="Times New Roman" w:hAnsi="Times New Roman" w:cs="Times New Roman" w:eastAsia="Times New Roman" w:hint="default"/>
        </w:rPr>
        <w:t>“</w:t>
      </w:r>
      <w:r>
        <w:rPr/>
        <w:t>江苏省省级企业技术中心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w w:val="100"/>
        </w:rPr>
        <w:t>和</w:t>
      </w:r>
      <w:r>
        <w:rPr>
          <w:rFonts w:ascii="Times New Roman" w:hAnsi="Times New Roman" w:cs="Times New Roman" w:eastAsia="Times New Roman" w:hint="default"/>
          <w:w w:val="100"/>
        </w:rPr>
        <w:t>“</w:t>
      </w:r>
      <w:r>
        <w:rPr>
          <w:w w:val="100"/>
        </w:rPr>
        <w:t>苏州市有机光导工程技术研究中心</w:t>
      </w:r>
      <w:r>
        <w:rPr>
          <w:rFonts w:ascii="Times New Roman" w:hAnsi="Times New Roman" w:cs="Times New Roman" w:eastAsia="Times New Roman" w:hint="default"/>
          <w:w w:val="100"/>
        </w:rPr>
        <w:t>”</w:t>
      </w:r>
      <w:r>
        <w:rPr>
          <w:rFonts w:ascii="Times New Roman" w:hAnsi="Times New Roman" w:cs="Times New Roman" w:eastAsia="Times New Roman" w:hint="default"/>
          <w:spacing w:val="18"/>
          <w:w w:val="100"/>
        </w:rPr>
        <w:t> </w:t>
      </w:r>
      <w:r>
        <w:rPr>
          <w:rFonts w:ascii="Times New Roman" w:hAnsi="Times New Roman" w:cs="Times New Roman" w:eastAsia="Times New Roman" w:hint="default"/>
          <w:spacing w:val="-3"/>
          <w:w w:val="100"/>
        </w:rPr>
        <w:t>“</w:t>
      </w:r>
      <w:r>
        <w:rPr>
          <w:spacing w:val="-3"/>
          <w:w w:val="100"/>
        </w:rPr>
        <w:t>苏州市新型纳米激光光导鼓工程技术研究中心</w:t>
      </w:r>
      <w:r>
        <w:rPr>
          <w:rFonts w:ascii="Times New Roman" w:hAnsi="Times New Roman" w:cs="Times New Roman" w:eastAsia="Times New Roman" w:hint="default"/>
          <w:spacing w:val="-3"/>
          <w:w w:val="100"/>
        </w:rPr>
        <w:t>”</w:t>
      </w:r>
      <w:r>
        <w:rPr>
          <w:spacing w:val="-3"/>
          <w:w w:val="100"/>
        </w:rPr>
        <w:t>研发平台，专注有机光电领域核心技</w:t>
      </w:r>
      <w:r>
        <w:rPr>
          <w:spacing w:val="-84"/>
          <w:w w:val="100"/>
        </w:rPr>
        <w:t> </w:t>
      </w:r>
      <w:r>
        <w:rPr>
          <w:spacing w:val="-84"/>
          <w:w w:val="100"/>
        </w:rPr>
      </w:r>
      <w:r>
        <w:rPr>
          <w:spacing w:val="-2"/>
        </w:rPr>
        <w:t>术与产品的研发，提高关键核心技术创新能力，为公司发展提供有力科技保障。同时，公司将持续注重技术团队与人才的培</w:t>
      </w:r>
      <w:r>
        <w:rPr>
          <w:spacing w:val="-66"/>
        </w:rPr>
        <w:t> </w:t>
      </w:r>
      <w:r>
        <w:rPr>
          <w:spacing w:val="-66"/>
        </w:rPr>
      </w:r>
      <w:r>
        <w:rPr/>
        <w:t>育与发展，营造</w:t>
      </w:r>
      <w:r>
        <w:rPr>
          <w:rFonts w:ascii="Times New Roman" w:hAnsi="Times New Roman" w:cs="Times New Roman" w:eastAsia="Times New Roman" w:hint="default"/>
        </w:rPr>
        <w:t>“</w:t>
      </w:r>
      <w:r>
        <w:rPr/>
        <w:t>尊重劳动、尊重人才、尊重知识、尊重创造</w:t>
      </w:r>
      <w:r>
        <w:rPr>
          <w:rFonts w:ascii="Times New Roman" w:hAnsi="Times New Roman" w:cs="Times New Roman" w:eastAsia="Times New Roman" w:hint="default"/>
        </w:rPr>
        <w:t>”</w:t>
      </w:r>
      <w:r>
        <w:rPr/>
        <w:t>的良好环境，以保持企业持续的创新能力。</w:t>
      </w:r>
    </w:p>
    <w:p>
      <w:pPr>
        <w:spacing w:line="240" w:lineRule="auto" w:before="2"/>
        <w:rPr>
          <w:rFonts w:ascii="宋体" w:hAnsi="宋体" w:cs="宋体" w:eastAsia="宋体" w:hint="default"/>
          <w:sz w:val="13"/>
          <w:szCs w:val="13"/>
        </w:rPr>
      </w:pPr>
    </w:p>
    <w:p>
      <w:pPr>
        <w:pStyle w:val="Heading4"/>
        <w:spacing w:line="240" w:lineRule="auto"/>
        <w:ind w:right="0"/>
        <w:jc w:val="left"/>
        <w:rPr>
          <w:b w:val="0"/>
          <w:bCs w:val="0"/>
        </w:rPr>
      </w:pPr>
      <w:r>
        <w:rPr>
          <w:rFonts w:ascii="宋体" w:hAnsi="宋体" w:cs="宋体" w:eastAsia="宋体" w:hint="default"/>
        </w:rPr>
        <w:t>4</w:t>
      </w:r>
      <w:r>
        <w:rPr/>
        <w:t>、整合产业资源，助力企业发展战略</w:t>
      </w:r>
      <w:r>
        <w:rPr>
          <w:b w:val="0"/>
          <w:bCs w:val="0"/>
        </w:rPr>
      </w:r>
    </w:p>
    <w:p>
      <w:pPr>
        <w:spacing w:line="240" w:lineRule="auto" w:before="4"/>
        <w:rPr>
          <w:rFonts w:ascii="宋体" w:hAnsi="宋体" w:cs="宋体" w:eastAsia="宋体" w:hint="default"/>
          <w:b/>
          <w:bCs/>
          <w:sz w:val="21"/>
          <w:szCs w:val="21"/>
        </w:rPr>
      </w:pPr>
    </w:p>
    <w:p>
      <w:pPr>
        <w:pStyle w:val="BodyText"/>
        <w:spacing w:line="355" w:lineRule="auto" w:before="0"/>
        <w:ind w:right="1032" w:firstLine="360"/>
        <w:jc w:val="left"/>
      </w:pPr>
      <w:r>
        <w:rPr>
          <w:rFonts w:ascii="Times New Roman" w:hAnsi="Times New Roman" w:cs="Times New Roman" w:eastAsia="Times New Roman" w:hint="default"/>
        </w:rPr>
        <w:t>2019</w:t>
      </w:r>
      <w:r>
        <w:rPr/>
        <w:t>年，公司将继续以有机光导鼓及相关技术为核心产业基础，围绕公司发展战略，在充分发挥现有产业资源在技术、 </w:t>
      </w:r>
      <w:r>
        <w:rPr>
          <w:spacing w:val="-2"/>
        </w:rPr>
        <w:t>人才以及产品上的协同效应与优势互补作用的基础上，积极适时进行产业布局，以提高公司对市场环境变化的适应能力，实</w:t>
      </w:r>
      <w:r>
        <w:rPr>
          <w:spacing w:val="-66"/>
        </w:rPr>
        <w:t> </w:t>
      </w:r>
      <w:r>
        <w:rPr>
          <w:spacing w:val="-66"/>
        </w:rPr>
      </w:r>
      <w:r>
        <w:rPr/>
        <w:t>现公司外延式发展，为全面实现公司发展战略打下坚实基础。</w:t>
      </w:r>
    </w:p>
    <w:p>
      <w:pPr>
        <w:spacing w:line="240" w:lineRule="auto" w:before="10"/>
        <w:rPr>
          <w:rFonts w:ascii="宋体" w:hAnsi="宋体" w:cs="宋体" w:eastAsia="宋体" w:hint="default"/>
          <w:sz w:val="14"/>
          <w:szCs w:val="14"/>
        </w:rPr>
      </w:pPr>
    </w:p>
    <w:p>
      <w:pPr>
        <w:pStyle w:val="Heading4"/>
        <w:spacing w:line="525" w:lineRule="auto"/>
        <w:ind w:right="8584"/>
        <w:jc w:val="left"/>
        <w:rPr>
          <w:b w:val="0"/>
          <w:bCs w:val="0"/>
        </w:rPr>
      </w:pPr>
      <w:r>
        <w:rPr/>
        <w:t>（四）可能面对的风险</w:t>
      </w:r>
      <w:r>
        <w:rPr>
          <w:w w:val="99"/>
        </w:rPr>
        <w:t> </w:t>
      </w:r>
      <w:r>
        <w:rPr>
          <w:rFonts w:ascii="宋体" w:hAnsi="宋体" w:cs="宋体" w:eastAsia="宋体" w:hint="default"/>
        </w:rPr>
        <w:t>1</w:t>
      </w:r>
      <w:r>
        <w:rPr/>
        <w:t>、市场竞争加剧风险</w:t>
      </w:r>
      <w:r>
        <w:rPr>
          <w:b w:val="0"/>
          <w:bCs w:val="0"/>
        </w:rPr>
      </w:r>
    </w:p>
    <w:p>
      <w:pPr>
        <w:pStyle w:val="BodyText"/>
        <w:spacing w:line="364" w:lineRule="auto" w:before="65"/>
        <w:ind w:right="1032" w:firstLine="360"/>
        <w:jc w:val="left"/>
      </w:pPr>
      <w:r>
        <w:rPr/>
        <w:t>随着行业内各企业的发展，企业之间的竞争也日趋激烈，在面临巨大挑战的同时，也面临巨大的机遇，各企业在战略、 </w:t>
      </w:r>
      <w:r>
        <w:rPr>
          <w:spacing w:val="-2"/>
        </w:rPr>
        <w:t>品牌、技术、质量、价格等方面进行市场布局并充分竞争，行业竞争加剧，公司产品的市场销售价格存在下降的风险，从而</w:t>
      </w:r>
      <w:r>
        <w:rPr>
          <w:spacing w:val="-67"/>
        </w:rPr>
        <w:t> </w:t>
      </w:r>
      <w:r>
        <w:rPr>
          <w:spacing w:val="-67"/>
        </w:rPr>
      </w:r>
      <w:r>
        <w:rPr/>
        <w:t>影响公司的盈利能力和利润水平。</w:t>
      </w:r>
    </w:p>
    <w:p>
      <w:pPr>
        <w:pStyle w:val="BodyText"/>
        <w:spacing w:line="364" w:lineRule="auto" w:before="29"/>
        <w:ind w:right="1133" w:firstLine="360"/>
        <w:jc w:val="both"/>
      </w:pPr>
      <w:r>
        <w:rPr>
          <w:spacing w:val="-2"/>
        </w:rPr>
        <w:t>与同行业其他企业相比，公司拥有行业内显著的规模生产、研制技术及专用设备集成能力，抵御市场变化的风险能力较</w:t>
      </w:r>
      <w:r>
        <w:rPr/>
        <w:t> </w:t>
      </w:r>
      <w:r>
        <w:rPr>
          <w:spacing w:val="-2"/>
        </w:rPr>
        <w:t>强。公司将加强研发创新，做好成本管控和精益生产管理，提升产品品质及议价能力，充分利用技术、管理和市场的差异化</w:t>
      </w:r>
      <w:r>
        <w:rPr>
          <w:spacing w:val="-66"/>
        </w:rPr>
        <w:t> </w:t>
      </w:r>
      <w:r>
        <w:rPr>
          <w:spacing w:val="-66"/>
        </w:rPr>
      </w:r>
      <w:r>
        <w:rPr/>
        <w:t>优势保持产品综合盈利水平。</w:t>
      </w:r>
    </w:p>
    <w:p>
      <w:pPr>
        <w:spacing w:line="240" w:lineRule="auto" w:before="2"/>
        <w:rPr>
          <w:rFonts w:ascii="宋体" w:hAnsi="宋体" w:cs="宋体" w:eastAsia="宋体" w:hint="default"/>
          <w:sz w:val="14"/>
          <w:szCs w:val="14"/>
        </w:rPr>
      </w:pPr>
    </w:p>
    <w:p>
      <w:pPr>
        <w:pStyle w:val="BodyText"/>
        <w:spacing w:line="525" w:lineRule="auto" w:before="0"/>
        <w:ind w:left="514" w:right="0" w:firstLine="1"/>
        <w:jc w:val="left"/>
      </w:pPr>
      <w:r>
        <w:rPr>
          <w:rFonts w:ascii="宋体" w:hAnsi="宋体" w:cs="宋体" w:eastAsia="宋体" w:hint="default"/>
          <w:b/>
          <w:bCs/>
        </w:rPr>
        <w:t>2</w:t>
      </w:r>
      <w:r>
        <w:rPr>
          <w:rFonts w:ascii="宋体" w:hAnsi="宋体" w:cs="宋体" w:eastAsia="宋体" w:hint="default"/>
          <w:b/>
          <w:bCs/>
        </w:rPr>
        <w:t>、技术创新风险</w:t>
      </w:r>
      <w:r>
        <w:rPr>
          <w:rFonts w:ascii="宋体" w:hAnsi="宋体" w:cs="宋体" w:eastAsia="宋体" w:hint="default"/>
          <w:b/>
          <w:bCs/>
          <w:w w:val="99"/>
        </w:rPr>
        <w:t> </w:t>
      </w:r>
      <w:r>
        <w:rPr>
          <w:spacing w:val="-2"/>
        </w:rPr>
        <w:t>随着打印、复印技术水平以及客户对产品技术性能要求的不断提高，如果公司在短期内无法对新技术、新需求作出快速</w:t>
      </w:r>
    </w:p>
    <w:p>
      <w:pPr>
        <w:spacing w:after="0" w:line="525" w:lineRule="auto"/>
        <w:jc w:val="left"/>
        <w:sectPr>
          <w:pgSz w:w="11910" w:h="16840"/>
          <w:pgMar w:header="747" w:footer="979" w:top="1060" w:bottom="1160" w:left="980" w:right="0"/>
        </w:sectPr>
      </w:pPr>
    </w:p>
    <w:p>
      <w:pPr>
        <w:spacing w:line="240" w:lineRule="auto" w:before="8"/>
        <w:rPr>
          <w:rFonts w:ascii="宋体" w:hAnsi="宋体" w:cs="宋体" w:eastAsia="宋体" w:hint="default"/>
          <w:sz w:val="27"/>
          <w:szCs w:val="27"/>
        </w:rPr>
      </w:pPr>
    </w:p>
    <w:p>
      <w:pPr>
        <w:pStyle w:val="BodyText"/>
        <w:spacing w:line="364" w:lineRule="auto"/>
        <w:ind w:right="0"/>
        <w:jc w:val="left"/>
      </w:pPr>
      <w:r>
        <w:rPr>
          <w:spacing w:val="-2"/>
        </w:rPr>
        <w:t>反应，或者国内其他企业在技术研究上取得重大突破，超越本公司，则可能致使本公司不再拥有技术优势，进而对公司的经</w:t>
      </w:r>
      <w:r>
        <w:rPr>
          <w:spacing w:val="-66"/>
        </w:rPr>
        <w:t> </w:t>
      </w:r>
      <w:r>
        <w:rPr>
          <w:spacing w:val="-66"/>
        </w:rPr>
      </w:r>
      <w:r>
        <w:rPr/>
        <w:t>营产生不利影响。</w:t>
      </w:r>
    </w:p>
    <w:p>
      <w:pPr>
        <w:pStyle w:val="BodyText"/>
        <w:spacing w:line="364" w:lineRule="auto" w:before="29"/>
        <w:ind w:right="0" w:firstLine="360"/>
        <w:jc w:val="left"/>
      </w:pPr>
      <w:r>
        <w:rPr>
          <w:spacing w:val="-2"/>
        </w:rPr>
        <w:t>公司将持续研发投入，专注于有机光电产业领域的工程技术课题及相关研发活动，实时跟踪激光打（复）印设备的技术</w:t>
      </w:r>
      <w:r>
        <w:rPr/>
        <w:t> 发展趋势和新产品方向，整合研发力量，进一步提升自主创新能力。</w:t>
      </w: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3</w:t>
      </w:r>
      <w:r>
        <w:rPr/>
        <w:t>、原材料价格波动风险</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0" w:firstLine="360"/>
        <w:jc w:val="left"/>
      </w:pPr>
      <w:r>
        <w:rPr>
          <w:spacing w:val="-2"/>
        </w:rPr>
        <w:t>公司产品所需的主要原材料包括铝管、齿轮等。原材料占主营业务成本的比重较高，若原材料价格发生剧烈波动，将引</w:t>
      </w:r>
      <w:r>
        <w:rPr/>
        <w:t> 起公司产品成本的大幅变化，则可能会对公司经营产生不利影响。</w:t>
      </w:r>
    </w:p>
    <w:p>
      <w:pPr>
        <w:pStyle w:val="BodyText"/>
        <w:spacing w:line="364" w:lineRule="auto" w:before="29"/>
        <w:ind w:right="0" w:firstLine="360"/>
        <w:jc w:val="left"/>
      </w:pPr>
      <w:r>
        <w:rPr>
          <w:spacing w:val="-2"/>
        </w:rPr>
        <w:t>公司将加强内部生产管理，不断提高原材料利用率及产品合格率，同时通过生产效率的提高及规模化生产效应，减少原</w:t>
      </w:r>
      <w:r>
        <w:rPr/>
        <w:t> 材料价格波动对公司业绩的影响。</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4</w:t>
      </w:r>
      <w:r>
        <w:rPr/>
        <w:t>、汇率变动的风险</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0" w:firstLine="360"/>
        <w:jc w:val="left"/>
      </w:pPr>
      <w:r>
        <w:rPr>
          <w:spacing w:val="-2"/>
        </w:rPr>
        <w:t>公司产品销往国内外市场，国内市场占主要份额。公司外销收入的主要结算货币主要为美元，美元资产占有公司资产总</w:t>
      </w:r>
      <w:r>
        <w:rPr/>
        <w:t> 额一定的比重。因此，汇率的波动将会对产品销售价格及公司业绩产生一定的影响。</w:t>
      </w:r>
    </w:p>
    <w:p>
      <w:pPr>
        <w:pStyle w:val="BodyText"/>
        <w:spacing w:line="364" w:lineRule="auto" w:before="29"/>
        <w:ind w:right="1118" w:firstLine="360"/>
        <w:jc w:val="left"/>
      </w:pPr>
      <w:r>
        <w:rPr>
          <w:spacing w:val="-2"/>
        </w:rPr>
        <w:t>公司将保持适当的美元资产在资产总额的配置比重，密切关注汇率变动趋势，适时选择汇率避险工具，实现公司资产保</w:t>
      </w:r>
      <w:r>
        <w:rPr/>
        <w:t> 值增值。</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3"/>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具体内容详见公司披露于巨潮资讯网 的（</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）的《恒 </w:t>
            </w:r>
            <w:r>
              <w:rPr>
                <w:rFonts w:ascii="宋体" w:hAnsi="宋体" w:cs="宋体" w:eastAsia="宋体" w:hint="default"/>
                <w:spacing w:val="-4"/>
                <w:sz w:val="18"/>
                <w:szCs w:val="18"/>
              </w:rPr>
              <w:t>久科技：</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60"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报告期内，公司未对利润分配政策进行过调整。公司实行持续、稳定的利润分配政策，公司利润分配政策重视对投资者</w:t>
      </w:r>
    </w:p>
    <w:p>
      <w:pPr>
        <w:pStyle w:val="BodyText"/>
        <w:spacing w:line="364" w:lineRule="auto" w:before="33"/>
        <w:ind w:right="1032"/>
        <w:jc w:val="left"/>
      </w:pPr>
      <w:r>
        <w:rPr/>
        <w:t>的合理回报并兼顾公司的可持续发展。报告期内，公司利润分配预案在经股东大会审议通过及时在规定的时间内实施完毕， 切实保障了全体股东的利益。</w:t>
      </w:r>
    </w:p>
    <w:p>
      <w:pPr>
        <w:pStyle w:val="BodyText"/>
        <w:spacing w:line="345" w:lineRule="auto" w:before="29"/>
        <w:ind w:right="1132" w:firstLine="360"/>
        <w:jc w:val="both"/>
      </w:pPr>
      <w:r>
        <w:rPr/>
        <w:t>报告期内，公司利润分配政策执行情况如下：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日，公司第三届董事会第二十一次会议审议通过了《关于公 </w:t>
      </w:r>
      <w:r>
        <w:rPr>
          <w:spacing w:val="-2"/>
        </w:rPr>
        <w:t>司</w:t>
      </w:r>
      <w:r>
        <w:rPr>
          <w:rFonts w:ascii="Times New Roman" w:hAnsi="Times New Roman" w:cs="Times New Roman" w:eastAsia="Times New Roman" w:hint="default"/>
          <w:spacing w:val="-2"/>
        </w:rPr>
        <w:t>2017</w:t>
      </w:r>
      <w:r>
        <w:rPr>
          <w:spacing w:val="-2"/>
        </w:rPr>
        <w:t>年度利润分配预案的议案》，以截止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192,000,000</w:t>
      </w:r>
      <w:r>
        <w:rPr>
          <w:spacing w:val="-2"/>
        </w:rPr>
        <w:t>股为基数，向全体股东每</w:t>
      </w:r>
      <w:r>
        <w:rPr>
          <w:rFonts w:ascii="Times New Roman" w:hAnsi="Times New Roman" w:cs="Times New Roman" w:eastAsia="Times New Roman" w:hint="default"/>
          <w:spacing w:val="-2"/>
        </w:rPr>
        <w:t>10</w:t>
      </w:r>
      <w:r>
        <w:rPr>
          <w:spacing w:val="-2"/>
        </w:rPr>
        <w:t>股派发现金股利人</w:t>
      </w:r>
      <w:r>
        <w:rPr>
          <w:spacing w:val="-44"/>
        </w:rPr>
        <w:t> </w:t>
      </w:r>
      <w:r>
        <w:rPr>
          <w:spacing w:val="-44"/>
        </w:rPr>
      </w:r>
      <w:r>
        <w:rPr/>
        <w:t>民币</w:t>
      </w:r>
      <w:r>
        <w:rPr>
          <w:rFonts w:ascii="Times New Roman" w:hAnsi="Times New Roman" w:cs="Times New Roman" w:eastAsia="Times New Roman" w:hint="default"/>
        </w:rPr>
        <w:t>0.5</w:t>
      </w:r>
      <w:r>
        <w:rPr/>
        <w:t>元（含税），共计派发现金股利人民币</w:t>
      </w:r>
      <w:r>
        <w:rPr>
          <w:rFonts w:ascii="Times New Roman" w:hAnsi="Times New Roman" w:cs="Times New Roman" w:eastAsia="Times New Roman" w:hint="default"/>
        </w:rPr>
        <w:t>9,600,000</w:t>
      </w:r>
      <w:r>
        <w:rPr/>
        <w:t>元，不送红股，不以资本公积转增股本，剩余未分配利润结转至以 后年度。该利润分配议案于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日经公司</w:t>
      </w:r>
      <w:r>
        <w:rPr>
          <w:rFonts w:ascii="Times New Roman" w:hAnsi="Times New Roman" w:cs="Times New Roman" w:eastAsia="Times New Roman" w:hint="default"/>
        </w:rPr>
        <w:t>2017</w:t>
      </w:r>
      <w:r>
        <w:rPr/>
        <w:t>年度股东大会审议通过。该利润分配方案已实施完毕。</w:t>
      </w:r>
    </w:p>
    <w:p>
      <w:pPr>
        <w:spacing w:line="240" w:lineRule="auto" w:before="13"/>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不适用。报告期内，公司未调整或变更现金分红政策。</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45" w:lineRule="auto" w:before="125"/>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17"/>
        </w:rPr>
        <w:t> </w:t>
      </w:r>
      <w:r>
        <w:rPr>
          <w:rFonts w:ascii="Times New Roman" w:hAnsi="Times New Roman" w:cs="Times New Roman" w:eastAsia="Times New Roman" w:hint="default"/>
        </w:rPr>
        <w:t>2016</w:t>
      </w:r>
      <w:r>
        <w:rPr/>
        <w:t>年度利润分配及资本公积转增股本方案 </w:t>
      </w:r>
      <w:r>
        <w:rPr>
          <w:spacing w:val="-4"/>
        </w:rPr>
        <w:t>以</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120,000,000</w:t>
      </w:r>
      <w:r>
        <w:rPr>
          <w:spacing w:val="-4"/>
        </w:rPr>
        <w:t>股为基数，向全体股东每</w:t>
      </w:r>
      <w:r>
        <w:rPr>
          <w:rFonts w:ascii="Times New Roman" w:hAnsi="Times New Roman" w:cs="Times New Roman" w:eastAsia="Times New Roman" w:hint="default"/>
          <w:spacing w:val="-4"/>
        </w:rPr>
        <w:t>10</w:t>
      </w:r>
      <w:r>
        <w:rPr>
          <w:spacing w:val="-4"/>
        </w:rPr>
        <w:t>股派现金</w:t>
      </w:r>
      <w:r>
        <w:rPr>
          <w:rFonts w:ascii="Times New Roman" w:hAnsi="Times New Roman" w:cs="Times New Roman" w:eastAsia="Times New Roman" w:hint="default"/>
          <w:spacing w:val="-4"/>
        </w:rPr>
        <w:t>1.0</w:t>
      </w:r>
      <w:r>
        <w:rPr>
          <w:spacing w:val="-4"/>
        </w:rPr>
        <w:t>元（含税），共派发现金股利</w:t>
      </w:r>
      <w:r>
        <w:rPr>
          <w:rFonts w:ascii="Times New Roman" w:hAnsi="Times New Roman" w:cs="Times New Roman" w:eastAsia="Times New Roman" w:hint="default"/>
          <w:spacing w:val="-4"/>
        </w:rPr>
        <w:t>12,000,000</w:t>
      </w:r>
    </w:p>
    <w:p>
      <w:pPr>
        <w:pStyle w:val="BodyText"/>
        <w:spacing w:line="364" w:lineRule="auto" w:before="22"/>
        <w:ind w:right="1118"/>
        <w:jc w:val="left"/>
      </w:pPr>
      <w:r>
        <w:rPr>
          <w:spacing w:val="-2"/>
        </w:rPr>
        <w:t>元；不送红股，以资本公积每十股转增六股。剩余未分配利润结转以后年度。本利润分配及资本公积转增股本方案已实施完</w:t>
      </w:r>
      <w:r>
        <w:rPr>
          <w:spacing w:val="-66"/>
        </w:rPr>
        <w:t> </w:t>
      </w:r>
      <w:r>
        <w:rPr>
          <w:spacing w:val="-66"/>
        </w:rPr>
      </w:r>
      <w:r>
        <w:rPr/>
        <w:t>毕。</w:t>
      </w:r>
    </w:p>
    <w:p>
      <w:pPr>
        <w:pStyle w:val="BodyText"/>
        <w:spacing w:line="345" w:lineRule="auto" w:before="29"/>
        <w:ind w:left="514" w:right="116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 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192,000,000</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w:t>
      </w:r>
      <w:r>
        <w:rPr/>
        <w:t>元（含税），共计派发现金股利</w:t>
      </w:r>
    </w:p>
    <w:p>
      <w:pPr>
        <w:pStyle w:val="BodyText"/>
        <w:spacing w:line="240" w:lineRule="auto" w:before="22"/>
        <w:ind w:right="0"/>
        <w:jc w:val="left"/>
      </w:pPr>
      <w:r>
        <w:rPr>
          <w:rFonts w:ascii="Times New Roman" w:hAnsi="Times New Roman" w:cs="Times New Roman" w:eastAsia="Times New Roman" w:hint="default"/>
        </w:rPr>
        <w:t>9,600,000</w:t>
      </w:r>
      <w:r>
        <w:rPr/>
        <w:t>元；不送红股，不以资本公积转增股本。剩余未分配利润结转以后年度。本利润分配方案已实施完毕。</w:t>
      </w:r>
    </w:p>
    <w:p>
      <w:pPr>
        <w:pStyle w:val="BodyText"/>
        <w:spacing w:line="345" w:lineRule="auto" w:before="109"/>
        <w:ind w:left="514" w:right="116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年度利润分配及资本公积转增股本预案 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192,000,000</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w:t>
      </w:r>
      <w:r>
        <w:rPr/>
        <w:t>元（含税），合计派发现金股利</w:t>
      </w:r>
    </w:p>
    <w:p>
      <w:pPr>
        <w:pStyle w:val="BodyText"/>
        <w:spacing w:line="345" w:lineRule="auto" w:before="22"/>
        <w:ind w:right="1122"/>
        <w:jc w:val="left"/>
      </w:pPr>
      <w:r>
        <w:rPr>
          <w:rFonts w:ascii="Times New Roman" w:hAnsi="Times New Roman" w:cs="Times New Roman" w:eastAsia="Times New Roman" w:hint="default"/>
        </w:rPr>
        <w:t>9,600,000</w:t>
      </w:r>
      <w:r>
        <w:rPr/>
        <w:t>元；不送红股，以资本公积每十股转增</w:t>
      </w:r>
      <w:r>
        <w:rPr>
          <w:rFonts w:ascii="Times New Roman" w:hAnsi="Times New Roman" w:cs="Times New Roman" w:eastAsia="Times New Roman" w:hint="default"/>
        </w:rPr>
        <w:t>4</w:t>
      </w:r>
      <w:r>
        <w:rPr/>
        <w:t>股，剩余未分配利润结转以后年度。该利润分配及资本公积转增股本预案 尚需提交公司</w:t>
      </w:r>
      <w:r>
        <w:rPr>
          <w:rFonts w:ascii="Times New Roman" w:hAnsi="Times New Roman" w:cs="Times New Roman" w:eastAsia="Times New Roman" w:hint="default"/>
        </w:rPr>
        <w:t>2018</w:t>
      </w:r>
      <w:r>
        <w:rPr/>
        <w:t>年度股东大会审议。</w:t>
      </w:r>
    </w:p>
    <w:p>
      <w:pPr>
        <w:pStyle w:val="BodyText"/>
        <w:spacing w:line="240" w:lineRule="auto" w:before="40"/>
        <w:ind w:right="0"/>
        <w:jc w:val="left"/>
      </w:pPr>
      <w:r>
        <w:rPr/>
        <w:t>公司近三年（包括本报告期）普通股现金分红情况表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6"/>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34,659,747.32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27.70%</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30,446,607.75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31.53%</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41,047,172.04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29.23%</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169,427,354.91</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4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2" w:right="0"/>
              <w:jc w:val="left"/>
              <w:rPr>
                <w:rFonts w:ascii="宋体" w:hAnsi="宋体" w:cs="宋体" w:eastAsia="宋体" w:hint="default"/>
                <w:sz w:val="18"/>
                <w:szCs w:val="18"/>
              </w:rPr>
            </w:pPr>
            <w:r>
              <w:rPr>
                <w:rFonts w:ascii="宋体" w:hAnsi="宋体" w:cs="宋体" w:eastAsia="宋体" w:hint="default"/>
                <w:sz w:val="18"/>
                <w:szCs w:val="18"/>
              </w:rPr>
              <w:t>经立信会计师事务所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25,021,688.36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元，按照母公司报告期内实现</w:t>
            </w: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2,502,168</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w:t>
            </w:r>
            <w:r>
              <w:rPr>
                <w:rFonts w:ascii="宋体" w:hAnsi="宋体" w:cs="宋体" w:eastAsia="宋体" w:hint="default"/>
                <w:sz w:val="18"/>
                <w:szCs w:val="18"/>
              </w:rPr>
              <w:t>加母公司年初未分配利润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156,507,835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年度对股东已</w:t>
            </w:r>
            <w:r>
              <w:rPr>
                <w:rFonts w:ascii="宋体" w:hAnsi="宋体" w:cs="宋体" w:eastAsia="宋体" w:hint="default"/>
                <w:spacing w:val="1"/>
                <w:sz w:val="18"/>
                <w:szCs w:val="18"/>
              </w:rPr>
              <w:t>实</w:t>
            </w:r>
            <w:r>
              <w:rPr>
                <w:rFonts w:ascii="宋体" w:hAnsi="宋体" w:cs="宋体" w:eastAsia="宋体" w:hint="default"/>
                <w:sz w:val="18"/>
                <w:szCs w:val="18"/>
              </w:rPr>
              <w:t>施</w:t>
            </w: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的现金分红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年末可供股东分配的利润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169,427,354.91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年利润分配及资本公积转增</w:t>
            </w: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股本预案为以截止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19,200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万股作为股本基数，向全体股东每十股派发现金股利人民币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元（含</w:t>
            </w: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元；同时以资本公积向全体股东每十股转增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合</w:t>
            </w:r>
            <w:r>
              <w:rPr>
                <w:rFonts w:ascii="宋体" w:hAnsi="宋体" w:cs="宋体" w:eastAsia="宋体" w:hint="default"/>
                <w:sz w:val="18"/>
                <w:szCs w:val="18"/>
              </w:rPr>
              <w:t>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万股，转增后公司总</w:t>
            </w: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股本将增至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pStyle w:val="Heading2"/>
        <w:spacing w:line="240" w:lineRule="auto" w:before="30"/>
        <w:ind w:left="300" w:right="0"/>
        <w:jc w:val="left"/>
        <w:rPr>
          <w:b w:val="0"/>
          <w:bCs w:val="0"/>
        </w:rPr>
      </w:pPr>
      <w:r>
        <w:rPr/>
        <w:pict>
          <v:group style="position:absolute;margin-left:70.5pt;margin-top:2.255627pt;width:701pt;height:.1pt;mso-position-horizontal-relative:page;mso-position-vertical-relative:paragraph;z-index:-832768"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0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3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406"/>
        <w:gridCol w:w="3402"/>
        <w:gridCol w:w="1247"/>
        <w:gridCol w:w="3970"/>
        <w:gridCol w:w="1474"/>
        <w:gridCol w:w="1474"/>
        <w:gridCol w:w="1386"/>
      </w:tblGrid>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3402" w:type="dxa"/>
            <w:tcBorders>
              <w:top w:val="single" w:sz="4" w:space="0" w:color="000000"/>
              <w:left w:val="single" w:sz="13" w:space="0" w:color="D2D2D2"/>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122"/>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3402" w:type="dxa"/>
            <w:tcBorders>
              <w:top w:val="single" w:sz="4" w:space="0" w:color="000000"/>
              <w:left w:val="single" w:sz="13" w:space="0" w:color="D2D2D2"/>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 w:right="122"/>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3402" w:type="dxa"/>
            <w:tcBorders>
              <w:top w:val="single" w:sz="4" w:space="0" w:color="000000"/>
              <w:left w:val="single" w:sz="13" w:space="0" w:color="D2D2D2"/>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06" w:type="dxa"/>
            <w:vMerge w:val="restart"/>
            <w:tcBorders>
              <w:top w:val="single" w:sz="4" w:space="0" w:color="000000"/>
              <w:left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苏州恒久上市后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个月内如苏州恒久股票连续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个交易日的收盘价均低于以当日为基准经前复权 </w:t>
            </w:r>
            <w:r>
              <w:rPr>
                <w:rFonts w:ascii="宋体" w:hAnsi="宋体" w:cs="宋体" w:eastAsia="宋体" w:hint="default"/>
                <w:spacing w:val="-4"/>
                <w:sz w:val="18"/>
                <w:szCs w:val="18"/>
              </w:rPr>
              <w:t>计算的发行价，或者上市后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 </w:t>
            </w:r>
            <w:r>
              <w:rPr>
                <w:rFonts w:ascii="宋体" w:hAnsi="宋体" w:cs="宋体" w:eastAsia="宋体" w:hint="default"/>
                <w:spacing w:val="-3"/>
                <w:sz w:val="18"/>
                <w:szCs w:val="18"/>
              </w:rPr>
              <w:t>以当日为基准经前复权计算的发行价，本人所持苏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州恒久股票的锁定期限自动延长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已严格履行完毕</w:t>
            </w:r>
          </w:p>
        </w:tc>
      </w:tr>
      <w:tr>
        <w:trPr>
          <w:trHeight w:val="474" w:hRule="exact"/>
        </w:trPr>
        <w:tc>
          <w:tcPr>
            <w:tcW w:w="1406" w:type="dxa"/>
            <w:vMerge/>
            <w:tcBorders>
              <w:left w:val="single" w:sz="4" w:space="0" w:color="000000"/>
              <w:bottom w:val="nil" w:sz="6" w:space="0" w:color="auto"/>
              <w:right w:val="single" w:sz="4" w:space="0" w:color="000000"/>
            </w:tcBorders>
            <w:shd w:val="clear" w:color="auto" w:fill="D2D2D2"/>
          </w:tcPr>
          <w:p>
            <w:pPr/>
          </w:p>
        </w:tc>
        <w:tc>
          <w:tcPr>
            <w:tcW w:w="340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16" w:right="26"/>
              <w:jc w:val="left"/>
              <w:rPr>
                <w:rFonts w:ascii="宋体" w:hAnsi="宋体" w:cs="宋体" w:eastAsia="宋体" w:hint="default"/>
                <w:sz w:val="18"/>
                <w:szCs w:val="18"/>
              </w:rPr>
            </w:pP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苏州恒久荣盛科技投资有限公司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孙 忠良</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p>
        </w:tc>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970"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自苏州恒久股票在证券交易所上市之日起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10"/>
                <w:sz w:val="18"/>
                <w:szCs w:val="18"/>
              </w:rPr>
              <w:t>内，本人（公司）不转让或者委托他人管理本人（公</w:t>
            </w:r>
            <w:r>
              <w:rPr>
                <w:rFonts w:ascii="宋体" w:hAnsi="宋体" w:cs="宋体" w:eastAsia="宋体" w:hint="default"/>
                <w:sz w:val="18"/>
                <w:szCs w:val="18"/>
              </w:rPr>
              <w:t> </w:t>
            </w:r>
            <w:r>
              <w:rPr>
                <w:rFonts w:ascii="宋体" w:hAnsi="宋体" w:cs="宋体" w:eastAsia="宋体" w:hint="default"/>
                <w:spacing w:val="-3"/>
                <w:sz w:val="18"/>
                <w:szCs w:val="18"/>
              </w:rPr>
              <w:t>司）现已持有的苏州恒久股份，也不由苏州恒久回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购本人（公司）持有的该部分股份。</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864" w:hRule="exact"/>
        </w:trPr>
        <w:tc>
          <w:tcPr>
            <w:tcW w:w="140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2" w:right="122"/>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3402" w:type="dxa"/>
            <w:vMerge/>
            <w:tcBorders>
              <w:left w:val="single" w:sz="9" w:space="0" w:color="D2D2D2"/>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151" w:hRule="exact"/>
        </w:trPr>
        <w:tc>
          <w:tcPr>
            <w:tcW w:w="1406" w:type="dxa"/>
            <w:vMerge/>
            <w:tcBorders>
              <w:left w:val="single" w:sz="4" w:space="0" w:color="000000"/>
              <w:bottom w:val="nil" w:sz="6" w:space="0" w:color="auto"/>
              <w:right w:val="single" w:sz="4" w:space="0" w:color="000000"/>
            </w:tcBorders>
            <w:shd w:val="clear" w:color="auto" w:fill="D2D2D2"/>
          </w:tcPr>
          <w:p>
            <w:pPr/>
          </w:p>
        </w:tc>
        <w:tc>
          <w:tcPr>
            <w:tcW w:w="3402"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6"/>
              <w:jc w:val="both"/>
              <w:rPr>
                <w:rFonts w:ascii="宋体" w:hAnsi="宋体" w:cs="宋体" w:eastAsia="宋体" w:hint="default"/>
                <w:sz w:val="18"/>
                <w:szCs w:val="18"/>
              </w:rPr>
            </w:pPr>
            <w:r>
              <w:rPr>
                <w:rFonts w:ascii="宋体" w:hAnsi="宋体" w:cs="宋体" w:eastAsia="宋体" w:hint="default"/>
                <w:sz w:val="18"/>
                <w:szCs w:val="18"/>
              </w:rPr>
              <w:t>北京邦诺投资管理中心（有限合伙）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陈亮</w:t>
            </w:r>
            <w:r>
              <w:rPr>
                <w:rFonts w:ascii="Times New Roman" w:hAnsi="Times New Roman" w:cs="Times New Roman" w:eastAsia="Times New Roman" w:hint="default"/>
                <w:sz w:val="18"/>
                <w:szCs w:val="18"/>
              </w:rPr>
              <w:t>; </w:t>
            </w:r>
            <w:r>
              <w:rPr>
                <w:rFonts w:ascii="宋体" w:hAnsi="宋体" w:cs="宋体" w:eastAsia="宋体" w:hint="default"/>
                <w:sz w:val="18"/>
                <w:szCs w:val="18"/>
              </w:rPr>
              <w:t>顾文明</w:t>
            </w:r>
            <w:r>
              <w:rPr>
                <w:rFonts w:ascii="Times New Roman" w:hAnsi="Times New Roman" w:cs="Times New Roman" w:eastAsia="Times New Roman" w:hint="default"/>
                <w:sz w:val="18"/>
                <w:szCs w:val="18"/>
              </w:rPr>
              <w:t>;</w:t>
            </w:r>
            <w:r>
              <w:rPr>
                <w:rFonts w:ascii="宋体" w:hAnsi="宋体" w:cs="宋体" w:eastAsia="宋体" w:hint="default"/>
                <w:sz w:val="18"/>
                <w:szCs w:val="18"/>
              </w:rPr>
              <w:t>江苏昌盛阜创业投资有限公司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 省苏高新风险投资股份有限公司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刘瑜</w:t>
            </w:r>
            <w:r>
              <w:rPr>
                <w:rFonts w:ascii="Times New Roman" w:hAnsi="Times New Roman" w:cs="Times New Roman" w:eastAsia="Times New Roman" w:hint="default"/>
                <w:sz w:val="18"/>
                <w:szCs w:val="18"/>
              </w:rPr>
              <w:t>;</w:t>
            </w:r>
            <w:r>
              <w:rPr>
                <w:rFonts w:ascii="宋体" w:hAnsi="宋体" w:cs="宋体" w:eastAsia="宋体" w:hint="default"/>
                <w:sz w:val="18"/>
                <w:szCs w:val="18"/>
              </w:rPr>
              <w:t>裘亦 荷</w:t>
            </w:r>
            <w:r>
              <w:rPr>
                <w:rFonts w:ascii="Times New Roman" w:hAnsi="Times New Roman" w:cs="Times New Roman" w:eastAsia="Times New Roman" w:hint="default"/>
                <w:sz w:val="18"/>
                <w:szCs w:val="18"/>
              </w:rPr>
              <w:t>;</w:t>
            </w:r>
            <w:r>
              <w:rPr>
                <w:rFonts w:ascii="宋体" w:hAnsi="宋体" w:cs="宋体" w:eastAsia="宋体" w:hint="default"/>
                <w:sz w:val="18"/>
                <w:szCs w:val="18"/>
              </w:rPr>
              <w:t>上海安益文恒投资中心（有限合伙）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沈 玉将</w:t>
            </w:r>
            <w:r>
              <w:rPr>
                <w:rFonts w:ascii="Times New Roman" w:hAnsi="Times New Roman" w:cs="Times New Roman" w:eastAsia="Times New Roman" w:hint="default"/>
                <w:sz w:val="18"/>
                <w:szCs w:val="18"/>
              </w:rPr>
              <w:t>;</w:t>
            </w:r>
            <w:r>
              <w:rPr>
                <w:rFonts w:ascii="宋体" w:hAnsi="宋体" w:cs="宋体" w:eastAsia="宋体" w:hint="default"/>
                <w:sz w:val="18"/>
                <w:szCs w:val="18"/>
              </w:rPr>
              <w:t>宋菊萍</w:t>
            </w:r>
            <w:r>
              <w:rPr>
                <w:rFonts w:ascii="Times New Roman" w:hAnsi="Times New Roman" w:cs="Times New Roman" w:eastAsia="Times New Roman" w:hint="default"/>
                <w:sz w:val="18"/>
                <w:szCs w:val="18"/>
              </w:rPr>
              <w:t>;</w:t>
            </w:r>
            <w:r>
              <w:rPr>
                <w:rFonts w:ascii="宋体" w:hAnsi="宋体" w:cs="宋体" w:eastAsia="宋体" w:hint="default"/>
                <w:sz w:val="18"/>
                <w:szCs w:val="18"/>
              </w:rPr>
              <w:t>苏州工业园区辰融创业投资有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苏州亨通永源创业投资企业（有限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王新平</w:t>
            </w:r>
            <w:r>
              <w:rPr>
                <w:rFonts w:ascii="Times New Roman" w:hAnsi="Times New Roman" w:cs="Times New Roman" w:eastAsia="Times New Roman" w:hint="default"/>
                <w:sz w:val="18"/>
                <w:szCs w:val="18"/>
              </w:rPr>
              <w:t>;</w:t>
            </w:r>
            <w:r>
              <w:rPr>
                <w:rFonts w:ascii="宋体" w:hAnsi="宋体" w:cs="宋体" w:eastAsia="宋体" w:hint="default"/>
                <w:sz w:val="18"/>
                <w:szCs w:val="18"/>
              </w:rPr>
              <w:t>闫挺</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w:t>
            </w:r>
            <w:r>
              <w:rPr>
                <w:rFonts w:ascii="宋体" w:hAnsi="宋体" w:cs="宋体" w:eastAsia="宋体" w:hint="default"/>
                <w:sz w:val="18"/>
                <w:szCs w:val="18"/>
              </w:rPr>
              <w:t>赵夕明</w:t>
            </w:r>
          </w:p>
        </w:tc>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3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54"/>
              <w:jc w:val="both"/>
              <w:rPr>
                <w:rFonts w:ascii="宋体" w:hAnsi="宋体" w:cs="宋体" w:eastAsia="宋体" w:hint="default"/>
                <w:sz w:val="18"/>
                <w:szCs w:val="18"/>
              </w:rPr>
            </w:pPr>
            <w:r>
              <w:rPr>
                <w:rFonts w:ascii="宋体" w:hAnsi="宋体" w:cs="宋体" w:eastAsia="宋体" w:hint="default"/>
                <w:sz w:val="18"/>
                <w:szCs w:val="18"/>
              </w:rPr>
              <w:t>自苏州恒久股票在证券交易所上市之日起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本人不转让或者委托他人管理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本人现已持有的苏州恒久股份，也 不由苏州恒久回购本公司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本人持有的苏州 恒久股份。</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已严格履行完毕</w:t>
            </w:r>
          </w:p>
        </w:tc>
      </w:tr>
      <w:tr>
        <w:trPr>
          <w:trHeight w:val="2124"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2" w:type="dxa"/>
            <w:vMerge/>
            <w:tcBorders>
              <w:left w:val="single" w:sz="9" w:space="0" w:color="D2D2D2"/>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3970"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67" w:footer="979" w:top="1060" w:bottom="1160" w:left="1140" w:right="1120"/>
          <w:pgNumType w:start="29"/>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6"/>
      </w:tblGrid>
      <w:tr>
        <w:trPr>
          <w:trHeight w:val="9426" w:hRule="exact"/>
        </w:trPr>
        <w:tc>
          <w:tcPr>
            <w:tcW w:w="141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p>
        </w:tc>
        <w:tc>
          <w:tcPr>
            <w:tcW w:w="12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在本人及本人的关联自然人在苏州恒久担任董事、 </w:t>
            </w:r>
            <w:r>
              <w:rPr>
                <w:rFonts w:ascii="宋体" w:hAnsi="宋体" w:cs="宋体" w:eastAsia="宋体" w:hint="default"/>
                <w:spacing w:val="-3"/>
                <w:sz w:val="18"/>
                <w:szCs w:val="18"/>
              </w:rPr>
              <w:t>监事、高级管理人员期间，每年转让的股份不超过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本人持有苏州恒久股份总数的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内，不转让本人所持有的苏州恒久股份；离职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p>
          <w:p>
            <w:pPr>
              <w:pStyle w:val="TableParagraph"/>
              <w:spacing w:line="307"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个月内通过证券交易所挂牌交易出售苏 州恒久股票数量占本人所持有苏州恒久股票总数 的比例不超过</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。苏州恒久上市后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个月内如苏 州恒久股票连续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个交易日的收盘价均低于以当</w:t>
            </w:r>
          </w:p>
          <w:p>
            <w:pPr>
              <w:pStyle w:val="TableParagraph"/>
              <w:spacing w:line="314" w:lineRule="auto" w:before="7"/>
              <w:ind w:left="22" w:right="23"/>
              <w:jc w:val="left"/>
              <w:rPr>
                <w:rFonts w:ascii="宋体" w:hAnsi="宋体" w:cs="宋体" w:eastAsia="宋体" w:hint="default"/>
                <w:sz w:val="18"/>
                <w:szCs w:val="18"/>
              </w:rPr>
            </w:pPr>
            <w:r>
              <w:rPr>
                <w:rFonts w:ascii="宋体" w:hAnsi="宋体" w:cs="宋体" w:eastAsia="宋体" w:hint="default"/>
                <w:spacing w:val="-3"/>
                <w:sz w:val="18"/>
                <w:szCs w:val="18"/>
              </w:rPr>
              <w:t>日为基准经前复权计算的发行价，或者上市后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月期末收盘价低于以当日为基准经前复权计算的 </w:t>
            </w:r>
            <w:r>
              <w:rPr>
                <w:rFonts w:ascii="宋体" w:hAnsi="宋体" w:cs="宋体" w:eastAsia="宋体" w:hint="default"/>
                <w:spacing w:val="-3"/>
                <w:sz w:val="18"/>
                <w:szCs w:val="18"/>
              </w:rPr>
              <w:t>发行价，本人所持苏州恒久股票的锁定期限自动延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个月。本人所持苏州恒久股份的上述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锁定期届满后两年内，若确因自身经济需要，本人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可通过深圳证券交易所减持本人所持苏州恒久股 </w:t>
            </w:r>
            <w:r>
              <w:rPr>
                <w:rFonts w:ascii="宋体" w:hAnsi="宋体" w:cs="宋体" w:eastAsia="宋体" w:hint="default"/>
                <w:spacing w:val="-3"/>
                <w:sz w:val="18"/>
                <w:szCs w:val="18"/>
              </w:rPr>
              <w:t>份，本人承诺按照相关法律法规及深圳证券交易所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规则要求进行减持，减持方式包括二级市场集中竞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价交易、大宗交易或其他深圳证券交易所认可的合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法方式，但是并不能因转让苏州恒久股份影响本人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的控股股东地位；本人所持苏州恒久股份上述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个月锁定期届满后两年内，本人拟减持发行人股份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的，则每年转让的数量不超过本人所持苏州恒久股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份数量的</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；本人减持股份的价格根据当时的二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级市场价格确定，且不低于以减持日为基准经前复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权计算的首次公开发行股票的发行价格，并应符合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相关法律法规及深圳证券交易所规则要求。在本人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拟转让所持苏州恒久股份时，本人将在减持前三个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交易日通过苏州恒久公告减持意向。若本人未履行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上述承诺，本人将在中国证监会指定报刊上公开说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明未履行的具体原因并向股东和社会公众投资者 </w:t>
            </w:r>
            <w:r>
              <w:rPr>
                <w:rFonts w:ascii="宋体" w:hAnsi="宋体" w:cs="宋体" w:eastAsia="宋体" w:hint="default"/>
                <w:spacing w:val="-3"/>
                <w:sz w:val="18"/>
                <w:szCs w:val="18"/>
              </w:rPr>
              <w:t>道歉；如果本人因未履行上述承诺事项而获得收入</w:t>
            </w:r>
          </w:p>
        </w:tc>
        <w:tc>
          <w:tcPr>
            <w:tcW w:w="14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8"/>
      </w:tblGrid>
      <w:tr>
        <w:trPr>
          <w:trHeight w:val="1625"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的，所得的收入归苏州恒久所有，本人将在获得收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入的五日内将前述收入支付给苏州恒久指定账户； 如果因本人未履行上述承诺事项给苏州恒久或者 </w:t>
            </w:r>
            <w:r>
              <w:rPr>
                <w:rFonts w:ascii="宋体" w:hAnsi="宋体" w:cs="宋体" w:eastAsia="宋体" w:hint="default"/>
                <w:spacing w:val="-3"/>
                <w:sz w:val="18"/>
                <w:szCs w:val="18"/>
              </w:rPr>
              <w:t>其他投资者造成损失的，本人将向苏州恒久或者其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他投资者依法承担赔偿责任。</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r>
      <w:tr>
        <w:trPr>
          <w:trHeight w:val="785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苏州恒久荣盛科技投资有限公司</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8"/>
              <w:jc w:val="both"/>
              <w:rPr>
                <w:rFonts w:ascii="宋体" w:hAnsi="宋体" w:cs="宋体" w:eastAsia="宋体" w:hint="default"/>
                <w:sz w:val="18"/>
                <w:szCs w:val="18"/>
              </w:rPr>
            </w:pPr>
            <w:r>
              <w:rPr>
                <w:rFonts w:ascii="宋体" w:hAnsi="宋体" w:cs="宋体" w:eastAsia="宋体" w:hint="default"/>
                <w:spacing w:val="-3"/>
                <w:sz w:val="18"/>
                <w:szCs w:val="18"/>
              </w:rPr>
              <w:t>在余荣清、兰山英在苏州恒久担任董事、监事、高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级管理人员期间，每年转让的股份不超过本公司持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有的苏州恒久股份总数的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 </w:t>
            </w:r>
            <w:r>
              <w:rPr>
                <w:rFonts w:ascii="宋体" w:hAnsi="宋体" w:cs="宋体" w:eastAsia="宋体" w:hint="default"/>
                <w:spacing w:val="-3"/>
                <w:sz w:val="18"/>
                <w:szCs w:val="18"/>
              </w:rPr>
              <w:t>不转让本公司所持有的苏州恒久股份；离任</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7"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个月内通过证券交易所挂牌交易出售本公 司股票数量占本公司所持有苏州恒久股票总数的 比例不超过</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。苏州恒久上市后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个月内如苏州 恒久股票连续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个交易日的收盘价均低于以当日</w:t>
            </w:r>
          </w:p>
          <w:p>
            <w:pPr>
              <w:pStyle w:val="TableParagraph"/>
              <w:spacing w:line="314" w:lineRule="auto" w:before="7"/>
              <w:ind w:left="22" w:right="-23"/>
              <w:jc w:val="left"/>
              <w:rPr>
                <w:rFonts w:ascii="宋体" w:hAnsi="宋体" w:cs="宋体" w:eastAsia="宋体" w:hint="default"/>
                <w:sz w:val="18"/>
                <w:szCs w:val="18"/>
              </w:rPr>
            </w:pPr>
            <w:r>
              <w:rPr>
                <w:rFonts w:ascii="宋体" w:hAnsi="宋体" w:cs="宋体" w:eastAsia="宋体" w:hint="default"/>
                <w:spacing w:val="-3"/>
                <w:sz w:val="18"/>
                <w:szCs w:val="18"/>
              </w:rPr>
              <w:t>为基准经前复权计算的发行价，或者上市后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6"/>
                <w:sz w:val="18"/>
                <w:szCs w:val="18"/>
              </w:rPr>
              <w:t> </w:t>
            </w:r>
            <w:r>
              <w:rPr>
                <w:rFonts w:ascii="宋体" w:hAnsi="宋体" w:cs="宋体" w:eastAsia="宋体" w:hint="default"/>
                <w:sz w:val="18"/>
                <w:szCs w:val="18"/>
              </w:rPr>
              <w:t>期末收盘价低于以当日为基准经前复权计算的发 </w:t>
            </w:r>
            <w:r>
              <w:rPr>
                <w:rFonts w:ascii="宋体" w:hAnsi="宋体" w:cs="宋体" w:eastAsia="宋体" w:hint="default"/>
                <w:spacing w:val="-3"/>
                <w:sz w:val="18"/>
                <w:szCs w:val="18"/>
              </w:rPr>
              <w:t>行价，本人所持苏州恒久股票的锁定期限自动延长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个月。本公司所持苏州恒久股份的上述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 </w:t>
            </w:r>
            <w:r>
              <w:rPr>
                <w:rFonts w:ascii="宋体" w:hAnsi="宋体" w:cs="宋体" w:eastAsia="宋体" w:hint="default"/>
                <w:spacing w:val="-3"/>
                <w:sz w:val="18"/>
                <w:szCs w:val="18"/>
              </w:rPr>
              <w:t>锁定期届满后两年内，若确因自身经济需要，本公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司可通过深圳证券交易所减持本公司所持苏州恒 </w:t>
            </w:r>
            <w:r>
              <w:rPr>
                <w:rFonts w:ascii="宋体" w:hAnsi="宋体" w:cs="宋体" w:eastAsia="宋体" w:hint="default"/>
                <w:spacing w:val="-3"/>
                <w:sz w:val="18"/>
                <w:szCs w:val="18"/>
              </w:rPr>
              <w:t>久股份，本公司承诺按照相关法律法规及深圳证券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交易所规则要求进行减持，减持方式包括二级市场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集中竞价交易、大宗交易或其他深圳证券交易所认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可的合法方式；本公司所持苏州恒久股份上述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个月锁定期届满后两年内，本公司拟减持发行人股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份的，则每年转让的数量不超过本公司所持苏州恒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久股份数量的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；本公司减持股份的价格根据当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时的二级市场价格确定，且不低于以减持日为基准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经前复权计算的首次公开发行股票的发行价格，并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应符合相关法律法规及深圳证券交易所规则要求。 </w:t>
            </w:r>
            <w:r>
              <w:rPr>
                <w:rFonts w:ascii="宋体" w:hAnsi="宋体" w:cs="宋体" w:eastAsia="宋体" w:hint="default"/>
                <w:spacing w:val="-3"/>
                <w:sz w:val="18"/>
                <w:szCs w:val="18"/>
              </w:rPr>
              <w:t>在本公司拟转让所持苏州恒久股份时，本公司将在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7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3"/>
                <w:sz w:val="20"/>
                <w:szCs w:val="20"/>
              </w:rPr>
              <w:pict>
                <v:group style="width:73.2pt;height:186.2pt;mso-position-horizontal-relative:char;mso-position-vertical-relative:line" coordorigin="0,0" coordsize="1464,3724">
                  <v:group style="position:absolute;left:0;top:0;width:1464;height:3724" coordorigin="0,0" coordsize="1464,3724">
                    <v:shape style="position:absolute;left:0;top:0;width:1464;height:3724" coordorigin="0,0" coordsize="1464,3724" path="m0,3724l1464,3724,1464,0,0,0,0,3724xe" filled="true" fillcolor="#ffffff" stroked="false">
                      <v:path arrowok="t"/>
                      <v:fill type="solid"/>
                    </v:shape>
                  </v:group>
                </v:group>
              </w:pict>
            </w:r>
            <w:r>
              <w:rPr>
                <w:rFonts w:ascii="Times New Roman" w:hAnsi="Times New Roman" w:cs="Times New Roman" w:eastAsia="Times New Roman" w:hint="default"/>
                <w:position w:val="-73"/>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8"/>
      </w:tblGrid>
      <w:tr>
        <w:trPr>
          <w:trHeight w:val="3185"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减持前三个交易日通过苏州恒久公告减持意向。若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本公司未履行上述承诺，本公司法定代表人将在中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国证监会指定报刊上公开说明未履行的具体原因 </w:t>
            </w:r>
            <w:r>
              <w:rPr>
                <w:rFonts w:ascii="宋体" w:hAnsi="宋体" w:cs="宋体" w:eastAsia="宋体" w:hint="default"/>
                <w:spacing w:val="-3"/>
                <w:sz w:val="18"/>
                <w:szCs w:val="18"/>
              </w:rPr>
              <w:t>并向股东和社会公众投资者道歉；如果本公司因未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履行上述承诺事项而获得收入的，所得的收入归苏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州恒久所有，本公司将在获得收入的五日内将前述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收入支付给苏州恒久指定账户；如果因本公司未履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行上述承诺事项给苏州恒久或者其他投资者造成 </w:t>
            </w:r>
            <w:r>
              <w:rPr>
                <w:rFonts w:ascii="宋体" w:hAnsi="宋体" w:cs="宋体" w:eastAsia="宋体" w:hint="default"/>
                <w:spacing w:val="-3"/>
                <w:sz w:val="18"/>
                <w:szCs w:val="18"/>
              </w:rPr>
              <w:t>损失的，本公司将向苏州恒久或者其他投资者依法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承担赔偿责任。</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r>
      <w:tr>
        <w:trPr>
          <w:trHeight w:val="2274" w:hRule="exact"/>
        </w:trPr>
        <w:tc>
          <w:tcPr>
            <w:tcW w:w="1418" w:type="dxa"/>
            <w:vMerge/>
            <w:tcBorders>
              <w:left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在本人及本人的关联自然人在苏州恒久担任董事、 </w:t>
            </w:r>
            <w:r>
              <w:rPr>
                <w:rFonts w:ascii="宋体" w:hAnsi="宋体" w:cs="宋体" w:eastAsia="宋体" w:hint="default"/>
                <w:spacing w:val="-3"/>
                <w:sz w:val="18"/>
                <w:szCs w:val="18"/>
              </w:rPr>
              <w:t>监事、高级管理人员期间，每年转让的股份不超过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本人持有苏州恒久股份总数的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内，不转让本人所持有的苏州恒久股份；离职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p>
          <w:p>
            <w:pPr>
              <w:pStyle w:val="TableParagraph"/>
              <w:spacing w:line="309" w:lineRule="auto" w:before="3"/>
              <w:ind w:left="22" w:right="65"/>
              <w:jc w:val="left"/>
              <w:rPr>
                <w:rFonts w:ascii="宋体" w:hAnsi="宋体" w:cs="宋体" w:eastAsia="宋体" w:hint="default"/>
                <w:sz w:val="18"/>
                <w:szCs w:val="18"/>
              </w:rPr>
            </w:pPr>
            <w:r>
              <w:rPr>
                <w:rFonts w:ascii="宋体" w:hAnsi="宋体" w:cs="宋体" w:eastAsia="宋体" w:hint="default"/>
                <w:sz w:val="18"/>
                <w:szCs w:val="18"/>
              </w:rPr>
              <w:t>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个月内通过证券交易所挂牌交易出售苏 州恒久股票数量占本人所持有苏州恒久股票总数 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1962" w:hRule="exact"/>
        </w:trPr>
        <w:tc>
          <w:tcPr>
            <w:tcW w:w="1418" w:type="dxa"/>
            <w:vMerge/>
            <w:tcBorders>
              <w:left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在本人在苏州恒久任职期间，每年转让的股份不超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过本人持有苏州恒久股份总数的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月内，不转让本人所持有的苏州恒久股份；离职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p>
            <w:pPr>
              <w:pStyle w:val="TableParagraph"/>
              <w:spacing w:line="309" w:lineRule="auto" w:before="5"/>
              <w:ind w:left="22" w:right="65"/>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个月内通过证券交易所挂牌交易出售 苏州恒久股票数量占本人所持有苏州恒久股票总 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192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孙忠良</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本人所持苏州恒久股份的锁定期届满后两年内，本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人可因自身经济需要通过深圳证券交易所减持本 </w:t>
            </w:r>
            <w:r>
              <w:rPr>
                <w:rFonts w:ascii="宋体" w:hAnsi="宋体" w:cs="宋体" w:eastAsia="宋体" w:hint="default"/>
                <w:spacing w:val="-3"/>
                <w:sz w:val="18"/>
                <w:szCs w:val="18"/>
              </w:rPr>
              <w:t>人所持苏州恒久股份，本人承诺按照相关法律法规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及深圳证券交易所规则要求进行减持，减持方式包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括二级市场集中竞价交易、大宗交易或其他深圳证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券交易所认可的合法方式；本人减持股份的价格根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4"/>
        <w:rPr>
          <w:rFonts w:ascii="Times New Roman" w:hAnsi="Times New Roman" w:cs="Times New Roman" w:eastAsia="Times New Roman" w:hint="default"/>
          <w:sz w:val="3"/>
          <w:szCs w:val="3"/>
        </w:rPr>
      </w:pPr>
      <w:r>
        <w:rPr/>
        <w:pict>
          <v:shape style="position:absolute;margin-left:377.600006pt;margin-top:449.460022pt;width:259.4pt;height:84.8pt;mso-position-horizontal-relative:page;mso-position-vertical-relative:page;z-index:-832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9"/>
                    <w:ind w:left="0" w:right="0"/>
                    <w:jc w:val="left"/>
                  </w:pPr>
                  <w:r>
                    <w:rPr/>
                    <w:t>发行人最近一期报告期期末公告的每股净资产，</w:t>
                  </w:r>
                </w:p>
              </w:txbxContent>
            </v:textbox>
            <w10:wrap type="none"/>
          </v:shape>
        </w:pict>
      </w:r>
      <w:r>
        <w:rPr/>
        <w:pict>
          <v:group style="position:absolute;margin-left:563.799988pt;margin-top:449.460022pt;width:73.2pt;height:84.8pt;mso-position-horizontal-relative:page;mso-position-vertical-relative:page;z-index:-832696" coordorigin="11276,8989" coordsize="1464,1696">
            <v:shape style="position:absolute;left:11276;top:8989;width:1464;height:1696" coordorigin="11276,8989" coordsize="1464,1696" path="m11276,10685l12740,10685,12740,8989,11276,8989,11276,10685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6"/>
      </w:tblGrid>
      <w:tr>
        <w:trPr>
          <w:trHeight w:val="332"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vMerge w:val="restart"/>
            <w:tcBorders>
              <w:top w:val="single" w:sz="15" w:space="0" w:color="000000"/>
              <w:left w:val="single" w:sz="4" w:space="0" w:color="000000"/>
              <w:right w:val="single" w:sz="4" w:space="0" w:color="000000"/>
            </w:tcBorders>
          </w:tcPr>
          <w:p>
            <w:pPr/>
          </w:p>
        </w:tc>
        <w:tc>
          <w:tcPr>
            <w:tcW w:w="1247" w:type="dxa"/>
            <w:vMerge w:val="restart"/>
            <w:tcBorders>
              <w:top w:val="single" w:sz="15" w:space="0" w:color="000000"/>
              <w:left w:val="single" w:sz="4" w:space="0" w:color="000000"/>
              <w:right w:val="single" w:sz="4" w:space="0" w:color="000000"/>
            </w:tcBorders>
          </w:tcPr>
          <w:p>
            <w:pPr/>
          </w:p>
        </w:tc>
        <w:tc>
          <w:tcPr>
            <w:tcW w:w="397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据当时的二级市场价格确定，且不低于以减持日为</w:t>
            </w:r>
          </w:p>
        </w:tc>
        <w:tc>
          <w:tcPr>
            <w:tcW w:w="1474" w:type="dxa"/>
            <w:vMerge w:val="restart"/>
            <w:tcBorders>
              <w:top w:val="single" w:sz="15" w:space="0" w:color="000000"/>
              <w:left w:val="single" w:sz="4" w:space="0" w:color="000000"/>
              <w:right w:val="single" w:sz="4" w:space="0" w:color="000000"/>
            </w:tcBorders>
          </w:tcPr>
          <w:p>
            <w:pPr/>
          </w:p>
        </w:tc>
        <w:tc>
          <w:tcPr>
            <w:tcW w:w="1474" w:type="dxa"/>
            <w:vMerge w:val="restart"/>
            <w:tcBorders>
              <w:top w:val="single" w:sz="15" w:space="0" w:color="000000"/>
              <w:left w:val="single" w:sz="4" w:space="0" w:color="000000"/>
              <w:right w:val="single" w:sz="4" w:space="0" w:color="000000"/>
            </w:tcBorders>
          </w:tcPr>
          <w:p>
            <w:pPr/>
          </w:p>
        </w:tc>
        <w:tc>
          <w:tcPr>
            <w:tcW w:w="1386" w:type="dxa"/>
            <w:vMerge w:val="restart"/>
            <w:tcBorders>
              <w:top w:val="single" w:sz="15"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基准经前复权计算的首次公开发行股票的发行价</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格，并应符合相关法律法规及深圳证券交易所规则</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要求。若本人未履行上述承诺，本人将在中国证监</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会指定报刊上公开说明未履行的具体原因并向股</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东和社会公众投资者道歉；如果本人因未履行上述</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承诺事项而获得收入的，所得的收入归苏州恒久所</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有，本人将在获得收入的五日内将前述收入支付给</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苏州恒久指定账户；如果因本人未履行上述承诺事</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right w:val="single" w:sz="4" w:space="0" w:color="000000"/>
            </w:tcBorders>
          </w:tcPr>
          <w:p>
            <w:pPr/>
          </w:p>
        </w:tc>
        <w:tc>
          <w:tcPr>
            <w:tcW w:w="1247" w:type="dxa"/>
            <w:vMerge/>
            <w:tcBorders>
              <w:left w:val="single" w:sz="4" w:space="0" w:color="000000"/>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项给苏州恒久或者其他投资者造成损失的，本人将</w:t>
            </w:r>
          </w:p>
        </w:tc>
        <w:tc>
          <w:tcPr>
            <w:tcW w:w="1474" w:type="dxa"/>
            <w:vMerge/>
            <w:tcBorders>
              <w:left w:val="single" w:sz="4" w:space="0" w:color="000000"/>
              <w:right w:val="single" w:sz="4" w:space="0" w:color="000000"/>
            </w:tcBorders>
          </w:tcPr>
          <w:p>
            <w:pPr/>
          </w:p>
        </w:tc>
        <w:tc>
          <w:tcPr>
            <w:tcW w:w="147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bottom w:val="single" w:sz="4" w:space="0" w:color="000000"/>
              <w:right w:val="single" w:sz="4" w:space="0" w:color="000000"/>
            </w:tcBorders>
          </w:tcPr>
          <w:p>
            <w:pPr/>
          </w:p>
        </w:tc>
        <w:tc>
          <w:tcPr>
            <w:tcW w:w="1247" w:type="dxa"/>
            <w:vMerge/>
            <w:tcBorders>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向苏州恒久或者其他投资者依法承担赔偿责任。</w:t>
            </w:r>
          </w:p>
        </w:tc>
        <w:tc>
          <w:tcPr>
            <w:tcW w:w="1474"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358" w:hRule="exact"/>
        </w:trPr>
        <w:tc>
          <w:tcPr>
            <w:tcW w:w="1418" w:type="dxa"/>
            <w:vMerge/>
            <w:tcBorders>
              <w:left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nil" w:sz="6" w:space="0" w:color="auto"/>
              <w:right w:val="single" w:sz="4" w:space="0" w:color="000000"/>
            </w:tcBorders>
          </w:tcPr>
          <w:p>
            <w:pPr/>
          </w:p>
        </w:tc>
        <w:tc>
          <w:tcPr>
            <w:tcW w:w="1247"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在本人的关联自然人在苏州恒久担任董事、监事和</w:t>
            </w: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高级管理人员期间，每年转让的股份不超过本人持</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有苏州恒久股份总数的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；关联自然人离职后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孙忠良</w:t>
            </w:r>
            <w:r>
              <w:rPr>
                <w:rFonts w:ascii="Times New Roman" w:hAnsi="Times New Roman" w:cs="Times New Roman" w:eastAsia="Times New Roman" w:hint="default"/>
                <w:sz w:val="18"/>
                <w:szCs w:val="18"/>
              </w:rPr>
              <w:t>;</w:t>
            </w:r>
            <w:r>
              <w:rPr>
                <w:rFonts w:ascii="宋体" w:hAnsi="宋体" w:cs="宋体" w:eastAsia="宋体" w:hint="default"/>
                <w:sz w:val="18"/>
                <w:szCs w:val="18"/>
              </w:rPr>
              <w:t>闫挺</w:t>
            </w: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个月内，不转让本人所持有的苏州恒久股份；关联</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自然人离职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挂牌交易出售苏州恒久股票数量占本人所持有苏</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single" w:sz="4" w:space="0" w:color="000000"/>
              <w:right w:val="single" w:sz="4" w:space="0" w:color="000000"/>
            </w:tcBorders>
          </w:tcPr>
          <w:p>
            <w:pPr/>
          </w:p>
        </w:tc>
        <w:tc>
          <w:tcPr>
            <w:tcW w:w="1247"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州恒久股票总数的比例不超过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18" w:type="dxa"/>
            <w:vMerge/>
            <w:tcBorders>
              <w:left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nil" w:sz="6" w:space="0" w:color="auto"/>
              <w:right w:val="single" w:sz="4" w:space="0" w:color="000000"/>
            </w:tcBorders>
          </w:tcPr>
          <w:p>
            <w:pPr/>
          </w:p>
        </w:tc>
        <w:tc>
          <w:tcPr>
            <w:tcW w:w="1247" w:type="dxa"/>
            <w:tcBorders>
              <w:top w:val="single" w:sz="4" w:space="0" w:color="000000"/>
              <w:left w:val="single" w:sz="4" w:space="0" w:color="000000"/>
              <w:bottom w:val="nil" w:sz="6" w:space="0" w:color="auto"/>
              <w:right w:val="single" w:sz="4" w:space="0" w:color="000000"/>
            </w:tcBorders>
          </w:tcPr>
          <w:p>
            <w:pPr/>
          </w:p>
        </w:tc>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本公司所持苏州恒久股份的上述锁定期届满后两</w:t>
            </w: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年内，本公司可因自身的经济或投资需要，通过深</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圳证券交易所减持本公司所持苏州恒久股份，本公</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司承诺将按照相关法律法规及深圳证券交易所规</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则要求进行减持，减持方式包括二级市场集中竞价</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江苏省苏高新风险投资股份有限公司</w:t>
            </w:r>
          </w:p>
        </w:tc>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交易、大宗交易、协议转让或其他深圳证券交易所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认可的合法方式；本公司减持股份的价格根据当时</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的二级市场价格确定，且不低于减持日当日已公告</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倍（当日已公告每股净资产为：</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tcPr>
          <w:p>
            <w:pPr/>
          </w:p>
        </w:tc>
        <w:tc>
          <w:tcPr>
            <w:tcW w:w="1247" w:type="dxa"/>
            <w:tcBorders>
              <w:top w:val="nil" w:sz="6" w:space="0" w:color="auto"/>
              <w:left w:val="single" w:sz="4" w:space="0" w:color="000000"/>
              <w:bottom w:val="nil" w:sz="6" w:space="0" w:color="auto"/>
              <w:right w:val="single" w:sz="4" w:space="0" w:color="000000"/>
            </w:tcBorders>
          </w:tcPr>
          <w:p>
            <w:pPr/>
          </w:p>
        </w:tc>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w:t>
            </w: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single" w:sz="4" w:space="0" w:color="000000"/>
              <w:right w:val="single" w:sz="4" w:space="0" w:color="000000"/>
            </w:tcBorders>
          </w:tcPr>
          <w:p>
            <w:pPr/>
          </w:p>
        </w:tc>
        <w:tc>
          <w:tcPr>
            <w:tcW w:w="1247" w:type="dxa"/>
            <w:tcBorders>
              <w:top w:val="nil" w:sz="6" w:space="0" w:color="auto"/>
              <w:left w:val="single" w:sz="4" w:space="0" w:color="000000"/>
              <w:bottom w:val="single" w:sz="4" w:space="0" w:color="000000"/>
              <w:right w:val="single" w:sz="4" w:space="0" w:color="000000"/>
            </w:tcBorders>
          </w:tcPr>
          <w:p>
            <w:pPr/>
          </w:p>
        </w:tc>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下一报告期期末财务数据公告前期间因分红、配</w:t>
            </w: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00" w:left="1120" w:right="112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6"/>
      </w:tblGrid>
      <w:tr>
        <w:trPr>
          <w:trHeight w:val="4434"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股、转增等情况导致发行人股份或权益发生变化 </w:t>
            </w:r>
            <w:r>
              <w:rPr>
                <w:rFonts w:ascii="宋体" w:hAnsi="宋体" w:cs="宋体" w:eastAsia="宋体" w:hint="default"/>
                <w:spacing w:val="-5"/>
                <w:sz w:val="18"/>
                <w:szCs w:val="18"/>
              </w:rPr>
              <w:t>时，则为经调整后的每股净资产），并应符合相关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法律法规及深圳证券交易所规则要求。在本公司拟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转让所持苏州恒久股份时，本公司将在减持前三个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交易日通过苏州恒久公告减持意向，本公司持有的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苏州恒久股份低于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时除外。若本公司未履行上 </w:t>
            </w:r>
            <w:r>
              <w:rPr>
                <w:rFonts w:ascii="宋体" w:hAnsi="宋体" w:cs="宋体" w:eastAsia="宋体" w:hint="default"/>
                <w:spacing w:val="-3"/>
                <w:sz w:val="18"/>
                <w:szCs w:val="18"/>
              </w:rPr>
              <w:t>述承诺，本公司法定代表人将在中国证监会指定报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刊上公开说明未履行的具体原因并向股东和社会 </w:t>
            </w:r>
            <w:r>
              <w:rPr>
                <w:rFonts w:ascii="宋体" w:hAnsi="宋体" w:cs="宋体" w:eastAsia="宋体" w:hint="default"/>
                <w:spacing w:val="-3"/>
                <w:sz w:val="18"/>
                <w:szCs w:val="18"/>
              </w:rPr>
              <w:t>公众投资者道歉；如果本公司因未履行上述承诺事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项而获得收入的，所得的收入归苏州恒久所有，本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公司将在获得收入的五日内将前述收入支付给苏 </w:t>
            </w:r>
            <w:r>
              <w:rPr>
                <w:rFonts w:ascii="宋体" w:hAnsi="宋体" w:cs="宋体" w:eastAsia="宋体" w:hint="default"/>
                <w:spacing w:val="-3"/>
                <w:sz w:val="18"/>
                <w:szCs w:val="18"/>
              </w:rPr>
              <w:t>州恒久指定账户；如果因本公司未履行上述承诺事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项给苏州恒久或者其他投资者造成损失的，本公司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将向苏州恒久或者其他投资者依法承担赔偿责任。</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r>
      <w:tr>
        <w:trPr>
          <w:trHeight w:val="504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5"/>
              <w:ind w:left="22" w:right="26"/>
              <w:jc w:val="left"/>
              <w:rPr>
                <w:rFonts w:ascii="宋体" w:hAnsi="宋体" w:cs="宋体" w:eastAsia="宋体" w:hint="default"/>
                <w:sz w:val="18"/>
                <w:szCs w:val="18"/>
              </w:rPr>
            </w:pPr>
            <w:r>
              <w:rPr>
                <w:rFonts w:ascii="宋体" w:hAnsi="宋体" w:cs="宋体" w:eastAsia="宋体" w:hint="default"/>
                <w:sz w:val="18"/>
                <w:szCs w:val="18"/>
              </w:rPr>
              <w:t>江苏省苏高新风险投资股份有限公司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兰山 英</w:t>
            </w:r>
            <w:r>
              <w:rPr>
                <w:rFonts w:ascii="Times New Roman" w:hAnsi="Times New Roman" w:cs="Times New Roman" w:eastAsia="Times New Roman" w:hint="default"/>
                <w:sz w:val="18"/>
                <w:szCs w:val="18"/>
              </w:rPr>
              <w:t>;</w:t>
            </w:r>
            <w:r>
              <w:rPr>
                <w:rFonts w:ascii="宋体" w:hAnsi="宋体" w:cs="宋体" w:eastAsia="宋体" w:hint="default"/>
                <w:sz w:val="18"/>
                <w:szCs w:val="18"/>
              </w:rPr>
              <w:t>苏州恒久荣盛科技投资有限公司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p>
        </w:tc>
        <w:tc>
          <w:tcPr>
            <w:tcW w:w="124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10"/>
                <w:sz w:val="18"/>
                <w:szCs w:val="18"/>
              </w:rPr>
              <w:t>关联交易、资金</w:t>
            </w:r>
            <w:r>
              <w:rPr>
                <w:rFonts w:ascii="宋体" w:hAnsi="宋体" w:cs="宋体" w:eastAsia="宋体" w:hint="default"/>
                <w:sz w:val="18"/>
                <w:szCs w:val="18"/>
              </w:rPr>
              <w:t> 占用方面的承</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970" w:type="dxa"/>
            <w:tcBorders>
              <w:top w:val="single" w:sz="4" w:space="0" w:color="000000"/>
              <w:left w:val="single" w:sz="9" w:space="0" w:color="FFFFFF"/>
              <w:bottom w:val="single" w:sz="4" w:space="0" w:color="000000"/>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pacing w:val="-3"/>
                <w:sz w:val="18"/>
                <w:szCs w:val="18"/>
              </w:rPr>
              <w:t>为避免同业竞争，维护发行人及其他中小股东的利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益，承诺：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）自本承诺书出具日始，承诺人将 </w:t>
            </w:r>
            <w:r>
              <w:rPr>
                <w:rFonts w:ascii="宋体" w:hAnsi="宋体" w:cs="宋体" w:eastAsia="宋体" w:hint="default"/>
                <w:spacing w:val="-3"/>
                <w:sz w:val="18"/>
                <w:szCs w:val="18"/>
              </w:rPr>
              <w:t>采取合法及有效的措施，促使承诺人及承诺人拥有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控制权的其他公司、企业及其他经济组织（今后若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有）不从事或参与与股份公司相同或类似的生产、 </w:t>
            </w:r>
            <w:r>
              <w:rPr>
                <w:rFonts w:ascii="宋体" w:hAnsi="宋体" w:cs="宋体" w:eastAsia="宋体" w:hint="default"/>
                <w:spacing w:val="-3"/>
                <w:sz w:val="18"/>
                <w:szCs w:val="18"/>
              </w:rPr>
              <w:t>经营业务，以避免对股份公司的生产经营构成可能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的直接或间接的业务竞争。（</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）如承诺人及上述关</w:t>
            </w:r>
            <w:r>
              <w:rPr>
                <w:rFonts w:ascii="宋体" w:hAnsi="宋体" w:cs="宋体" w:eastAsia="宋体" w:hint="default"/>
                <w:sz w:val="18"/>
                <w:szCs w:val="18"/>
              </w:rPr>
              <w:t> </w:t>
            </w:r>
            <w:r>
              <w:rPr>
                <w:rFonts w:ascii="宋体" w:hAnsi="宋体" w:cs="宋体" w:eastAsia="宋体" w:hint="default"/>
                <w:spacing w:val="-3"/>
                <w:sz w:val="18"/>
                <w:szCs w:val="18"/>
              </w:rPr>
              <w:t>联方现有业务与股份公司存在同业竞争，则承诺人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将在股份公司提出异议后及时转让或终止上述业 </w:t>
            </w:r>
            <w:r>
              <w:rPr>
                <w:rFonts w:ascii="宋体" w:hAnsi="宋体" w:cs="宋体" w:eastAsia="宋体" w:hint="default"/>
                <w:spacing w:val="-6"/>
                <w:sz w:val="18"/>
                <w:szCs w:val="18"/>
              </w:rPr>
              <w:t>务。（</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）承诺人如从事新的有可能涉及与股份公司</w:t>
            </w:r>
            <w:r>
              <w:rPr>
                <w:rFonts w:ascii="宋体" w:hAnsi="宋体" w:cs="宋体" w:eastAsia="宋体" w:hint="default"/>
                <w:sz w:val="18"/>
                <w:szCs w:val="18"/>
              </w:rPr>
              <w:t> </w:t>
            </w:r>
            <w:r>
              <w:rPr>
                <w:rFonts w:ascii="宋体" w:hAnsi="宋体" w:cs="宋体" w:eastAsia="宋体" w:hint="default"/>
                <w:spacing w:val="-3"/>
                <w:sz w:val="18"/>
                <w:szCs w:val="18"/>
              </w:rPr>
              <w:t>相同或相似的业务，则有义务就该新业务通知股份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公司。如该新业务可能构成与股份公司的同业竞 </w:t>
            </w:r>
            <w:r>
              <w:rPr>
                <w:rFonts w:ascii="宋体" w:hAnsi="宋体" w:cs="宋体" w:eastAsia="宋体" w:hint="default"/>
                <w:spacing w:val="-3"/>
                <w:sz w:val="18"/>
                <w:szCs w:val="18"/>
              </w:rPr>
              <w:t>争，在股份公司提出异议后，承诺人同意终止该业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务。（</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）承诺人将不利用对股份公司的控股关系进</w:t>
            </w:r>
            <w:r>
              <w:rPr>
                <w:rFonts w:ascii="宋体" w:hAnsi="宋体" w:cs="宋体" w:eastAsia="宋体" w:hint="default"/>
                <w:sz w:val="18"/>
                <w:szCs w:val="18"/>
              </w:rPr>
              <w:t> 行任何损害股份公司及股份公司其他股东利益的 </w:t>
            </w:r>
            <w:r>
              <w:rPr>
                <w:rFonts w:ascii="宋体" w:hAnsi="宋体" w:cs="宋体" w:eastAsia="宋体" w:hint="default"/>
                <w:spacing w:val="-6"/>
                <w:sz w:val="18"/>
                <w:szCs w:val="18"/>
              </w:rPr>
              <w:t>经营活动。（</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）承诺人确认本承诺书旨在保障股份</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8"/>
      </w:tblGrid>
      <w:tr>
        <w:trPr>
          <w:trHeight w:val="2873"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pacing w:val="-4"/>
                <w:sz w:val="18"/>
                <w:szCs w:val="18"/>
              </w:rPr>
              <w:t>公司及股份公司全体股东之合法权益而作出。（</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宋体" w:hAnsi="宋体" w:cs="宋体" w:eastAsia="宋体" w:hint="default"/>
                <w:sz w:val="18"/>
                <w:szCs w:val="18"/>
              </w:rPr>
              <w:t> 承诺人确认本承诺书所载的每一项承诺均为可独 </w:t>
            </w:r>
            <w:r>
              <w:rPr>
                <w:rFonts w:ascii="宋体" w:hAnsi="宋体" w:cs="宋体" w:eastAsia="宋体" w:hint="default"/>
                <w:spacing w:val="-3"/>
                <w:sz w:val="18"/>
                <w:szCs w:val="18"/>
              </w:rPr>
              <w:t>立执行之承诺。任何一项承诺若被视为无效或终止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将不影响其他各项承诺的有效性。（</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）承诺人愿意</w:t>
            </w:r>
            <w:r>
              <w:rPr>
                <w:rFonts w:ascii="宋体" w:hAnsi="宋体" w:cs="宋体" w:eastAsia="宋体" w:hint="default"/>
                <w:sz w:val="18"/>
                <w:szCs w:val="18"/>
              </w:rPr>
              <w:t> </w:t>
            </w:r>
            <w:r>
              <w:rPr>
                <w:rFonts w:ascii="宋体" w:hAnsi="宋体" w:cs="宋体" w:eastAsia="宋体" w:hint="default"/>
                <w:spacing w:val="-3"/>
                <w:sz w:val="18"/>
                <w:szCs w:val="18"/>
              </w:rPr>
              <w:t>承担由于违反上述承诺给股份公司造成的直接、间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接的经济损失、索赔责任及额外的费用支出。（</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w:t>
            </w:r>
            <w:r>
              <w:rPr>
                <w:rFonts w:ascii="宋体" w:hAnsi="宋体" w:cs="宋体" w:eastAsia="宋体" w:hint="default"/>
                <w:sz w:val="18"/>
                <w:szCs w:val="18"/>
              </w:rPr>
              <w:t> 在股份公司认定是否与承诺人存在同业竞争的董 事会或股东大会上，承诺人承诺将按规定进行回 避，不参与表决。</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r>
      <w:tr>
        <w:trPr>
          <w:trHeight w:val="3834" w:hRule="exact"/>
        </w:trPr>
        <w:tc>
          <w:tcPr>
            <w:tcW w:w="1418" w:type="dxa"/>
            <w:vMerge/>
            <w:tcBorders>
              <w:left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2"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公司股票自挂牌上市之日起三年内，一旦出现连续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个交易日公司股票收盘价均低于公司当日已公 告每股净资产（当日已公告每股净资产为：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、发 </w:t>
            </w:r>
            <w:r>
              <w:rPr>
                <w:rFonts w:ascii="宋体" w:hAnsi="宋体" w:cs="宋体" w:eastAsia="宋体" w:hint="default"/>
                <w:spacing w:val="-3"/>
                <w:sz w:val="18"/>
                <w:szCs w:val="18"/>
              </w:rPr>
              <w:t>行人最近一期报告期期末公告的每股净资产，或者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、如最近一期报告期期末财务数据公告后至下一 </w:t>
            </w:r>
            <w:r>
              <w:rPr>
                <w:rFonts w:ascii="宋体" w:hAnsi="宋体" w:cs="宋体" w:eastAsia="宋体" w:hint="default"/>
                <w:spacing w:val="-3"/>
                <w:sz w:val="18"/>
                <w:szCs w:val="18"/>
              </w:rPr>
              <w:t>报告期期末财务数据公告前期间因分红、配股、转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增等情况导致发行人股份或权益发生变化时，则为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经调整后的每股净资产）情形时，则触发发行人回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购股份稳定股价的义务。本人承诺就公司稳定股价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方案以本人的董事身份（如有）在董事会上投赞成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票，并以所拥有的全部表决票数在股东大会上投赞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成票。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285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59"/>
              <w:jc w:val="left"/>
              <w:rPr>
                <w:rFonts w:ascii="宋体" w:hAnsi="宋体" w:cs="宋体" w:eastAsia="宋体" w:hint="default"/>
                <w:sz w:val="18"/>
                <w:szCs w:val="18"/>
              </w:rPr>
            </w:pPr>
            <w:r>
              <w:rPr>
                <w:rFonts w:ascii="宋体" w:hAnsi="宋体" w:cs="宋体" w:eastAsia="宋体" w:hint="default"/>
                <w:sz w:val="18"/>
                <w:szCs w:val="18"/>
              </w:rPr>
              <w:t>陈小华</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施建豪</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 兴</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公司股票自挂牌上市之日起三年内，一旦出现连续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个交易日公司股票收盘价均低于当日已公告每 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 最近一期报告期期末公告的每股净资产，或者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如最近一期报告期期末财务数据公告后至下一报 </w:t>
            </w:r>
            <w:r>
              <w:rPr>
                <w:rFonts w:ascii="宋体" w:hAnsi="宋体" w:cs="宋体" w:eastAsia="宋体" w:hint="default"/>
                <w:spacing w:val="-3"/>
                <w:sz w:val="18"/>
                <w:szCs w:val="18"/>
              </w:rPr>
              <w:t>告期期末财务数据公告前期间因分红、配股、转增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等情况导致发行人股份或权益发生变化时，则为经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调整后的每股净资产）情形时，则触发发行人回购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股份稳定股价的义务。本人承诺就公司稳定股价方</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120" w:right="1120"/>
        </w:sectPr>
      </w:pPr>
    </w:p>
    <w:p>
      <w:pPr>
        <w:spacing w:line="240" w:lineRule="auto" w:before="11"/>
        <w:rPr>
          <w:rFonts w:ascii="Times New Roman" w:hAnsi="Times New Roman" w:cs="Times New Roman" w:eastAsia="Times New Roman" w:hint="default"/>
          <w:sz w:val="4"/>
          <w:szCs w:val="4"/>
        </w:rPr>
      </w:pPr>
      <w:r>
        <w:rPr/>
        <w:pict>
          <v:shape style="position:absolute;margin-left:476.600006pt;margin-top:57.180008pt;width:160.4pt;height:376.5pt;mso-position-horizontal-relative:page;mso-position-vertical-relative:page;z-index:-832648" type="#_x0000_t202" filled="false" stroked="false">
            <v:textbox inset="0,0,0,0">
              <w:txbxContent>
                <w:p>
                  <w:pPr>
                    <w:pStyle w:val="BodyText"/>
                    <w:spacing w:line="240" w:lineRule="auto" w:before="10"/>
                    <w:ind w:left="0" w:right="0"/>
                    <w:jc w:val="left"/>
                  </w:pPr>
                  <w:r>
                    <w:rPr/>
                    <w:t>在董事会上投赞成票，</w:t>
                  </w:r>
                </w:p>
              </w:txbxContent>
            </v:textbox>
            <w10:wrap type="none"/>
          </v:shape>
        </w:pict>
      </w: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8"/>
      </w:tblGrid>
      <w:tr>
        <w:trPr>
          <w:trHeight w:val="7554"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pacing w:val="-6"/>
                <w:sz w:val="18"/>
                <w:szCs w:val="18"/>
              </w:rPr>
              <w:t>案以本人的董事身份（如有）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并以所拥有的全部表决票数在股东大会上投赞成 </w:t>
            </w:r>
            <w:r>
              <w:rPr>
                <w:rFonts w:ascii="宋体" w:hAnsi="宋体" w:cs="宋体" w:eastAsia="宋体" w:hint="default"/>
                <w:spacing w:val="-3"/>
                <w:sz w:val="18"/>
                <w:szCs w:val="18"/>
              </w:rPr>
              <w:t>票。就本人回购公司股份的相应措施，本人承诺如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下：（</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）公司控股股东、实际控制人增持公司股份</w:t>
            </w:r>
            <w:r>
              <w:rPr>
                <w:rFonts w:ascii="宋体" w:hAnsi="宋体" w:cs="宋体" w:eastAsia="宋体" w:hint="default"/>
                <w:sz w:val="18"/>
                <w:szCs w:val="18"/>
              </w:rPr>
              <w:t> 方案实施期限届满之日后的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个交易日公司股 </w:t>
            </w:r>
            <w:r>
              <w:rPr>
                <w:rFonts w:ascii="宋体" w:hAnsi="宋体" w:cs="宋体" w:eastAsia="宋体" w:hint="default"/>
                <w:spacing w:val="-8"/>
                <w:sz w:val="18"/>
                <w:szCs w:val="18"/>
              </w:rPr>
              <w:t>票价格均低于公司当日已公告每股净资产；（</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w:t>
            </w:r>
            <w:r>
              <w:rPr>
                <w:rFonts w:ascii="宋体" w:hAnsi="宋体" w:cs="宋体" w:eastAsia="宋体" w:hint="default"/>
                <w:spacing w:val="-68"/>
                <w:sz w:val="18"/>
                <w:szCs w:val="18"/>
              </w:rPr>
              <w:t> </w:t>
            </w:r>
            <w:r>
              <w:rPr>
                <w:rFonts w:ascii="宋体" w:hAnsi="宋体" w:cs="宋体" w:eastAsia="宋体" w:hint="default"/>
                <w:spacing w:val="-3"/>
                <w:sz w:val="18"/>
                <w:szCs w:val="18"/>
              </w:rPr>
              <w:t>司控股股东、实际控制人增持股份方案实施完毕之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日起的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个月内启动条件再次被触发。如因相关 </w:t>
            </w:r>
            <w:r>
              <w:rPr>
                <w:rFonts w:ascii="宋体" w:hAnsi="宋体" w:cs="宋体" w:eastAsia="宋体" w:hint="default"/>
                <w:spacing w:val="-3"/>
                <w:sz w:val="18"/>
                <w:szCs w:val="18"/>
              </w:rPr>
              <w:t>法律法规、政策变化、自然灾害及其他不可抗力等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无法控制的客观原因导致承诺未能履行、确已无法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履行或无法按期履行上述承诺的，相关董事和高级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管理人员将采取以下措施：通过公司及时、充分披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露承诺未能履行、无法履行或无法按期履行的具体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原因；向公司及其投资者提出补充承诺或替代承 诺，以尽可能保护公司及其投资者的权益。 非因 </w:t>
            </w:r>
            <w:r>
              <w:rPr>
                <w:rFonts w:ascii="宋体" w:hAnsi="宋体" w:cs="宋体" w:eastAsia="宋体" w:hint="default"/>
                <w:spacing w:val="-3"/>
                <w:sz w:val="18"/>
                <w:szCs w:val="18"/>
              </w:rPr>
              <w:t>相关法律法规、政策变化、自然灾害及其他不可抗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力等原因，相关董事和高级管理人员未履行上述承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诺，将在发行人股东大会及中国证监会指定报刊上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公开说明未履行的具体原因并向发行人股东和社 会公众投资者道歉；并将在前述事项发生之日起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个工作日内停止在发行人处领取薪酬及股东分红</w:t>
            </w:r>
          </w:p>
          <w:p>
            <w:pPr>
              <w:pStyle w:val="TableParagraph"/>
              <w:spacing w:line="319" w:lineRule="auto" w:before="20"/>
              <w:ind w:left="22" w:right="22"/>
              <w:jc w:val="both"/>
              <w:rPr>
                <w:rFonts w:ascii="宋体" w:hAnsi="宋体" w:cs="宋体" w:eastAsia="宋体" w:hint="default"/>
                <w:sz w:val="18"/>
                <w:szCs w:val="18"/>
              </w:rPr>
            </w:pPr>
            <w:r>
              <w:rPr>
                <w:rFonts w:ascii="宋体" w:hAnsi="宋体" w:cs="宋体" w:eastAsia="宋体" w:hint="default"/>
                <w:spacing w:val="-5"/>
                <w:sz w:val="18"/>
                <w:szCs w:val="18"/>
              </w:rPr>
              <w:t>（如有），同时相关董事和高级管理人员持有的发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行人股份不得转让，直至采取相应的股价稳定措施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并实施完毕时为止。</w:t>
            </w:r>
          </w:p>
        </w:tc>
        <w:tc>
          <w:tcPr>
            <w:tcW w:w="1474" w:type="dxa"/>
            <w:tcBorders>
              <w:top w:val="single" w:sz="15" w:space="0" w:color="000000"/>
              <w:left w:val="single" w:sz="4" w:space="0" w:color="000000"/>
              <w:bottom w:val="single" w:sz="4" w:space="0" w:color="000000"/>
              <w:right w:val="single" w:sz="4" w:space="0" w:color="000000"/>
            </w:tcBorders>
          </w:tcPr>
          <w:p>
            <w:pPr>
              <w:pStyle w:val="TableParagraph"/>
              <w:spacing w:line="75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73.2pt;height:376.5pt;mso-position-horizontal-relative:char;mso-position-vertical-relative:line" coordorigin="0,0" coordsize="1464,7530">
                  <v:group style="position:absolute;left:0;top:0;width:1464;height:7530" coordorigin="0,0" coordsize="1464,7530">
                    <v:shape style="position:absolute;left:0;top:0;width:1464;height:7530" coordorigin="0,0" coordsize="1464,7530" path="m0,7530l1464,7530,1464,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474"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r>
      <w:tr>
        <w:trPr>
          <w:trHeight w:val="192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2" w:lineRule="auto"/>
              <w:ind w:left="22"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pacing w:val="-3"/>
                <w:sz w:val="18"/>
                <w:szCs w:val="18"/>
              </w:rPr>
              <w:t>本公司股票自挂牌上市之日起三年内，一旦出现连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个交易日公司股票收盘价均低于公司当日已 公告每股净资产（当日已公告每股净资产为：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3"/>
                <w:sz w:val="18"/>
                <w:szCs w:val="18"/>
              </w:rPr>
              <w:t>发行人最近一期报告期期末公告的每股净资产，或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、如最近一期报告期期末财务数据公告后至下 一报告期期末财务数据公告前期间因分红、配股、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8"/>
      </w:tblGrid>
      <w:tr>
        <w:trPr>
          <w:trHeight w:val="5994"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转增等情况导致发行人股份或权益发生变化时，则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为经调整后的每股净资产）情形时，本公司将根据</w:t>
            </w:r>
          </w:p>
          <w:p>
            <w:pPr>
              <w:pStyle w:val="TableParagraph"/>
              <w:spacing w:line="316" w:lineRule="auto" w:before="17"/>
              <w:ind w:left="22" w:right="-23"/>
              <w:jc w:val="left"/>
              <w:rPr>
                <w:rFonts w:ascii="宋体" w:hAnsi="宋体" w:cs="宋体" w:eastAsia="宋体" w:hint="default"/>
                <w:sz w:val="18"/>
                <w:szCs w:val="18"/>
              </w:rPr>
            </w:pPr>
            <w:r>
              <w:rPr>
                <w:rFonts w:ascii="宋体" w:hAnsi="宋体" w:cs="宋体" w:eastAsia="宋体" w:hint="default"/>
                <w:spacing w:val="-3"/>
                <w:sz w:val="18"/>
                <w:szCs w:val="18"/>
              </w:rPr>
              <w:t>《上市公司回购社会公众股份管理办法》的规定向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社会公众股东回购公司部分股票，以稳定公司股 </w:t>
            </w:r>
            <w:r>
              <w:rPr>
                <w:rFonts w:ascii="宋体" w:hAnsi="宋体" w:cs="宋体" w:eastAsia="宋体" w:hint="default"/>
                <w:spacing w:val="-3"/>
                <w:sz w:val="18"/>
                <w:szCs w:val="18"/>
              </w:rPr>
              <w:t>价。如因相关法律法规、政策变化、自然灾害及其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他不可抗力等本公司无法控制的客观原因导致本 </w:t>
            </w:r>
            <w:r>
              <w:rPr>
                <w:rFonts w:ascii="宋体" w:hAnsi="宋体" w:cs="宋体" w:eastAsia="宋体" w:hint="default"/>
                <w:spacing w:val="-3"/>
                <w:sz w:val="18"/>
                <w:szCs w:val="18"/>
              </w:rPr>
              <w:t>公司承诺未能履行、确已无法履行或无法按期履行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上述承诺的，本公司将及时、充分披露本公司承诺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未能履行、无法履行或无法按期履行的具体原因， </w:t>
            </w:r>
            <w:r>
              <w:rPr>
                <w:rFonts w:ascii="宋体" w:hAnsi="宋体" w:cs="宋体" w:eastAsia="宋体" w:hint="default"/>
                <w:spacing w:val="-3"/>
                <w:sz w:val="18"/>
                <w:szCs w:val="18"/>
              </w:rPr>
              <w:t>并向其投资者提出补充承诺或替代承诺，以尽可能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保护投资者的权益。 若非因相关法律法规、政策 </w:t>
            </w:r>
            <w:r>
              <w:rPr>
                <w:rFonts w:ascii="宋体" w:hAnsi="宋体" w:cs="宋体" w:eastAsia="宋体" w:hint="default"/>
                <w:spacing w:val="-3"/>
                <w:sz w:val="18"/>
                <w:szCs w:val="18"/>
              </w:rPr>
              <w:t>变化、自然灾害及其他不可抗力等原因，本公司未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遵守上述承诺的，本公司将在股东大会及中国证监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会指定报刊上公开说明未履行的具体原因并向股 </w:t>
            </w:r>
            <w:r>
              <w:rPr>
                <w:rFonts w:ascii="宋体" w:hAnsi="宋体" w:cs="宋体" w:eastAsia="宋体" w:hint="default"/>
                <w:spacing w:val="-3"/>
                <w:sz w:val="18"/>
                <w:szCs w:val="18"/>
              </w:rPr>
              <w:t>东和社会公众投资者道歉，并将以单次不超过上一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会计年度经审计的归属于母公司的可分配利润的 </w:t>
            </w:r>
            <w:r>
              <w:rPr>
                <w:rFonts w:ascii="Times New Roman" w:hAnsi="Times New Roman" w:cs="Times New Roman" w:eastAsia="Times New Roman" w:hint="default"/>
                <w:sz w:val="18"/>
                <w:szCs w:val="18"/>
              </w:rPr>
              <w:t>20%</w:t>
            </w:r>
            <w:r>
              <w:rPr>
                <w:rFonts w:ascii="宋体" w:hAnsi="宋体" w:cs="宋体" w:eastAsia="宋体" w:hint="default"/>
                <w:sz w:val="18"/>
                <w:szCs w:val="18"/>
              </w:rPr>
              <w:t>、单一会计年度合计不超过上一会计年度经审 计的归属于母公司的可分配利润的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的标准向 全体股东实施现金分红。</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r>
      <w:tr>
        <w:trPr>
          <w:trHeight w:val="348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2" w:lineRule="auto"/>
              <w:ind w:left="22"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公司股票自挂牌上市之日起三年内，一旦出现连续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个交易日公司股票收盘价均低于公司当日已公 告每股净资产（当日已公告每股净资产为：</w:t>
            </w:r>
            <w:r>
              <w:rPr>
                <w:rFonts w:ascii="Times New Roman" w:hAnsi="Times New Roman" w:cs="Times New Roman" w:eastAsia="Times New Roman" w:hint="default"/>
                <w:sz w:val="18"/>
                <w:szCs w:val="18"/>
              </w:rPr>
              <w:t>1</w:t>
            </w:r>
            <w:r>
              <w:rPr>
                <w:rFonts w:ascii="宋体" w:hAnsi="宋体" w:cs="宋体" w:eastAsia="宋体" w:hint="default"/>
                <w:sz w:val="18"/>
                <w:szCs w:val="18"/>
              </w:rPr>
              <w:t>、发 </w:t>
            </w:r>
            <w:r>
              <w:rPr>
                <w:rFonts w:ascii="宋体" w:hAnsi="宋体" w:cs="宋体" w:eastAsia="宋体" w:hint="default"/>
                <w:spacing w:val="-3"/>
                <w:sz w:val="18"/>
                <w:szCs w:val="18"/>
              </w:rPr>
              <w:t>行人最近一期报告期期末公告的每股净资产，或者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、如最近一期报告期期末财务数据公告后至下一 </w:t>
            </w:r>
            <w:r>
              <w:rPr>
                <w:rFonts w:ascii="宋体" w:hAnsi="宋体" w:cs="宋体" w:eastAsia="宋体" w:hint="default"/>
                <w:spacing w:val="-3"/>
                <w:sz w:val="18"/>
                <w:szCs w:val="18"/>
              </w:rPr>
              <w:t>报告期期末财务数据公告前期间因分红、配股、转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增等情况导致发行人股份或权益发生变化时，则为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经调整后的每股净资产）情形时，则触发发行人回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购股份稳定股价的义务。本人承诺就公司稳定股价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方案以本人的董事身份（如有）在董事会上投赞成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票，并以所拥有的全部表决票数在股东大会上投赞</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11"/>
        <w:rPr>
          <w:rFonts w:ascii="Times New Roman" w:hAnsi="Times New Roman" w:cs="Times New Roman" w:eastAsia="Times New Roman" w:hint="default"/>
          <w:sz w:val="4"/>
          <w:szCs w:val="4"/>
        </w:rPr>
      </w:pPr>
      <w:r>
        <w:rPr/>
        <w:pict>
          <v:shape style="position:absolute;margin-left:521.600037pt;margin-top:57.180008pt;width:115.4pt;height:329.7pt;mso-position-horizontal-relative:page;mso-position-vertical-relative:page;z-index:-832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4"/>
                    <w:ind w:left="0" w:right="0"/>
                    <w:jc w:val="left"/>
                  </w:pPr>
                  <w:r>
                    <w:rPr/>
                    <w:t>政策变化、</w:t>
                  </w:r>
                </w:p>
              </w:txbxContent>
            </v:textbox>
            <w10:wrap type="none"/>
          </v:shape>
        </w:pict>
      </w: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8"/>
      </w:tblGrid>
      <w:tr>
        <w:trPr>
          <w:trHeight w:val="6618"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23"/>
              <w:jc w:val="both"/>
              <w:rPr>
                <w:rFonts w:ascii="宋体" w:hAnsi="宋体" w:cs="宋体" w:eastAsia="宋体" w:hint="default"/>
                <w:sz w:val="18"/>
                <w:szCs w:val="18"/>
              </w:rPr>
            </w:pPr>
            <w:r>
              <w:rPr>
                <w:rFonts w:ascii="宋体" w:hAnsi="宋体" w:cs="宋体" w:eastAsia="宋体" w:hint="default"/>
                <w:spacing w:val="-3"/>
                <w:sz w:val="18"/>
                <w:szCs w:val="18"/>
              </w:rPr>
              <w:t>成票。在苏州恒久出现上述需实施稳定股价方案的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情形，且出现下列任一情形时，本人将按照有关法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律法规的规定，增持公司股份：（</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）公司回购股份</w:t>
            </w:r>
            <w:r>
              <w:rPr>
                <w:rFonts w:ascii="宋体" w:hAnsi="宋体" w:cs="宋体" w:eastAsia="宋体" w:hint="default"/>
                <w:sz w:val="18"/>
                <w:szCs w:val="18"/>
              </w:rPr>
              <w:t> 方案实施期限届满之日后的连续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个交易日，发 行人的股票收盘价均低于当日已公告每股净资产；</w:t>
            </w:r>
          </w:p>
          <w:p>
            <w:pPr>
              <w:pStyle w:val="TableParagraph"/>
              <w:spacing w:line="316" w:lineRule="auto" w:before="24"/>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）公司回购股份方案实施完毕之日起的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内再次触发需实施稳定股价方案的情形。如因相关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法律法规、政策变化、自然灾害及其他不可抗力等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无法控制的客观原因导致控股股东承诺未能履行、 </w:t>
            </w:r>
            <w:r>
              <w:rPr>
                <w:rFonts w:ascii="宋体" w:hAnsi="宋体" w:cs="宋体" w:eastAsia="宋体" w:hint="default"/>
                <w:spacing w:val="-3"/>
                <w:sz w:val="18"/>
                <w:szCs w:val="18"/>
              </w:rPr>
              <w:t>确已无法履行或无法按期履行上述承诺的，本人将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通过公司及时、充分披露本人承诺未能履行、无法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履行或无法按期履行的具体原因，并向公司及其投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资者提出补充承诺或替代承诺，以尽可能保护公司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及其投资者的权益。非因相关法律法规、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自然灾害及其他不可抗力等原因，本人未履行上述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承诺，本人将在发行人股东大会及中国证监会指定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报刊上公开说明未履行的具体原因并向发行人股 </w:t>
            </w:r>
            <w:r>
              <w:rPr>
                <w:rFonts w:ascii="宋体" w:hAnsi="宋体" w:cs="宋体" w:eastAsia="宋体" w:hint="default"/>
                <w:spacing w:val="-3"/>
                <w:sz w:val="18"/>
                <w:szCs w:val="18"/>
              </w:rPr>
              <w:t>东和社会公众投资者道歉；并将在前述事项发生之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个工作日内停止在发行人处领取股东分红， </w:t>
            </w:r>
            <w:r>
              <w:rPr>
                <w:rFonts w:ascii="宋体" w:hAnsi="宋体" w:cs="宋体" w:eastAsia="宋体" w:hint="default"/>
                <w:spacing w:val="-3"/>
                <w:sz w:val="18"/>
                <w:szCs w:val="18"/>
              </w:rPr>
              <w:t>同时本人持有的发行人股份将不得转让，直至采取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相应的稳定股价措施并实施完毕时为止。</w:t>
            </w:r>
          </w:p>
        </w:tc>
        <w:tc>
          <w:tcPr>
            <w:tcW w:w="1474" w:type="dxa"/>
            <w:tcBorders>
              <w:top w:val="single" w:sz="15" w:space="0" w:color="000000"/>
              <w:left w:val="single" w:sz="4" w:space="0" w:color="000000"/>
              <w:bottom w:val="single" w:sz="4" w:space="0" w:color="000000"/>
              <w:right w:val="single" w:sz="4" w:space="0" w:color="000000"/>
            </w:tcBorders>
          </w:tcPr>
          <w:p>
            <w:pPr>
              <w:pStyle w:val="TableParagraph"/>
              <w:spacing w:line="659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73.2pt;height:329.7pt;mso-position-horizontal-relative:char;mso-position-vertical-relative:line" coordorigin="0,0" coordsize="1464,6594">
                  <v:group style="position:absolute;left:0;top:0;width:1464;height:6594" coordorigin="0,0" coordsize="1464,6594">
                    <v:shape style="position:absolute;left:0;top:0;width:1464;height:6594" coordorigin="0,0" coordsize="1464,6594" path="m0,6594l1464,6594,1464,0,0,0,0,659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474"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r>
      <w:tr>
        <w:trPr>
          <w:trHeight w:val="285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239"/>
              <w:jc w:val="left"/>
              <w:rPr>
                <w:rFonts w:ascii="宋体" w:hAnsi="宋体" w:cs="宋体" w:eastAsia="宋体" w:hint="default"/>
                <w:sz w:val="18"/>
                <w:szCs w:val="18"/>
              </w:rPr>
            </w:pPr>
            <w:r>
              <w:rPr>
                <w:rFonts w:ascii="宋体" w:hAnsi="宋体" w:cs="宋体" w:eastAsia="宋体" w:hint="default"/>
                <w:sz w:val="18"/>
                <w:szCs w:val="18"/>
              </w:rPr>
              <w:t>陈小华</w:t>
            </w:r>
            <w:r>
              <w:rPr>
                <w:rFonts w:ascii="Times New Roman" w:hAnsi="Times New Roman" w:cs="Times New Roman" w:eastAsia="Times New Roman" w:hint="default"/>
                <w:sz w:val="18"/>
                <w:szCs w:val="18"/>
              </w:rPr>
              <w:t>;</w:t>
            </w: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方世南</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李建康</w:t>
            </w:r>
            <w:r>
              <w:rPr>
                <w:rFonts w:ascii="Times New Roman" w:hAnsi="Times New Roman" w:cs="Times New Roman" w:eastAsia="Times New Roman" w:hint="default"/>
                <w:sz w:val="18"/>
                <w:szCs w:val="18"/>
              </w:rPr>
              <w:t>;</w:t>
            </w:r>
            <w:r>
              <w:rPr>
                <w:rFonts w:ascii="宋体" w:hAnsi="宋体" w:cs="宋体" w:eastAsia="宋体" w:hint="default"/>
                <w:sz w:val="18"/>
                <w:szCs w:val="18"/>
              </w:rPr>
              <w:t>闵建 国</w:t>
            </w:r>
            <w:r>
              <w:rPr>
                <w:rFonts w:ascii="Times New Roman" w:hAnsi="Times New Roman" w:cs="Times New Roman" w:eastAsia="Times New Roman" w:hint="default"/>
                <w:sz w:val="18"/>
                <w:szCs w:val="18"/>
              </w:rPr>
              <w:t>;</w:t>
            </w:r>
            <w:r>
              <w:rPr>
                <w:rFonts w:ascii="宋体" w:hAnsi="宋体" w:cs="宋体" w:eastAsia="宋体" w:hint="default"/>
                <w:sz w:val="18"/>
                <w:szCs w:val="18"/>
              </w:rPr>
              <w:t>施建豪</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俞雪华</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公司董事、高级管理人员对填补回报措施能够得到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切实履行作出的承诺如下：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、承诺不无偿或以不 </w:t>
            </w:r>
            <w:r>
              <w:rPr>
                <w:rFonts w:ascii="宋体" w:hAnsi="宋体" w:cs="宋体" w:eastAsia="宋体" w:hint="default"/>
                <w:spacing w:val="-3"/>
                <w:sz w:val="18"/>
                <w:szCs w:val="18"/>
              </w:rPr>
              <w:t>公平条件向其他单位或者个人输送利益，也不采用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、承诺对董事和高级管 理人员的职务消费行为进行约束；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 公司资产从事与其履行职责无关的投资、消费活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、承诺由董事会或薪酬委员会制定的薪酬制 度与公司填补回报措施的执行情况相挂钩；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 </w:t>
            </w:r>
            <w:r>
              <w:rPr>
                <w:rFonts w:ascii="宋体" w:hAnsi="宋体" w:cs="宋体" w:eastAsia="宋体" w:hint="default"/>
                <w:spacing w:val="-3"/>
                <w:sz w:val="18"/>
                <w:szCs w:val="18"/>
              </w:rPr>
              <w:t>诺拟公布的公司股权激励的行权条件（如有）与公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8"/>
      </w:tblGrid>
      <w:tr>
        <w:trPr>
          <w:trHeight w:val="377"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司填补回报措施的执行情况相挂钩。</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r>
      <w:tr>
        <w:trPr>
          <w:trHeight w:val="5395" w:hRule="exact"/>
        </w:trPr>
        <w:tc>
          <w:tcPr>
            <w:tcW w:w="1418" w:type="dxa"/>
            <w:vMerge/>
            <w:tcBorders>
              <w:left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如本公司招股说明书有虚假记载、误导性陈述或者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重大遗漏，对判断本公司是否符合法律规定的发行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条件构成重大、实质影响的，本公司将在中国证监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会认定有关违法事实后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天内启动依法回购首次 </w:t>
            </w:r>
            <w:r>
              <w:rPr>
                <w:rFonts w:ascii="宋体" w:hAnsi="宋体" w:cs="宋体" w:eastAsia="宋体" w:hint="default"/>
                <w:spacing w:val="-3"/>
                <w:sz w:val="18"/>
                <w:szCs w:val="18"/>
              </w:rPr>
              <w:t>公开发行的全部新股工作。回购价格以本公司股票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发行价格和有关违法事实被中国证监会认定之日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个交易日本公司股票交易均价的孰高者确 </w:t>
            </w:r>
            <w:r>
              <w:rPr>
                <w:rFonts w:ascii="宋体" w:hAnsi="宋体" w:cs="宋体" w:eastAsia="宋体" w:hint="default"/>
                <w:spacing w:val="-3"/>
                <w:sz w:val="18"/>
                <w:szCs w:val="18"/>
              </w:rPr>
              <w:t>定。公司上市后发生除权除息事项的，上述发行价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格及回购股份数量应做相应调整。如本公司招股说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明书有虚假记载、误导性陈述或者重大遗漏，致使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投资者在证券交易中遭受损失的，将依法赔偿投资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者损失。本公司将在该等违法事实被中国证监会认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天内依法赔偿投资者损失。若本公司违反 </w:t>
            </w:r>
            <w:r>
              <w:rPr>
                <w:rFonts w:ascii="宋体" w:hAnsi="宋体" w:cs="宋体" w:eastAsia="宋体" w:hint="default"/>
                <w:spacing w:val="-3"/>
                <w:sz w:val="18"/>
                <w:szCs w:val="18"/>
              </w:rPr>
              <w:t>上述承诺，则将在股东大会及中国证监会指定报刊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上公开就未履行上述赔偿措施向股东和社会公众 </w:t>
            </w:r>
            <w:r>
              <w:rPr>
                <w:rFonts w:ascii="宋体" w:hAnsi="宋体" w:cs="宋体" w:eastAsia="宋体" w:hint="default"/>
                <w:spacing w:val="-3"/>
                <w:sz w:val="18"/>
                <w:szCs w:val="18"/>
              </w:rPr>
              <w:t>投资者道歉，并按中国证监会及有关司法机关认定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的实际损失向投资者进行赔偿。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79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如发行人招股说明书有虚假记载、误导性陈述或者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重大遗漏，对判断发行人是否符合法律规定的发行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条件构成重大、实质影响的，本人将利用发行人的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控股股东地位促成发行人在中国证监会认定有关 违法事实后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天内启动依法回购发行人首次公开 </w:t>
            </w:r>
            <w:r>
              <w:rPr>
                <w:rFonts w:ascii="宋体" w:hAnsi="宋体" w:cs="宋体" w:eastAsia="宋体" w:hint="default"/>
                <w:spacing w:val="-3"/>
                <w:sz w:val="18"/>
                <w:szCs w:val="18"/>
              </w:rPr>
              <w:t>发行的全部新股工作，并在前述期限内启动依法购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回本人在首次公开发行股票时公开发售的股份工 </w:t>
            </w:r>
            <w:r>
              <w:rPr>
                <w:rFonts w:ascii="宋体" w:hAnsi="宋体" w:cs="宋体" w:eastAsia="宋体" w:hint="default"/>
                <w:spacing w:val="-3"/>
                <w:sz w:val="18"/>
                <w:szCs w:val="18"/>
              </w:rPr>
              <w:t>作。购回价格以发行人股票发行价格和有关违法事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实被中国证监会认定之日前三十个交易日发行人 股票交易均价的孰高者确定。如遇除权除息事项， </w:t>
            </w:r>
            <w:r>
              <w:rPr>
                <w:rFonts w:ascii="宋体" w:hAnsi="宋体" w:cs="宋体" w:eastAsia="宋体" w:hint="default"/>
                <w:spacing w:val="-3"/>
                <w:sz w:val="18"/>
                <w:szCs w:val="18"/>
              </w:rPr>
              <w:t>上述发行价格及购回股份数量应作相应调整。如发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行人招股说明书有虚假记载、误导性陈述或者重大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120" w:right="1120"/>
        </w:sectPr>
      </w:pPr>
    </w:p>
    <w:p>
      <w:pPr>
        <w:spacing w:line="240" w:lineRule="auto" w:before="4"/>
        <w:rPr>
          <w:rFonts w:ascii="Times New Roman" w:hAnsi="Times New Roman" w:cs="Times New Roman" w:eastAsia="Times New Roman" w:hint="default"/>
          <w:sz w:val="3"/>
          <w:szCs w:val="3"/>
        </w:rPr>
      </w:pPr>
      <w:r>
        <w:rPr/>
        <w:pict>
          <v:shape style="position:absolute;margin-left:557.591003pt;margin-top:321.160004pt;width:79.45pt;height:85.85pt;mso-position-horizontal-relative:page;mso-position-vertical-relative:page;z-index:-832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0"/>
                    <w:ind w:left="0" w:right="0"/>
                    <w:jc w:val="left"/>
                  </w:pPr>
                  <w:r>
                    <w:rPr/>
                    <w:t>，</w:t>
                  </w:r>
                </w:p>
              </w:txbxContent>
            </v:textbox>
            <w10:wrap type="none"/>
          </v:shape>
        </w:pict>
      </w:r>
    </w:p>
    <w:tbl>
      <w:tblPr>
        <w:tblW w:w="0" w:type="auto"/>
        <w:jc w:val="left"/>
        <w:tblInd w:w="108" w:type="dxa"/>
        <w:tblLayout w:type="fixed"/>
        <w:tblCellMar>
          <w:top w:w="0" w:type="dxa"/>
          <w:left w:w="0" w:type="dxa"/>
          <w:bottom w:w="0" w:type="dxa"/>
          <w:right w:w="0" w:type="dxa"/>
        </w:tblCellMar>
        <w:tblLook w:val="01E0"/>
      </w:tblPr>
      <w:tblGrid>
        <w:gridCol w:w="1418"/>
        <w:gridCol w:w="3402"/>
        <w:gridCol w:w="1247"/>
        <w:gridCol w:w="3970"/>
        <w:gridCol w:w="1474"/>
        <w:gridCol w:w="1474"/>
        <w:gridCol w:w="1386"/>
      </w:tblGrid>
      <w:tr>
        <w:trPr>
          <w:trHeight w:val="3185" w:hRule="exact"/>
        </w:trPr>
        <w:tc>
          <w:tcPr>
            <w:tcW w:w="1418" w:type="dxa"/>
            <w:vMerge w:val="restart"/>
            <w:tcBorders>
              <w:top w:val="single" w:sz="15" w:space="0" w:color="000000"/>
              <w:left w:val="single" w:sz="4" w:space="0" w:color="000000"/>
              <w:right w:val="single" w:sz="4" w:space="0" w:color="000000"/>
            </w:tcBorders>
            <w:shd w:val="clear" w:color="auto" w:fill="D2D2D2"/>
          </w:tcPr>
          <w:p>
            <w:pPr/>
          </w:p>
        </w:tc>
        <w:tc>
          <w:tcPr>
            <w:tcW w:w="3402" w:type="dxa"/>
            <w:tcBorders>
              <w:top w:val="single" w:sz="15" w:space="0" w:color="000000"/>
              <w:left w:val="single" w:sz="4" w:space="0" w:color="000000"/>
              <w:bottom w:val="single" w:sz="4" w:space="0" w:color="000000"/>
              <w:right w:val="single" w:sz="4" w:space="0" w:color="000000"/>
            </w:tcBorders>
          </w:tcPr>
          <w:p>
            <w:pPr/>
          </w:p>
        </w:tc>
        <w:tc>
          <w:tcPr>
            <w:tcW w:w="1247" w:type="dxa"/>
            <w:tcBorders>
              <w:top w:val="single" w:sz="15" w:space="0" w:color="000000"/>
              <w:left w:val="single" w:sz="4" w:space="0" w:color="000000"/>
              <w:bottom w:val="single" w:sz="4" w:space="0" w:color="000000"/>
              <w:right w:val="single" w:sz="4" w:space="0" w:color="000000"/>
            </w:tcBorders>
          </w:tcPr>
          <w:p>
            <w:pPr/>
          </w:p>
        </w:tc>
        <w:tc>
          <w:tcPr>
            <w:tcW w:w="3970"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遗漏，致使投资者在证券交易中遭受损失的，本人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将在该等违法事实被中国证监会认定后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天内依 </w:t>
            </w:r>
            <w:r>
              <w:rPr>
                <w:rFonts w:ascii="宋体" w:hAnsi="宋体" w:cs="宋体" w:eastAsia="宋体" w:hint="default"/>
                <w:spacing w:val="-3"/>
                <w:sz w:val="18"/>
                <w:szCs w:val="18"/>
              </w:rPr>
              <w:t>法赔偿投资者损失。若本人违反上述承诺，则将在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发行人股东大会及中国证监会指定报刊上公开就 未履行上述赔偿措施向发行人股东和社会公众投 </w:t>
            </w:r>
            <w:r>
              <w:rPr>
                <w:rFonts w:ascii="宋体" w:hAnsi="宋体" w:cs="宋体" w:eastAsia="宋体" w:hint="default"/>
                <w:spacing w:val="-3"/>
                <w:sz w:val="18"/>
                <w:szCs w:val="18"/>
              </w:rPr>
              <w:t>资者道歉，并在违反上述承诺发生之日起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 </w:t>
            </w:r>
            <w:r>
              <w:rPr>
                <w:rFonts w:ascii="宋体" w:hAnsi="宋体" w:cs="宋体" w:eastAsia="宋体" w:hint="default"/>
                <w:spacing w:val="-3"/>
                <w:sz w:val="18"/>
                <w:szCs w:val="18"/>
              </w:rPr>
              <w:t>日内，停止在发行人处领取薪酬及股东分红，同时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本人持有的发行人股份将不得转让，直至本人按上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述承诺采取相应的购回或赔偿措施并实施完毕时 为止。</w:t>
            </w:r>
          </w:p>
        </w:tc>
        <w:tc>
          <w:tcPr>
            <w:tcW w:w="1474" w:type="dxa"/>
            <w:tcBorders>
              <w:top w:val="single" w:sz="15" w:space="0" w:color="000000"/>
              <w:left w:val="single" w:sz="4" w:space="0" w:color="000000"/>
              <w:bottom w:val="single" w:sz="4" w:space="0" w:color="000000"/>
              <w:right w:val="single" w:sz="4" w:space="0" w:color="000000"/>
            </w:tcBorders>
          </w:tcPr>
          <w:p>
            <w:pPr/>
          </w:p>
        </w:tc>
        <w:tc>
          <w:tcPr>
            <w:tcW w:w="1474"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r>
      <w:tr>
        <w:trPr>
          <w:trHeight w:val="383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0" w:lineRule="auto"/>
              <w:ind w:left="22" w:right="187"/>
              <w:jc w:val="both"/>
              <w:rPr>
                <w:rFonts w:ascii="宋体" w:hAnsi="宋体" w:cs="宋体" w:eastAsia="宋体" w:hint="default"/>
                <w:sz w:val="18"/>
                <w:szCs w:val="18"/>
              </w:rPr>
            </w:pPr>
            <w:r>
              <w:rPr>
                <w:rFonts w:ascii="宋体" w:hAnsi="宋体" w:cs="宋体" w:eastAsia="宋体" w:hint="default"/>
                <w:sz w:val="18"/>
                <w:szCs w:val="18"/>
              </w:rPr>
              <w:t>陈小华</w:t>
            </w:r>
            <w:r>
              <w:rPr>
                <w:rFonts w:ascii="Times New Roman" w:hAnsi="Times New Roman" w:cs="Times New Roman" w:eastAsia="Times New Roman" w:hint="default"/>
                <w:sz w:val="18"/>
                <w:szCs w:val="18"/>
              </w:rPr>
              <w:t>;</w:t>
            </w: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方世南</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李建康</w:t>
            </w:r>
            <w:r>
              <w:rPr>
                <w:rFonts w:ascii="Times New Roman" w:hAnsi="Times New Roman" w:cs="Times New Roman" w:eastAsia="Times New Roman" w:hint="default"/>
                <w:sz w:val="18"/>
                <w:szCs w:val="18"/>
              </w:rPr>
              <w:t>;</w:t>
            </w:r>
            <w:r>
              <w:rPr>
                <w:rFonts w:ascii="宋体" w:hAnsi="宋体" w:cs="宋体" w:eastAsia="宋体" w:hint="default"/>
                <w:sz w:val="18"/>
                <w:szCs w:val="18"/>
              </w:rPr>
              <w:t>闵建 国</w:t>
            </w:r>
            <w:r>
              <w:rPr>
                <w:rFonts w:ascii="Times New Roman" w:hAnsi="Times New Roman" w:cs="Times New Roman" w:eastAsia="Times New Roman" w:hint="default"/>
                <w:sz w:val="18"/>
                <w:szCs w:val="18"/>
              </w:rPr>
              <w:t>;</w:t>
            </w:r>
            <w:r>
              <w:rPr>
                <w:rFonts w:ascii="宋体" w:hAnsi="宋体" w:cs="宋体" w:eastAsia="宋体" w:hint="default"/>
                <w:sz w:val="18"/>
                <w:szCs w:val="18"/>
              </w:rPr>
              <w:t>施建豪</w:t>
            </w:r>
            <w:r>
              <w:rPr>
                <w:rFonts w:ascii="Times New Roman" w:hAnsi="Times New Roman" w:cs="Times New Roman" w:eastAsia="Times New Roman" w:hint="default"/>
                <w:sz w:val="18"/>
                <w:szCs w:val="18"/>
              </w:rPr>
              <w:t>;</w:t>
            </w:r>
            <w:r>
              <w:rPr>
                <w:rFonts w:ascii="宋体" w:hAnsi="宋体" w:cs="宋体" w:eastAsia="宋体" w:hint="default"/>
                <w:sz w:val="18"/>
                <w:szCs w:val="18"/>
              </w:rPr>
              <w:t>施雄</w:t>
            </w:r>
            <w:r>
              <w:rPr>
                <w:rFonts w:ascii="Times New Roman" w:hAnsi="Times New Roman" w:cs="Times New Roman" w:eastAsia="Times New Roman" w:hint="default"/>
                <w:sz w:val="18"/>
                <w:szCs w:val="18"/>
              </w:rPr>
              <w:t>;</w:t>
            </w:r>
            <w:r>
              <w:rPr>
                <w:rFonts w:ascii="宋体" w:hAnsi="宋体" w:cs="宋体" w:eastAsia="宋体" w:hint="default"/>
                <w:sz w:val="18"/>
                <w:szCs w:val="18"/>
              </w:rPr>
              <w:t>徐才英</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俞 雪华</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w:t>
            </w:r>
            <w:r>
              <w:rPr>
                <w:rFonts w:ascii="宋体" w:hAnsi="宋体" w:cs="宋体" w:eastAsia="宋体" w:hint="default"/>
                <w:sz w:val="18"/>
                <w:szCs w:val="18"/>
              </w:rPr>
              <w:t>赵同双</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如发行人招股说明书有虚假记载、误导性陈述或者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重大遗漏，致使投资者在证券交易中遭受损失的， </w:t>
            </w:r>
            <w:r>
              <w:rPr>
                <w:rFonts w:ascii="宋体" w:hAnsi="宋体" w:cs="宋体" w:eastAsia="宋体" w:hint="default"/>
                <w:spacing w:val="-3"/>
                <w:sz w:val="18"/>
                <w:szCs w:val="18"/>
              </w:rPr>
              <w:t>本人将依法赔偿投资者损失。本人将在该等违法事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实被中国证监会认定后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天内依法赔偿投资者损 </w:t>
            </w:r>
            <w:r>
              <w:rPr>
                <w:rFonts w:ascii="宋体" w:hAnsi="宋体" w:cs="宋体" w:eastAsia="宋体" w:hint="default"/>
                <w:spacing w:val="-3"/>
                <w:sz w:val="18"/>
                <w:szCs w:val="18"/>
              </w:rPr>
              <w:t>失。若本人违反上述承诺，则将在发行人股东大会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及中国证监会指定报刊上公开就未履行上述赔偿 </w:t>
            </w:r>
            <w:r>
              <w:rPr>
                <w:rFonts w:ascii="宋体" w:hAnsi="宋体" w:cs="宋体" w:eastAsia="宋体" w:hint="default"/>
                <w:spacing w:val="-3"/>
                <w:sz w:val="18"/>
                <w:szCs w:val="18"/>
              </w:rPr>
              <w:t>措施向发行人股东和社会公众投资者道歉，并在违</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反上述赔偿措施发生之日起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个工作日内，停止在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发行人处领取薪酬（或津贴）及股东分红（如有）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同时本人持有的发行人股份（如有）将不得转让， 直至本人按上述承诺采取相应的赔偿措施并实施 完毕时为止。</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171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73.2pt;height:85.85pt;mso-position-horizontal-relative:char;mso-position-vertical-relative:line" coordorigin="0,0" coordsize="1464,1717">
                  <v:group style="position:absolute;left:0;top:0;width:1464;height:1717" coordorigin="0,0" coordsize="1464,1717">
                    <v:shape style="position:absolute;left:0;top:0;width:1464;height:1717" coordorigin="0,0" coordsize="1464,1717" path="m0,1716l1464,1716,1464,0,0,0,0,1716xe" filled="true" fillcolor="#ffffff" stroked="false">
                      <v:path arrowok="t"/>
                      <v:fill type="solid"/>
                    </v:shape>
                  </v:group>
                </v:group>
              </w:pict>
            </w:r>
            <w:r>
              <w:rPr>
                <w:rFonts w:ascii="Times New Roman" w:hAnsi="Times New Roman" w:cs="Times New Roman" w:eastAsia="Times New Roman" w:hint="default"/>
                <w:position w:val="-33"/>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3402"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9"/>
              <w:jc w:val="both"/>
              <w:rPr>
                <w:rFonts w:ascii="宋体" w:hAnsi="宋体" w:cs="宋体" w:eastAsia="宋体" w:hint="default"/>
                <w:sz w:val="18"/>
                <w:szCs w:val="18"/>
              </w:rPr>
            </w:pPr>
            <w:r>
              <w:rPr>
                <w:rFonts w:ascii="宋体" w:hAnsi="宋体" w:cs="宋体" w:eastAsia="宋体" w:hint="default"/>
                <w:sz w:val="18"/>
                <w:szCs w:val="18"/>
              </w:rPr>
              <w:t>高钟</w:t>
            </w:r>
            <w:r>
              <w:rPr>
                <w:rFonts w:ascii="Times New Roman" w:hAnsi="Times New Roman" w:cs="Times New Roman" w:eastAsia="Times New Roman" w:hint="default"/>
                <w:sz w:val="18"/>
                <w:szCs w:val="18"/>
              </w:rPr>
              <w:t>;</w:t>
            </w:r>
            <w:r>
              <w:rPr>
                <w:rFonts w:ascii="宋体" w:hAnsi="宋体" w:cs="宋体" w:eastAsia="宋体" w:hint="default"/>
                <w:sz w:val="18"/>
                <w:szCs w:val="18"/>
              </w:rPr>
              <w:t>兰山英</w:t>
            </w:r>
            <w:r>
              <w:rPr>
                <w:rFonts w:ascii="Times New Roman" w:hAnsi="Times New Roman" w:cs="Times New Roman" w:eastAsia="Times New Roman" w:hint="default"/>
                <w:sz w:val="18"/>
                <w:szCs w:val="18"/>
              </w:rPr>
              <w:t>;</w:t>
            </w:r>
            <w:r>
              <w:rPr>
                <w:rFonts w:ascii="宋体" w:hAnsi="宋体" w:cs="宋体" w:eastAsia="宋体" w:hint="default"/>
                <w:sz w:val="18"/>
                <w:szCs w:val="18"/>
              </w:rPr>
              <w:t>李建康</w:t>
            </w:r>
            <w:r>
              <w:rPr>
                <w:rFonts w:ascii="Times New Roman" w:hAnsi="Times New Roman" w:cs="Times New Roman" w:eastAsia="Times New Roman" w:hint="default"/>
                <w:sz w:val="18"/>
                <w:szCs w:val="18"/>
              </w:rPr>
              <w:t>;</w:t>
            </w:r>
            <w:r>
              <w:rPr>
                <w:rFonts w:ascii="宋体" w:hAnsi="宋体" w:cs="宋体" w:eastAsia="宋体" w:hint="default"/>
                <w:sz w:val="18"/>
                <w:szCs w:val="18"/>
              </w:rPr>
              <w:t>潘晓珍</w:t>
            </w:r>
            <w:r>
              <w:rPr>
                <w:rFonts w:ascii="Times New Roman" w:hAnsi="Times New Roman" w:cs="Times New Roman" w:eastAsia="Times New Roman" w:hint="default"/>
                <w:sz w:val="18"/>
                <w:szCs w:val="18"/>
              </w:rPr>
              <w:t>;</w:t>
            </w:r>
            <w:r>
              <w:rPr>
                <w:rFonts w:ascii="宋体" w:hAnsi="宋体" w:cs="宋体" w:eastAsia="宋体" w:hint="default"/>
                <w:sz w:val="18"/>
                <w:szCs w:val="18"/>
              </w:rPr>
              <w:t>施建豪</w:t>
            </w:r>
            <w:r>
              <w:rPr>
                <w:rFonts w:ascii="Times New Roman" w:hAnsi="Times New Roman" w:cs="Times New Roman" w:eastAsia="Times New Roman" w:hint="default"/>
                <w:sz w:val="18"/>
                <w:szCs w:val="18"/>
              </w:rPr>
              <w:t>;</w:t>
            </w:r>
            <w:r>
              <w:rPr>
                <w:rFonts w:ascii="宋体" w:hAnsi="宋体" w:cs="宋体" w:eastAsia="宋体" w:hint="default"/>
                <w:sz w:val="18"/>
                <w:szCs w:val="18"/>
              </w:rPr>
              <w:t>孙仕 杰</w:t>
            </w:r>
            <w:r>
              <w:rPr>
                <w:rFonts w:ascii="Times New Roman" w:hAnsi="Times New Roman" w:cs="Times New Roman" w:eastAsia="Times New Roman" w:hint="default"/>
                <w:sz w:val="18"/>
                <w:szCs w:val="18"/>
              </w:rPr>
              <w:t>;</w:t>
            </w:r>
            <w:r>
              <w:rPr>
                <w:rFonts w:ascii="宋体" w:hAnsi="宋体" w:cs="宋体" w:eastAsia="宋体" w:hint="default"/>
                <w:sz w:val="18"/>
                <w:szCs w:val="18"/>
              </w:rPr>
              <w:t>魏先锋</w:t>
            </w:r>
            <w:r>
              <w:rPr>
                <w:rFonts w:ascii="Times New Roman" w:hAnsi="Times New Roman" w:cs="Times New Roman" w:eastAsia="Times New Roman" w:hint="default"/>
                <w:sz w:val="18"/>
                <w:szCs w:val="18"/>
              </w:rPr>
              <w:t>;</w:t>
            </w:r>
            <w:r>
              <w:rPr>
                <w:rFonts w:ascii="宋体" w:hAnsi="宋体" w:cs="宋体" w:eastAsia="宋体" w:hint="default"/>
                <w:sz w:val="18"/>
                <w:szCs w:val="18"/>
              </w:rPr>
              <w:t>徐才英</w:t>
            </w:r>
            <w:r>
              <w:rPr>
                <w:rFonts w:ascii="Times New Roman" w:hAnsi="Times New Roman" w:cs="Times New Roman" w:eastAsia="Times New Roman" w:hint="default"/>
                <w:sz w:val="18"/>
                <w:szCs w:val="18"/>
              </w:rPr>
              <w:t>;</w:t>
            </w:r>
            <w:r>
              <w:rPr>
                <w:rFonts w:ascii="宋体" w:hAnsi="宋体" w:cs="宋体" w:eastAsia="宋体" w:hint="default"/>
                <w:sz w:val="18"/>
                <w:szCs w:val="18"/>
              </w:rPr>
              <w:t>余荣清</w:t>
            </w:r>
            <w:r>
              <w:rPr>
                <w:rFonts w:ascii="Times New Roman" w:hAnsi="Times New Roman" w:cs="Times New Roman" w:eastAsia="Times New Roman" w:hint="default"/>
                <w:sz w:val="18"/>
                <w:szCs w:val="18"/>
              </w:rPr>
              <w:t>;</w:t>
            </w:r>
            <w:r>
              <w:rPr>
                <w:rFonts w:ascii="宋体" w:hAnsi="宋体" w:cs="宋体" w:eastAsia="宋体" w:hint="default"/>
                <w:sz w:val="18"/>
                <w:szCs w:val="18"/>
              </w:rPr>
              <w:t>余仲清</w:t>
            </w:r>
            <w:r>
              <w:rPr>
                <w:rFonts w:ascii="Times New Roman" w:hAnsi="Times New Roman" w:cs="Times New Roman" w:eastAsia="Times New Roman" w:hint="default"/>
                <w:sz w:val="18"/>
                <w:szCs w:val="18"/>
              </w:rPr>
              <w:t>;</w:t>
            </w:r>
            <w:r>
              <w:rPr>
                <w:rFonts w:ascii="宋体" w:hAnsi="宋体" w:cs="宋体" w:eastAsia="宋体" w:hint="default"/>
                <w:sz w:val="18"/>
                <w:szCs w:val="18"/>
              </w:rPr>
              <w:t>张培兴</w:t>
            </w:r>
            <w:r>
              <w:rPr>
                <w:rFonts w:ascii="Times New Roman" w:hAnsi="Times New Roman" w:cs="Times New Roman" w:eastAsia="Times New Roman" w:hint="default"/>
                <w:sz w:val="18"/>
                <w:szCs w:val="18"/>
              </w:rPr>
              <w:t>; </w:t>
            </w:r>
            <w:r>
              <w:rPr>
                <w:rFonts w:ascii="宋体" w:hAnsi="宋体" w:cs="宋体" w:eastAsia="宋体" w:hint="default"/>
                <w:sz w:val="18"/>
                <w:szCs w:val="18"/>
              </w:rPr>
              <w:t>朱雪珍</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年度利润分配及资本公积转增股本预案</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披露后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个月内，提议股东和控股股东及其一致行</w:t>
            </w:r>
            <w:r>
              <w:rPr>
                <w:rFonts w:ascii="宋体" w:hAnsi="宋体" w:cs="宋体" w:eastAsia="宋体" w:hint="default"/>
                <w:sz w:val="18"/>
                <w:szCs w:val="18"/>
              </w:rPr>
              <w:t> 动人、董监高承诺不减持公司股份。</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129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20" w:right="112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left="394"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306"/>
        <w:gridCol w:w="1530"/>
        <w:gridCol w:w="1560"/>
        <w:gridCol w:w="737"/>
        <w:gridCol w:w="992"/>
        <w:gridCol w:w="826"/>
        <w:gridCol w:w="1474"/>
        <w:gridCol w:w="1782"/>
      </w:tblGrid>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当期预 测业绩</w:t>
            </w:r>
          </w:p>
          <w:p>
            <w:pPr>
              <w:pStyle w:val="TableParagraph"/>
              <w:spacing w:line="240" w:lineRule="auto" w:before="20"/>
              <w:ind w:left="22" w:right="-16"/>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47" w:hanging="90"/>
              <w:jc w:val="left"/>
              <w:rPr>
                <w:rFonts w:ascii="宋体" w:hAnsi="宋体" w:cs="宋体" w:eastAsia="宋体" w:hint="default"/>
                <w:sz w:val="18"/>
                <w:szCs w:val="18"/>
              </w:rPr>
            </w:pPr>
            <w:r>
              <w:rPr>
                <w:rFonts w:ascii="宋体" w:hAnsi="宋体" w:cs="宋体" w:eastAsia="宋体" w:hint="default"/>
                <w:sz w:val="18"/>
                <w:szCs w:val="18"/>
              </w:rPr>
              <w:t>未达预测 的原因</w:t>
            </w:r>
          </w:p>
          <w:p>
            <w:pPr>
              <w:pStyle w:val="TableParagraph"/>
              <w:spacing w:line="319" w:lineRule="auto" w:before="19"/>
              <w:ind w:left="227" w:right="137" w:hanging="90"/>
              <w:jc w:val="left"/>
              <w:rPr>
                <w:rFonts w:ascii="宋体" w:hAnsi="宋体" w:cs="宋体" w:eastAsia="宋体" w:hint="default"/>
                <w:sz w:val="18"/>
                <w:szCs w:val="18"/>
              </w:rPr>
            </w:pPr>
            <w:r>
              <w:rPr>
                <w:rFonts w:ascii="宋体" w:hAnsi="宋体" w:cs="宋体" w:eastAsia="宋体" w:hint="default"/>
                <w:sz w:val="18"/>
                <w:szCs w:val="18"/>
              </w:rPr>
              <w:t>（如适 用）</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58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90"/>
              <w:jc w:val="both"/>
              <w:rPr>
                <w:rFonts w:ascii="宋体" w:hAnsi="宋体" w:cs="宋体" w:eastAsia="宋体" w:hint="default"/>
                <w:sz w:val="18"/>
                <w:szCs w:val="18"/>
              </w:rPr>
            </w:pPr>
            <w:r>
              <w:rPr>
                <w:rFonts w:ascii="宋体" w:hAnsi="宋体" w:cs="宋体" w:eastAsia="宋体" w:hint="default"/>
                <w:sz w:val="18"/>
                <w:szCs w:val="18"/>
              </w:rPr>
              <w:t>深圳市壹办公 科技股份有限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1,997.64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5"/>
              <w:ind w:left="24" w:right="36"/>
              <w:jc w:val="left"/>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8"/>
                <w:sz w:val="18"/>
                <w:szCs w:val="18"/>
              </w:rPr>
              <w:t>m.cn</w:t>
            </w:r>
            <w:r>
              <w:rPr>
                <w:rFonts w:ascii="宋体" w:hAnsi="宋体" w:cs="宋体" w:eastAsia="宋体" w:hint="default"/>
                <w:spacing w:val="-8"/>
                <w:sz w:val="18"/>
                <w:szCs w:val="18"/>
              </w:rPr>
              <w:t>）《苏州恒久光电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科技股份有限公司关 于认购深圳市壹办公 科技股份有限公司发 </w:t>
            </w:r>
            <w:r>
              <w:rPr>
                <w:rFonts w:ascii="宋体" w:hAnsi="宋体" w:cs="宋体" w:eastAsia="宋体" w:hint="default"/>
                <w:spacing w:val="-9"/>
                <w:sz w:val="18"/>
                <w:szCs w:val="18"/>
              </w:rPr>
              <w:t>行股份的公告》（公告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2017-030</w:t>
            </w:r>
            <w:r>
              <w:rPr>
                <w:rFonts w:ascii="宋体" w:hAnsi="宋体" w:cs="宋体" w:eastAsia="宋体" w:hint="default"/>
                <w:sz w:val="18"/>
                <w:szCs w:val="18"/>
              </w:rPr>
              <w:t>）</w:t>
            </w:r>
          </w:p>
        </w:tc>
      </w:tr>
    </w:tbl>
    <w:p>
      <w:pPr>
        <w:pStyle w:val="BodyText"/>
        <w:spacing w:line="240" w:lineRule="auto" w:before="51"/>
        <w:ind w:left="394" w:right="0"/>
        <w:jc w:val="left"/>
      </w:pPr>
      <w:r>
        <w:rPr/>
        <w:t>公司股东、交易对手方在报告年度经营业绩做出的承诺情况</w:t>
      </w:r>
    </w:p>
    <w:p>
      <w:pPr>
        <w:pStyle w:val="BodyText"/>
        <w:spacing w:line="240" w:lineRule="auto" w:before="116"/>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54" w:right="0"/>
        <w:jc w:val="left"/>
      </w:pPr>
      <w:r>
        <w:rPr/>
        <w:t>公司于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26</w:t>
      </w:r>
      <w:r>
        <w:rPr>
          <w:rFonts w:ascii="宋体" w:hAnsi="宋体" w:cs="宋体" w:eastAsia="宋体" w:hint="default"/>
          <w:spacing w:val="-46"/>
        </w:rPr>
        <w:t> </w:t>
      </w:r>
      <w:r>
        <w:rPr>
          <w:spacing w:val="-4"/>
        </w:rPr>
        <w:t>日与全国中小企业股份转让系统挂牌企业深圳市壹办公科技股份有限公司（以下简称“壹办公”）</w:t>
      </w:r>
    </w:p>
    <w:p>
      <w:pPr>
        <w:pStyle w:val="BodyText"/>
        <w:spacing w:line="240" w:lineRule="auto" w:before="76"/>
        <w:ind w:left="394" w:right="0"/>
        <w:jc w:val="left"/>
      </w:pPr>
      <w:r>
        <w:rPr/>
        <w:t>及其控股股东、实际控制人吴平先生签署了《股份认购协议》及《股份认购协议之补充协议》，公司以人民币</w:t>
      </w:r>
      <w:r>
        <w:rPr>
          <w:spacing w:val="-45"/>
        </w:rPr>
        <w:t> </w:t>
      </w:r>
      <w:r>
        <w:rPr>
          <w:rFonts w:ascii="宋体" w:hAnsi="宋体" w:cs="宋体" w:eastAsia="宋体" w:hint="default"/>
        </w:rPr>
        <w:t>2,198.21</w:t>
      </w:r>
      <w:r>
        <w:rPr>
          <w:rFonts w:ascii="宋体" w:hAnsi="宋体" w:cs="宋体" w:eastAsia="宋体" w:hint="default"/>
          <w:spacing w:val="-46"/>
        </w:rPr>
        <w:t> </w:t>
      </w:r>
      <w:r>
        <w:rPr/>
        <w:t>万</w:t>
      </w:r>
    </w:p>
    <w:p>
      <w:pPr>
        <w:pStyle w:val="BodyText"/>
        <w:spacing w:line="319" w:lineRule="auto" w:before="76"/>
        <w:ind w:left="394" w:right="1131"/>
        <w:jc w:val="both"/>
      </w:pPr>
      <w:r>
        <w:rPr/>
        <w:t>元认购壹办公发行新股中的</w:t>
      </w:r>
      <w:r>
        <w:rPr>
          <w:spacing w:val="-11"/>
        </w:rPr>
        <w:t> </w:t>
      </w:r>
      <w:r>
        <w:rPr>
          <w:rFonts w:ascii="宋体" w:hAnsi="宋体" w:cs="宋体" w:eastAsia="宋体" w:hint="default"/>
        </w:rPr>
        <w:t>441.41</w:t>
      </w:r>
      <w:r>
        <w:rPr>
          <w:rFonts w:ascii="宋体" w:hAnsi="宋体" w:cs="宋体" w:eastAsia="宋体" w:hint="default"/>
          <w:spacing w:val="-51"/>
        </w:rPr>
        <w:t> </w:t>
      </w:r>
      <w:r>
        <w:rPr/>
        <w:t>万股，占壹办公股份定向发行完成后股本总额的</w:t>
      </w:r>
      <w:r>
        <w:rPr>
          <w:spacing w:val="-51"/>
        </w:rPr>
        <w:t> </w:t>
      </w:r>
      <w:r>
        <w:rPr>
          <w:rFonts w:ascii="宋体" w:hAnsi="宋体" w:cs="宋体" w:eastAsia="宋体" w:hint="default"/>
        </w:rPr>
        <w:t>27.50%</w:t>
      </w:r>
      <w:r>
        <w:rPr/>
        <w:t>，上述认购股份已于</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10 </w:t>
      </w:r>
      <w:r>
        <w:rPr/>
        <w:t>月完成在中国证券登记结算公司的登记手续。根据《股份认购协议之补充协议》的约定，吴平先生承诺：</w:t>
      </w:r>
      <w:r>
        <w:rPr>
          <w:rFonts w:ascii="宋体" w:hAnsi="宋体" w:cs="宋体" w:eastAsia="宋体" w:hint="default"/>
        </w:rPr>
        <w:t>2017</w:t>
      </w:r>
      <w:r>
        <w:rPr>
          <w:rFonts w:ascii="宋体" w:hAnsi="宋体" w:cs="宋体" w:eastAsia="宋体" w:hint="default"/>
          <w:spacing w:val="-46"/>
        </w:rPr>
        <w:t> </w:t>
      </w:r>
      <w:r>
        <w:rPr/>
        <w:t>年度、</w:t>
      </w:r>
      <w:r>
        <w:rPr>
          <w:rFonts w:ascii="宋体" w:hAnsi="宋体" w:cs="宋体" w:eastAsia="宋体" w:hint="default"/>
        </w:rPr>
        <w:t>2018 </w:t>
      </w:r>
      <w:r>
        <w:rPr>
          <w:spacing w:val="-2"/>
        </w:rPr>
        <w:t>年度，深圳市壹办公科技股份有限公司经具有证券期货业务资格的会计师事务所审计的归属于公司股东的净利润合计不低于</w:t>
      </w:r>
      <w:r>
        <w:rPr>
          <w:spacing w:val="-64"/>
        </w:rPr>
        <w:t> </w:t>
      </w:r>
      <w:r>
        <w:rPr>
          <w:spacing w:val="-64"/>
        </w:rPr>
      </w:r>
      <w:r>
        <w:rPr/>
        <w:t>人民币</w:t>
      </w:r>
      <w:r>
        <w:rPr>
          <w:spacing w:val="-46"/>
        </w:rPr>
        <w:t> </w:t>
      </w:r>
      <w:r>
        <w:rPr>
          <w:rFonts w:ascii="宋体" w:hAnsi="宋体" w:cs="宋体" w:eastAsia="宋体" w:hint="default"/>
        </w:rPr>
        <w:t>1,700</w:t>
      </w:r>
      <w:r>
        <w:rPr>
          <w:rFonts w:ascii="宋体" w:hAnsi="宋体" w:cs="宋体" w:eastAsia="宋体" w:hint="default"/>
          <w:spacing w:val="-45"/>
        </w:rPr>
        <w:t> </w:t>
      </w:r>
      <w:r>
        <w:rPr/>
        <w:t>万元。若壹办公未实现前述承诺净利润，则自</w:t>
      </w:r>
      <w:r>
        <w:rPr>
          <w:spacing w:val="-46"/>
        </w:rPr>
        <w:t> </w:t>
      </w:r>
      <w:r>
        <w:rPr>
          <w:rFonts w:ascii="宋体" w:hAnsi="宋体" w:cs="宋体" w:eastAsia="宋体" w:hint="default"/>
        </w:rPr>
        <w:t>2018</w:t>
      </w:r>
      <w:r>
        <w:rPr>
          <w:rFonts w:ascii="宋体" w:hAnsi="宋体" w:cs="宋体" w:eastAsia="宋体" w:hint="default"/>
          <w:spacing w:val="-46"/>
        </w:rPr>
        <w:t> </w:t>
      </w:r>
      <w:r>
        <w:rPr/>
        <w:t>年度审计报告出具之日起，吴平先生按照股份补偿或现金 补偿方案之一对公司进行补偿。</w:t>
      </w:r>
    </w:p>
    <w:p>
      <w:pPr>
        <w:pStyle w:val="BodyText"/>
        <w:spacing w:line="379" w:lineRule="auto" w:before="56"/>
        <w:ind w:left="754" w:right="0" w:hanging="360"/>
        <w:jc w:val="left"/>
      </w:pPr>
      <w:r>
        <w:rPr/>
        <w:t>业绩承诺的完成情况及其对商誉减值测试的影响 </w:t>
      </w:r>
      <w:r>
        <w:rPr>
          <w:spacing w:val="-2"/>
        </w:rPr>
        <w:t>经亚太（集团）会计师事务所（特殊普通合伙）审计，深圳市壹办公科技股份有限公司</w:t>
      </w:r>
      <w:r>
        <w:rPr>
          <w:rFonts w:ascii="宋体" w:hAnsi="宋体" w:cs="宋体" w:eastAsia="宋体" w:hint="default"/>
          <w:spacing w:val="-2"/>
        </w:rPr>
        <w:t>2017</w:t>
      </w:r>
      <w:r>
        <w:rPr>
          <w:spacing w:val="-2"/>
        </w:rPr>
        <w:t>年度、</w:t>
      </w:r>
      <w:r>
        <w:rPr>
          <w:rFonts w:ascii="宋体" w:hAnsi="宋体" w:cs="宋体" w:eastAsia="宋体" w:hint="default"/>
          <w:spacing w:val="-2"/>
        </w:rPr>
        <w:t>2018</w:t>
      </w:r>
      <w:r>
        <w:rPr>
          <w:spacing w:val="-2"/>
        </w:rPr>
        <w:t>年度归属于公司</w:t>
      </w:r>
    </w:p>
    <w:p>
      <w:pPr>
        <w:pStyle w:val="BodyText"/>
        <w:spacing w:line="240" w:lineRule="auto" w:before="19"/>
        <w:ind w:left="394" w:right="0"/>
        <w:jc w:val="left"/>
      </w:pPr>
      <w:r>
        <w:rPr/>
        <w:t>股东的净利润合计为</w:t>
      </w:r>
      <w:r>
        <w:rPr>
          <w:rFonts w:ascii="宋体" w:hAnsi="宋体" w:cs="宋体" w:eastAsia="宋体" w:hint="default"/>
        </w:rPr>
        <w:t>1,997.64</w:t>
      </w:r>
      <w:r>
        <w:rPr/>
        <w:t>万元，承诺净利润已实现，该业绩承诺履行完毕。</w:t>
      </w:r>
    </w:p>
    <w:p>
      <w:pPr>
        <w:spacing w:line="240" w:lineRule="auto" w:before="13"/>
        <w:rPr>
          <w:rFonts w:ascii="宋体" w:hAnsi="宋体" w:cs="宋体" w:eastAsia="宋体" w:hint="default"/>
          <w:sz w:val="26"/>
          <w:szCs w:val="26"/>
        </w:rPr>
      </w:pPr>
    </w:p>
    <w:p>
      <w:pPr>
        <w:pStyle w:val="Heading2"/>
        <w:spacing w:line="240" w:lineRule="auto"/>
        <w:ind w:left="394"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left="39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left="394"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394"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60" w:lineRule="auto" w:before="0"/>
        <w:ind w:left="754" w:right="112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t>不适用 </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日，财政部印发了《关于修订印发</w:t>
      </w:r>
      <w:r>
        <w:rPr>
          <w:rFonts w:ascii="宋体" w:hAnsi="宋体" w:cs="宋体" w:eastAsia="宋体" w:hint="default"/>
          <w:spacing w:val="-2"/>
        </w:rPr>
        <w:t>2018</w:t>
      </w:r>
      <w:r>
        <w:rPr>
          <w:spacing w:val="-2"/>
        </w:rPr>
        <w:t>年度一般企业财务报表格式的通知》（财会【</w:t>
      </w:r>
      <w:r>
        <w:rPr>
          <w:rFonts w:ascii="宋体" w:hAnsi="宋体" w:cs="宋体" w:eastAsia="宋体" w:hint="default"/>
          <w:spacing w:val="-2"/>
        </w:rPr>
        <w:t>2018</w:t>
      </w:r>
      <w:r>
        <w:rPr>
          <w:spacing w:val="-2"/>
        </w:rPr>
        <w:t>】</w:t>
      </w:r>
      <w:r>
        <w:rPr>
          <w:rFonts w:ascii="宋体" w:hAnsi="宋体" w:cs="宋体" w:eastAsia="宋体" w:hint="default"/>
          <w:spacing w:val="-2"/>
        </w:rPr>
        <w:t>15</w:t>
      </w:r>
      <w:r>
        <w:rPr>
          <w:rFonts w:ascii="宋体" w:hAnsi="宋体" w:cs="宋体" w:eastAsia="宋体" w:hint="default"/>
          <w:spacing w:val="25"/>
        </w:rPr>
        <w:t> </w:t>
      </w:r>
      <w:r>
        <w:rPr/>
        <w:t>号</w:t>
      </w:r>
      <w:r>
        <w:rPr>
          <w:rFonts w:ascii="宋体" w:hAnsi="宋体" w:cs="宋体" w:eastAsia="宋体" w:hint="default"/>
        </w:rPr>
        <w:t>),</w:t>
      </w:r>
      <w:r>
        <w:rPr/>
        <w:t>对一般</w:t>
      </w:r>
    </w:p>
    <w:p>
      <w:pPr>
        <w:spacing w:after="0" w:line="360" w:lineRule="auto"/>
        <w:jc w:val="left"/>
        <w:sectPr>
          <w:headerReference w:type="default" r:id="rId15"/>
          <w:footerReference w:type="default" r:id="rId16"/>
          <w:pgSz w:w="11910" w:h="16840"/>
          <w:pgMar w:header="877" w:footer="979" w:top="1100" w:bottom="1160" w:left="740" w:right="0"/>
          <w:pgNumType w:start="41"/>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企业财务报表格式进行了修订。因此，公司对原会计政策进行相应变更，按照该文件规定的一般企业财务报表格式（适用于</w:t>
      </w:r>
      <w:r>
        <w:rPr>
          <w:spacing w:val="-66"/>
        </w:rPr>
        <w:t> </w:t>
      </w:r>
      <w:r>
        <w:rPr>
          <w:spacing w:val="-66"/>
        </w:rPr>
      </w:r>
      <w:r>
        <w:rPr/>
        <w:t>尚未执行新金融准则和新收入准则的企业）编制公司的财务报表。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夏利忠、卢吉</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夏利忠（</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、卢吉（</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5,281.32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10,325.32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8"/>
          <w:szCs w:val="28"/>
        </w:rPr>
      </w:pPr>
    </w:p>
    <w:p>
      <w:pPr>
        <w:pStyle w:val="BodyText"/>
        <w:spacing w:line="355" w:lineRule="auto" w:before="0"/>
        <w:ind w:right="1129" w:firstLine="360"/>
        <w:jc w:val="both"/>
      </w:pPr>
      <w:r>
        <w:rPr>
          <w:spacing w:val="-1"/>
        </w:rPr>
        <w:t>作为上市公众公司，公司坚持</w:t>
      </w:r>
      <w:r>
        <w:rPr>
          <w:rFonts w:ascii="Times New Roman" w:hAnsi="Times New Roman" w:cs="Times New Roman" w:eastAsia="Times New Roman" w:hint="default"/>
          <w:spacing w:val="-1"/>
        </w:rPr>
        <w:t>“</w:t>
      </w:r>
      <w:r>
        <w:rPr>
          <w:spacing w:val="-1"/>
        </w:rPr>
        <w:t>以人为本、集成创新、携手共进</w:t>
      </w:r>
      <w:r>
        <w:rPr>
          <w:rFonts w:ascii="Times New Roman" w:hAnsi="Times New Roman" w:cs="Times New Roman" w:eastAsia="Times New Roman" w:hint="default"/>
          <w:spacing w:val="-1"/>
        </w:rPr>
        <w:t>”</w:t>
      </w:r>
      <w:r>
        <w:rPr>
          <w:spacing w:val="-1"/>
        </w:rPr>
        <w:t>的经营理念，奉行</w:t>
      </w:r>
      <w:r>
        <w:rPr>
          <w:rFonts w:ascii="Times New Roman" w:hAnsi="Times New Roman" w:cs="Times New Roman" w:eastAsia="Times New Roman" w:hint="default"/>
          <w:spacing w:val="-1"/>
        </w:rPr>
        <w:t>“</w:t>
      </w:r>
      <w:r>
        <w:rPr>
          <w:spacing w:val="-1"/>
        </w:rPr>
        <w:t>团结、敬业、高效、奉献</w:t>
      </w:r>
      <w:r>
        <w:rPr>
          <w:rFonts w:ascii="Times New Roman" w:hAnsi="Times New Roman" w:cs="Times New Roman" w:eastAsia="Times New Roman" w:hint="default"/>
          <w:spacing w:val="-1"/>
        </w:rPr>
        <w:t>”</w:t>
      </w:r>
      <w:r>
        <w:rPr>
          <w:spacing w:val="-1"/>
        </w:rPr>
        <w:t>的价值观</w:t>
      </w:r>
      <w:r>
        <w:rPr/>
        <w:t> </w:t>
      </w:r>
      <w:r>
        <w:rPr>
          <w:spacing w:val="-2"/>
        </w:rPr>
        <w:t>念，积极承担社会责任，根据《公司法》、《证券法》等法律、行政法规、部门规章的规定，在追求经济效益和股东利益最</w:t>
      </w:r>
      <w:r>
        <w:rPr>
          <w:spacing w:val="-70"/>
        </w:rPr>
        <w:t> </w:t>
      </w:r>
      <w:r>
        <w:rPr>
          <w:spacing w:val="-70"/>
        </w:rPr>
      </w:r>
      <w:r>
        <w:rPr/>
        <w:t>大化的同时，积极承担社会责任，以实现企业与员工、企业与社会、企业与环境的和谐发展。</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r>
        <w:rPr/>
        <w:t>（</w:t>
      </w:r>
      <w:r>
        <w:rPr>
          <w:rFonts w:ascii="宋体" w:hAnsi="宋体" w:cs="宋体" w:eastAsia="宋体" w:hint="default"/>
        </w:rPr>
        <w:t>1</w:t>
      </w:r>
      <w:r>
        <w:rPr/>
        <w:t>）投资者权益保护</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032" w:firstLine="360"/>
        <w:jc w:val="left"/>
      </w:pPr>
      <w:r>
        <w:rPr>
          <w:spacing w:val="-2"/>
        </w:rPr>
        <w:t>公司建立了较为健全的内部控制治理体系，并在实际工作中不断完善该体系，保证公司所有股东及债权人能够公平、公</w:t>
      </w:r>
      <w:r>
        <w:rPr/>
        <w:t> </w:t>
      </w:r>
      <w:r>
        <w:rPr>
          <w:spacing w:val="-2"/>
        </w:rPr>
        <w:t>正、公开的享有权益。信息披露方面，公司建立了《信息披露管理制度》、《内幕信息知情人登记管理制度》及《舆情管理</w:t>
      </w:r>
      <w:r>
        <w:rPr>
          <w:spacing w:val="-69"/>
        </w:rPr>
        <w:t> </w:t>
      </w:r>
      <w:r>
        <w:rPr>
          <w:spacing w:val="-69"/>
        </w:rPr>
      </w:r>
      <w:r>
        <w:rPr/>
        <w:t>制度》等系列制度以完善公司信息披露管理体系，保障公司依法规范运作，保证信息披露真实、准确、完整、及时、公平， 保障广大股东享有平等的知情权。</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w:t>
      </w:r>
      <w:r>
        <w:rPr>
          <w:rFonts w:ascii="宋体" w:hAnsi="宋体" w:cs="宋体" w:eastAsia="宋体" w:hint="default"/>
        </w:rPr>
        <w:t>2</w:t>
      </w:r>
      <w:r>
        <w:rPr/>
        <w:t>）职工权益保护</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31" w:firstLine="360"/>
        <w:jc w:val="both"/>
      </w:pPr>
      <w:r>
        <w:rPr>
          <w:spacing w:val="-2"/>
        </w:rPr>
        <w:t>公司始终将人才建设作为企业和组织的基础。公司依法与员工签订并履行劳动合同，并创造平等发展机会，建立科学的</w:t>
      </w:r>
      <w:r>
        <w:rPr/>
        <w:t> </w:t>
      </w:r>
      <w:r>
        <w:rPr>
          <w:spacing w:val="-2"/>
        </w:rPr>
        <w:t>员工薪酬制度与激励机制，使员工在公司不断的发展中实现自我价值；公司制订了《职业健康管理制度》，关爱员工身心健</w:t>
      </w:r>
      <w:r>
        <w:rPr>
          <w:spacing w:val="-65"/>
        </w:rPr>
        <w:t> </w:t>
      </w:r>
      <w:r>
        <w:rPr>
          <w:spacing w:val="-65"/>
        </w:rPr>
      </w:r>
      <w:r>
        <w:rPr>
          <w:spacing w:val="-2"/>
        </w:rPr>
        <w:t>康；公司成立了工会组织，依法维护员工的合法权益，并开展形式多样的员工活动，在生活与工作中关爱员工，为员工创造</w:t>
      </w:r>
      <w:r>
        <w:rPr>
          <w:spacing w:val="-66"/>
        </w:rPr>
        <w:t> </w:t>
      </w:r>
      <w:r>
        <w:rPr>
          <w:spacing w:val="-66"/>
        </w:rPr>
      </w:r>
      <w:r>
        <w:rPr/>
        <w:t>良好的工作环境。</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w:t>
      </w:r>
      <w:r>
        <w:rPr>
          <w:rFonts w:ascii="宋体" w:hAnsi="宋体" w:cs="宋体" w:eastAsia="宋体" w:hint="default"/>
        </w:rPr>
        <w:t>3</w:t>
      </w:r>
      <w:r>
        <w:rPr/>
        <w:t>）供应商、客户权益保护</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left="514" w:right="1132"/>
        <w:jc w:val="left"/>
      </w:pPr>
      <w:r>
        <w:rPr/>
        <w:t>公司充分尊重供应商和客户的合法权益，诚实守信的开展经济活动，积极发展与供应商、客户的战略合作关系。 公司通过持续的技术创新，不断提升产品技术水平及产品质量，提供能满足客户需求的新产品。公司每年度开展</w:t>
      </w:r>
      <w:r>
        <w:rPr>
          <w:rFonts w:ascii="Times New Roman" w:hAnsi="Times New Roman" w:cs="Times New Roman" w:eastAsia="Times New Roman" w:hint="default"/>
        </w:rPr>
        <w:t>“</w:t>
      </w:r>
      <w:r>
        <w:rPr/>
        <w:t>客户</w:t>
      </w:r>
    </w:p>
    <w:p>
      <w:pPr>
        <w:pStyle w:val="BodyText"/>
        <w:spacing w:line="345" w:lineRule="auto" w:before="6"/>
        <w:ind w:left="514" w:right="0" w:hanging="360"/>
        <w:jc w:val="left"/>
      </w:pPr>
      <w:r>
        <w:rPr/>
        <w:t>满意度调查</w:t>
      </w:r>
      <w:r>
        <w:rPr>
          <w:rFonts w:ascii="Times New Roman" w:hAnsi="Times New Roman" w:cs="Times New Roman" w:eastAsia="Times New Roman" w:hint="default"/>
        </w:rPr>
        <w:t>”</w:t>
      </w:r>
      <w:r>
        <w:rPr/>
        <w:t>，根据反馈结果，持续优化销售模式，强化售后服务。 </w:t>
      </w:r>
      <w:r>
        <w:rPr>
          <w:spacing w:val="-2"/>
        </w:rPr>
        <w:t>公司与全体供应商友好协商，订立公平合理的交易合同，依合同约定准时付款，与信誉良好的供应商建立稳定的合作关</w:t>
      </w:r>
    </w:p>
    <w:p>
      <w:pPr>
        <w:pStyle w:val="BodyText"/>
        <w:spacing w:line="240" w:lineRule="auto"/>
        <w:ind w:right="0"/>
        <w:jc w:val="left"/>
      </w:pPr>
      <w:r>
        <w:rPr/>
        <w:t>系，通过加强与供应商的沟通合作，实现互惠共赢。</w:t>
      </w:r>
    </w:p>
    <w:p>
      <w:pPr>
        <w:pStyle w:val="BodyText"/>
        <w:spacing w:line="510" w:lineRule="atLeast" w:before="18"/>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）环境保护与可持续发展</w:t>
      </w:r>
      <w:r>
        <w:rPr>
          <w:rFonts w:ascii="宋体" w:hAnsi="宋体" w:cs="宋体" w:eastAsia="宋体" w:hint="default"/>
          <w:b/>
          <w:bCs/>
          <w:w w:val="99"/>
        </w:rPr>
        <w:t> </w:t>
      </w:r>
      <w:r>
        <w:rPr>
          <w:spacing w:val="-1"/>
        </w:rPr>
        <w:t>公司重视环境保护工作，致力于打造环境友好型企业。公司通过了</w:t>
      </w:r>
      <w:r>
        <w:rPr>
          <w:rFonts w:ascii="Times New Roman" w:hAnsi="Times New Roman" w:cs="Times New Roman" w:eastAsia="Times New Roman" w:hint="default"/>
          <w:spacing w:val="-1"/>
        </w:rPr>
        <w:t>ISO14001</w:t>
      </w:r>
      <w:r>
        <w:rPr>
          <w:spacing w:val="-1"/>
        </w:rPr>
        <w:t>：</w:t>
      </w:r>
      <w:r>
        <w:rPr>
          <w:rFonts w:ascii="Times New Roman" w:hAnsi="Times New Roman" w:cs="Times New Roman" w:eastAsia="Times New Roman" w:hint="default"/>
          <w:spacing w:val="-1"/>
        </w:rPr>
        <w:t>2015</w:t>
      </w:r>
      <w:r>
        <w:rPr>
          <w:spacing w:val="-1"/>
        </w:rPr>
        <w:t>环境管理体系认证，高度重视绿色、</w:t>
      </w:r>
    </w:p>
    <w:p>
      <w:pPr>
        <w:pStyle w:val="BodyText"/>
        <w:spacing w:line="364" w:lineRule="auto" w:before="109"/>
        <w:ind w:right="0"/>
        <w:jc w:val="left"/>
      </w:pPr>
      <w:r>
        <w:rPr>
          <w:spacing w:val="-2"/>
        </w:rPr>
        <w:t>清洁生产，制定了《环境监测和测量管理程序》、《废弃物管理程序》、《污水管理程序》等一系列内部控制制度，以减少</w:t>
      </w:r>
      <w:r>
        <w:rPr>
          <w:spacing w:val="-69"/>
        </w:rPr>
        <w:t> </w:t>
      </w:r>
      <w:r>
        <w:rPr>
          <w:spacing w:val="-69"/>
        </w:rPr>
      </w:r>
      <w:r>
        <w:rPr/>
        <w:t>对环境污染和资源浪费。</w:t>
      </w:r>
    </w:p>
    <w:p>
      <w:pPr>
        <w:spacing w:after="0" w:line="364"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14"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712"/>
        <w:jc w:val="left"/>
      </w:pPr>
      <w:r>
        <w:rPr/>
        <w:t>上市公司及其子公司是否属于环境保护部门公布的重点排污单位 否</w:t>
      </w:r>
    </w:p>
    <w:p>
      <w:pPr>
        <w:pStyle w:val="BodyText"/>
        <w:spacing w:line="364" w:lineRule="auto" w:before="50"/>
        <w:ind w:left="514" w:right="0"/>
        <w:jc w:val="left"/>
      </w:pPr>
      <w:r>
        <w:rPr/>
        <w:t>经公司核查，公司及子公司均不属于环境保护部门公布的重点排污单位。 </w:t>
      </w:r>
      <w:r>
        <w:rPr>
          <w:spacing w:val="-2"/>
        </w:rPr>
        <w:t>公司及子公司在日常生产经营中认真执行《中华人民共和国环境保护法》、《中华人民共和国水污染防治法》、《中华</w:t>
      </w:r>
    </w:p>
    <w:p>
      <w:pPr>
        <w:pStyle w:val="BodyText"/>
        <w:spacing w:line="364" w:lineRule="auto" w:before="29"/>
        <w:ind w:right="0"/>
        <w:jc w:val="left"/>
      </w:pPr>
      <w:r>
        <w:rPr>
          <w:spacing w:val="-2"/>
        </w:rPr>
        <w:t>人民共和国大气污染防治法》、《中华人民共和国固体废物污染防治法》等环保方面的法律法规，落实环保措施，实现生产</w:t>
      </w:r>
      <w:r>
        <w:rPr>
          <w:spacing w:val="-66"/>
        </w:rPr>
        <w:t> </w:t>
      </w:r>
      <w:r>
        <w:rPr>
          <w:spacing w:val="-66"/>
        </w:rPr>
      </w:r>
      <w:r>
        <w:rPr/>
        <w:t>经营与环境保护的协调发展。报告期，公司未发生环保事故和纠纷，也不存在因违反环境保护法律法规受到处罚的情形。</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4"/>
        <w:gridCol w:w="1187"/>
        <w:gridCol w:w="851"/>
        <w:gridCol w:w="568"/>
        <w:gridCol w:w="697"/>
        <w:gridCol w:w="822"/>
        <w:gridCol w:w="822"/>
        <w:gridCol w:w="822"/>
        <w:gridCol w:w="1088"/>
        <w:gridCol w:w="851"/>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8" w:type="dxa"/>
            <w:vMerge/>
            <w:tcBorders>
              <w:left w:val="single" w:sz="4" w:space="0" w:color="000000"/>
              <w:right w:val="single" w:sz="4" w:space="0" w:color="000000"/>
            </w:tcBorders>
            <w:shd w:val="clear" w:color="auto" w:fill="D2D2D2"/>
          </w:tcPr>
          <w:p>
            <w:pPr/>
          </w:p>
        </w:tc>
        <w:tc>
          <w:tcPr>
            <w:tcW w:w="6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697"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104,170,096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54.26%</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-874,666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-874,666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103,295,430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104,170,096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54.26%</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-874,666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-874,666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103,295,430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9,397,333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9,397,333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94,772,763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49.36%</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-874,666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-874,666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93,898,097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48.91%</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87,829,904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45.74%</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874,666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874,666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88,704,570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87,829,904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45.74%</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874,666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874,666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88,704,570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股份变动的原因</w:t>
      </w:r>
    </w:p>
    <w:p>
      <w:pPr>
        <w:pStyle w:val="BodyText"/>
        <w:spacing w:line="360" w:lineRule="auto" w:before="117"/>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2017</w:t>
      </w:r>
      <w:r>
        <w:rPr/>
        <w:t>年度股东大会，审议通过了《关于公司监事会换届选举暨选举第四届监事会非职工代表</w:t>
      </w:r>
    </w:p>
    <w:p>
      <w:pPr>
        <w:pStyle w:val="BodyText"/>
        <w:spacing w:line="364" w:lineRule="auto" w:before="10"/>
        <w:ind w:right="1118"/>
        <w:jc w:val="left"/>
      </w:pPr>
      <w:r>
        <w:rPr>
          <w:spacing w:val="-2"/>
        </w:rPr>
        <w:t>监事的议案》。因任期届满，赵同双先生不再担任公司非职工代表监事职务，其配偶闫挺女士所持类高管股份，在赵同双先</w:t>
      </w:r>
      <w:r>
        <w:rPr>
          <w:spacing w:val="-66"/>
        </w:rPr>
        <w:t> </w:t>
      </w:r>
      <w:r>
        <w:rPr>
          <w:spacing w:val="-66"/>
        </w:rPr>
      </w:r>
      <w:r>
        <w:rPr/>
        <w:t>生任期届满后</w:t>
      </w:r>
      <w:r>
        <w:rPr>
          <w:rFonts w:ascii="Times New Roman" w:hAnsi="Times New Roman" w:cs="Times New Roman" w:eastAsia="Times New Roman" w:hint="default"/>
        </w:rPr>
        <w:t>6</w:t>
      </w:r>
      <w:r>
        <w:rPr/>
        <w:t>个月内处于全额锁定状态，</w:t>
      </w:r>
      <w:r>
        <w:rPr>
          <w:rFonts w:ascii="Times New Roman" w:hAnsi="Times New Roman" w:cs="Times New Roman" w:eastAsia="Times New Roman" w:hint="default"/>
        </w:rPr>
        <w:t>6</w:t>
      </w:r>
      <w:r>
        <w:rPr/>
        <w:t>个月后全部解除锁定，故本报告期末较期初限售股股份减少。 股份变动的批准情况</w:t>
      </w:r>
    </w:p>
    <w:p>
      <w:pPr>
        <w:pStyle w:val="BodyText"/>
        <w:spacing w:line="338" w:lineRule="auto" w:before="23"/>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spacing w:after="0" w:line="3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092"/>
        <w:gridCol w:w="1134"/>
        <w:gridCol w:w="1276"/>
        <w:gridCol w:w="1967"/>
        <w:gridCol w:w="1718"/>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0" w:right="9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75,886,080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75,886,080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13,994,667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13,994,667</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苏州恒久荣盛科 技投资有限公司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9,397,333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9,397,333</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2,099,200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2,099,200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孙忠良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1,312,000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首次公开发行股票限售</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606,150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606,150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874,666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874,666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类高管锁定股份</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104,170,096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874,666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103,295,430</w:t>
            </w:r>
          </w:p>
        </w:tc>
        <w:tc>
          <w:tcPr>
            <w:tcW w:w="1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2017</w:t>
      </w:r>
      <w:r>
        <w:rPr/>
        <w:t>年度股东大会，审议通过了《关于公司监事会换届选举暨选举第四届监事会非职工代表</w:t>
      </w:r>
    </w:p>
    <w:p>
      <w:pPr>
        <w:pStyle w:val="BodyText"/>
        <w:spacing w:line="364" w:lineRule="auto" w:before="10"/>
        <w:ind w:right="0"/>
        <w:jc w:val="left"/>
      </w:pPr>
      <w:r>
        <w:rPr>
          <w:spacing w:val="-2"/>
        </w:rPr>
        <w:t>监事的议案》。因任期届满，赵同双先生不再担任公司非职工代表监事职务，其配偶闫挺女士所持类高管股份，在赵同双先</w:t>
      </w:r>
      <w:r>
        <w:rPr>
          <w:spacing w:val="-66"/>
        </w:rPr>
        <w:t> </w:t>
      </w:r>
      <w:r>
        <w:rPr>
          <w:spacing w:val="-66"/>
        </w:rPr>
      </w:r>
      <w:r>
        <w:rPr/>
        <w:t>生任期届满后</w:t>
      </w:r>
      <w:r>
        <w:rPr>
          <w:rFonts w:ascii="Times New Roman" w:hAnsi="Times New Roman" w:cs="Times New Roman" w:eastAsia="Times New Roman" w:hint="default"/>
        </w:rPr>
        <w:t>6</w:t>
      </w:r>
      <w:r>
        <w:rPr/>
        <w:t>个月内处于全额锁定状态，</w:t>
      </w:r>
      <w:r>
        <w:rPr>
          <w:rFonts w:ascii="Times New Roman" w:hAnsi="Times New Roman" w:cs="Times New Roman" w:eastAsia="Times New Roman" w:hint="default"/>
        </w:rPr>
        <w:t>6</w:t>
      </w:r>
      <w:r>
        <w:rPr/>
        <w:t>个月后全部解除锁定，故本报告期末较期初限售股股份减少。</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1008"/>
        <w:gridCol w:w="117"/>
        <w:gridCol w:w="1017"/>
        <w:gridCol w:w="156"/>
        <w:gridCol w:w="865"/>
        <w:gridCol w:w="355"/>
        <w:gridCol w:w="751"/>
        <w:gridCol w:w="282"/>
        <w:gridCol w:w="140"/>
        <w:gridCol w:w="428"/>
        <w:gridCol w:w="779"/>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14,537</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15,998</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9"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9" w:space="0" w:color="D2D2D2"/>
            </w:tcBorders>
          </w:tcPr>
          <w:p>
            <w:pPr/>
          </w:p>
        </w:tc>
        <w:tc>
          <w:tcPr>
            <w:tcW w:w="1173" w:type="dxa"/>
            <w:gridSpan w:val="3"/>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7" w:right="72"/>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9" w:right="47"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2" w:right="10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21" w:type="dxa"/>
            <w:gridSpan w:val="2"/>
            <w:vMerge/>
            <w:tcBorders>
              <w:left w:val="single" w:sz="4" w:space="0" w:color="000000"/>
              <w:right w:val="single" w:sz="4" w:space="0" w:color="000000"/>
            </w:tcBorders>
            <w:shd w:val="clear" w:color="auto" w:fill="D2D2D2"/>
          </w:tcPr>
          <w:p>
            <w:pPr/>
          </w:p>
        </w:tc>
        <w:tc>
          <w:tcPr>
            <w:tcW w:w="11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2" w:right="24"/>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630"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8"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021" w:type="dxa"/>
            <w:gridSpan w:val="2"/>
            <w:vMerge/>
            <w:tcBorders>
              <w:left w:val="single" w:sz="4" w:space="0" w:color="000000"/>
              <w:right w:val="single" w:sz="4" w:space="0" w:color="000000"/>
            </w:tcBorders>
            <w:shd w:val="clear" w:color="auto" w:fill="D2D2D2"/>
          </w:tcPr>
          <w:p>
            <w:pPr/>
          </w:p>
        </w:tc>
        <w:tc>
          <w:tcPr>
            <w:tcW w:w="1105" w:type="dxa"/>
            <w:gridSpan w:val="2"/>
            <w:vMerge/>
            <w:tcBorders>
              <w:left w:val="single" w:sz="4" w:space="0" w:color="000000"/>
              <w:right w:val="single" w:sz="4" w:space="0" w:color="000000"/>
            </w:tcBorders>
            <w:shd w:val="clear" w:color="auto" w:fill="D2D2D2"/>
          </w:tcPr>
          <w:p>
            <w:pPr/>
          </w:p>
        </w:tc>
        <w:tc>
          <w:tcPr>
            <w:tcW w:w="1630"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021" w:type="dxa"/>
            <w:gridSpan w:val="2"/>
            <w:vMerge/>
            <w:tcBorders>
              <w:left w:val="single" w:sz="4" w:space="0" w:color="000000"/>
              <w:right w:val="single" w:sz="4" w:space="0" w:color="000000"/>
            </w:tcBorders>
            <w:shd w:val="clear" w:color="auto" w:fill="D2D2D2"/>
          </w:tcPr>
          <w:p>
            <w:pPr/>
          </w:p>
        </w:tc>
        <w:tc>
          <w:tcPr>
            <w:tcW w:w="1105" w:type="dxa"/>
            <w:gridSpan w:val="2"/>
            <w:vMerge/>
            <w:tcBorders>
              <w:left w:val="single" w:sz="4" w:space="0" w:color="000000"/>
              <w:right w:val="single" w:sz="4" w:space="0" w:color="000000"/>
            </w:tcBorders>
            <w:shd w:val="clear" w:color="auto" w:fill="D2D2D2"/>
          </w:tcPr>
          <w:p>
            <w:pPr/>
          </w:p>
        </w:tc>
        <w:tc>
          <w:tcPr>
            <w:tcW w:w="8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021" w:type="dxa"/>
            <w:gridSpan w:val="2"/>
            <w:vMerge/>
            <w:tcBorders>
              <w:left w:val="single" w:sz="4" w:space="0" w:color="000000"/>
              <w:right w:val="single" w:sz="4" w:space="0" w:color="000000"/>
            </w:tcBorders>
            <w:shd w:val="clear" w:color="auto" w:fill="D2D2D2"/>
          </w:tcPr>
          <w:p>
            <w:pPr/>
          </w:p>
        </w:tc>
        <w:tc>
          <w:tcPr>
            <w:tcW w:w="1105"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3"/>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gridSpan w:val="2"/>
            <w:vMerge/>
            <w:tcBorders>
              <w:left w:val="single" w:sz="4" w:space="0" w:color="000000"/>
              <w:bottom w:val="single" w:sz="4" w:space="0" w:color="000000"/>
              <w:right w:val="single" w:sz="4" w:space="0" w:color="000000"/>
            </w:tcBorders>
            <w:shd w:val="clear" w:color="auto" w:fill="D2D2D2"/>
          </w:tcPr>
          <w:p>
            <w:pPr/>
          </w:p>
        </w:tc>
        <w:tc>
          <w:tcPr>
            <w:tcW w:w="11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gridSpan w:val="3"/>
            <w:vMerge/>
            <w:tcBorders>
              <w:left w:val="single" w:sz="4" w:space="0" w:color="000000"/>
              <w:bottom w:val="single" w:sz="4" w:space="0" w:color="000000"/>
              <w:right w:val="single" w:sz="4" w:space="0" w:color="000000"/>
            </w:tcBorders>
            <w:shd w:val="clear" w:color="auto" w:fill="D2D2D2"/>
          </w:tcPr>
          <w:p>
            <w:pPr/>
          </w:p>
        </w:tc>
        <w:tc>
          <w:tcPr>
            <w:tcW w:w="7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39.52%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75,886,080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75,886,080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3"/>
            <w:tcBorders>
              <w:top w:val="single" w:sz="44" w:space="0" w:color="D2D2D2"/>
              <w:left w:val="single" w:sz="4" w:space="0" w:color="000000"/>
              <w:bottom w:val="single" w:sz="4" w:space="0" w:color="000000"/>
              <w:right w:val="single" w:sz="4" w:space="0" w:color="000000"/>
            </w:tcBorders>
          </w:tcPr>
          <w:p>
            <w:pPr/>
          </w:p>
        </w:tc>
        <w:tc>
          <w:tcPr>
            <w:tcW w:w="779" w:type="dxa"/>
            <w:tcBorders>
              <w:top w:val="single" w:sz="44" w:space="0" w:color="D2D2D2"/>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7.29%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13,994,667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13,994,667</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苏州恒久荣盛科 技投资有限公司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4.89%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9,397,333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9,397,333</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江苏省苏高新风 险投资股份有限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3.04%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5,837,180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-4,308,499</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5,837,180</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黄解平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1.54%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2,961,974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1" w:right="0"/>
              <w:jc w:val="left"/>
              <w:rPr>
                <w:rFonts w:ascii="Times New Roman" w:hAnsi="Times New Roman" w:cs="Times New Roman" w:eastAsia="Times New Roman" w:hint="default"/>
                <w:sz w:val="18"/>
                <w:szCs w:val="18"/>
              </w:rPr>
            </w:pPr>
            <w:r>
              <w:rPr>
                <w:rFonts w:ascii="Times New Roman"/>
                <w:sz w:val="18"/>
              </w:rPr>
              <w:t>1,649,954</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2,961,974</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1.52%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2,921,860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1" w:right="0"/>
              <w:jc w:val="left"/>
              <w:rPr>
                <w:rFonts w:ascii="Times New Roman" w:hAnsi="Times New Roman" w:cs="Times New Roman" w:eastAsia="Times New Roman" w:hint="default"/>
                <w:sz w:val="18"/>
                <w:szCs w:val="18"/>
              </w:rPr>
            </w:pPr>
            <w:r>
              <w:rPr>
                <w:rFonts w:ascii="Times New Roman"/>
                <w:sz w:val="18"/>
              </w:rPr>
              <w:t>2,921,860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2,921,860</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姚真明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1" w:right="0"/>
              <w:jc w:val="left"/>
              <w:rPr>
                <w:rFonts w:ascii="Times New Roman" w:hAnsi="Times New Roman" w:cs="Times New Roman" w:eastAsia="Times New Roman" w:hint="default"/>
                <w:sz w:val="18"/>
                <w:szCs w:val="18"/>
              </w:rPr>
            </w:pPr>
            <w:r>
              <w:rPr>
                <w:rFonts w:ascii="Times New Roman"/>
                <w:sz w:val="18"/>
              </w:rPr>
              <w:t>1,158,030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2,760,000</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马思行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2,211,807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8" w:right="0"/>
              <w:jc w:val="left"/>
              <w:rPr>
                <w:rFonts w:ascii="Times New Roman" w:hAnsi="Times New Roman" w:cs="Times New Roman" w:eastAsia="Times New Roman" w:hint="default"/>
                <w:sz w:val="18"/>
                <w:szCs w:val="18"/>
              </w:rPr>
            </w:pPr>
            <w:r>
              <w:rPr>
                <w:rFonts w:ascii="Times New Roman"/>
                <w:sz w:val="18"/>
              </w:rPr>
              <w:t>2,211,807</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0" w:right="0"/>
              <w:jc w:val="left"/>
              <w:rPr>
                <w:rFonts w:ascii="Times New Roman" w:hAnsi="Times New Roman" w:cs="Times New Roman" w:eastAsia="Times New Roman" w:hint="default"/>
                <w:sz w:val="18"/>
                <w:szCs w:val="18"/>
              </w:rPr>
            </w:pPr>
            <w:r>
              <w:rPr>
                <w:rFonts w:ascii="Times New Roman"/>
                <w:sz w:val="18"/>
              </w:rPr>
              <w:t>2,211,807</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1.09%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2,099,200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1" w:right="0"/>
              <w:jc w:val="left"/>
              <w:rPr>
                <w:rFonts w:ascii="Times New Roman" w:hAnsi="Times New Roman" w:cs="Times New Roman" w:eastAsia="Times New Roman" w:hint="default"/>
                <w:sz w:val="18"/>
                <w:szCs w:val="18"/>
              </w:rPr>
            </w:pPr>
            <w:r>
              <w:rPr>
                <w:rFonts w:ascii="Times New Roman"/>
                <w:sz w:val="18"/>
              </w:rPr>
              <w:t>2,099,200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叶晓明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0.97%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7" w:right="0"/>
              <w:jc w:val="left"/>
              <w:rPr>
                <w:rFonts w:ascii="Times New Roman" w:hAnsi="Times New Roman" w:cs="Times New Roman" w:eastAsia="Times New Roman" w:hint="default"/>
                <w:sz w:val="18"/>
                <w:szCs w:val="18"/>
              </w:rPr>
            </w:pPr>
            <w:r>
              <w:rPr>
                <w:rFonts w:ascii="Times New Roman"/>
                <w:sz w:val="18"/>
              </w:rPr>
              <w:t>-220,000</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8"/>
              <w:jc w:val="right"/>
              <w:rPr>
                <w:rFonts w:ascii="Times New Roman" w:hAnsi="Times New Roman" w:cs="Times New Roman" w:eastAsia="Times New Roman" w:hint="default"/>
                <w:sz w:val="18"/>
                <w:szCs w:val="18"/>
              </w:rPr>
            </w:pPr>
            <w:r>
              <w:rPr>
                <w:rFonts w:ascii="Times New Roman"/>
                <w:sz w:val="18"/>
              </w:rPr>
              <w:t>0</w:t>
            </w:r>
          </w:p>
        </w:tc>
        <w:tc>
          <w:tcPr>
            <w:tcW w:w="1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1,860,000</w:t>
            </w:r>
          </w:p>
        </w:tc>
        <w:tc>
          <w:tcPr>
            <w:tcW w:w="851" w:type="dxa"/>
            <w:gridSpan w:val="3"/>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4"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3"/>
            <w:vMerge w:val="restart"/>
            <w:tcBorders>
              <w:top w:val="single" w:sz="4" w:space="0" w:color="000000"/>
              <w:left w:val="single" w:sz="10" w:space="0" w:color="D2D2D2"/>
              <w:right w:val="single" w:sz="4" w:space="0" w:color="000000"/>
            </w:tcBorders>
          </w:tcPr>
          <w:p>
            <w:pPr>
              <w:pStyle w:val="TableParagraph"/>
              <w:spacing w:line="309" w:lineRule="auto" w:before="52"/>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上述股东中，余荣清为本公司控股股东、实际控制人；余荣清与自然人股东兰山英系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夫妻关系，余仲清为余荣清的哥哥，余荣清、兰山英、余仲清系一致行动人；余荣清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持有苏州恒久荣盛科技投资有限公司</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88%</w:t>
            </w:r>
            <w:r>
              <w:rPr>
                <w:rFonts w:ascii="宋体" w:hAnsi="宋体" w:cs="宋体" w:eastAsia="宋体" w:hint="default"/>
                <w:spacing w:val="-3"/>
                <w:sz w:val="18"/>
                <w:szCs w:val="18"/>
              </w:rPr>
              <w:t>股权，兰山英持有苏州恒久荣盛科技投资有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r>
              <w:rPr>
                <w:rFonts w:ascii="宋体" w:hAnsi="宋体" w:cs="宋体" w:eastAsia="宋体" w:hint="default"/>
                <w:spacing w:val="-30"/>
                <w:sz w:val="18"/>
                <w:szCs w:val="18"/>
              </w:rPr>
              <w:t> </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股权。除此之外，公司未知其他股东之间是否存在关联关系或属于一致行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动人。</w:t>
            </w:r>
          </w:p>
        </w:tc>
      </w:tr>
      <w:tr>
        <w:trPr>
          <w:trHeight w:val="703" w:hRule="exact"/>
        </w:trPr>
        <w:tc>
          <w:tcPr>
            <w:tcW w:w="28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3"/>
            <w:vMerge/>
            <w:tcBorders>
              <w:left w:val="single" w:sz="10" w:space="0" w:color="D2D2D2"/>
              <w:right w:val="single" w:sz="4" w:space="0" w:color="000000"/>
            </w:tcBorders>
          </w:tcPr>
          <w:p>
            <w:pPr/>
          </w:p>
        </w:tc>
      </w:tr>
      <w:tr>
        <w:trPr>
          <w:trHeight w:val="474"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3"/>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52"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7"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52"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6"/>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2" w:type="dxa"/>
            <w:gridSpan w:val="4"/>
            <w:vMerge/>
            <w:tcBorders>
              <w:left w:val="single" w:sz="4" w:space="0" w:color="000000"/>
              <w:bottom w:val="nil" w:sz="6" w:space="0" w:color="auto"/>
              <w:right w:val="single" w:sz="4" w:space="0" w:color="000000"/>
            </w:tcBorders>
            <w:shd w:val="clear" w:color="auto" w:fill="D2D2D2"/>
          </w:tcPr>
          <w:p>
            <w:pPr/>
          </w:p>
        </w:tc>
        <w:tc>
          <w:tcPr>
            <w:tcW w:w="3952" w:type="dxa"/>
            <w:gridSpan w:val="7"/>
            <w:vMerge/>
            <w:tcBorders>
              <w:left w:val="single" w:sz="4" w:space="0" w:color="000000"/>
              <w:bottom w:val="nil" w:sz="6" w:space="0" w:color="auto"/>
              <w:right w:val="single" w:sz="4" w:space="0" w:color="000000"/>
            </w:tcBorders>
            <w:shd w:val="clear" w:color="auto" w:fill="D2D2D2"/>
          </w:tcPr>
          <w:p>
            <w:pPr/>
          </w:p>
        </w:tc>
        <w:tc>
          <w:tcPr>
            <w:tcW w:w="13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4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52"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gridSpan w:val="3"/>
            <w:vMerge/>
            <w:tcBorders>
              <w:left w:val="single" w:sz="4" w:space="0" w:color="000000"/>
              <w:bottom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0" w:right="1139"/>
        <w:jc w:val="right"/>
      </w:pPr>
      <w:r>
        <w:rPr/>
        <w:pict>
          <v:shape style="position:absolute;margin-left:56.459999pt;margin-top:-299.968292pt;width:479.2pt;height:366.5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江苏省苏高新风险投资股份有限公 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5,837,180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5,837,180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黄解平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2,961,974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2,961,974</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刘畅</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2,921,860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2,921,860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姚真明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马思行</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2,211,807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2,211,807</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叶晓明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刘瑜</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苏州亨通永源创业投资企业（有限合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1,280,080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北京邦诺投资管理中心（有限合伙）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1,280,020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1,225,800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1,225,800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名无限售流通股股东中，刘瑜与陈亮系母子关系，除上述股东外，公司未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知其他股东之间是否存在关联关系或属于一致行动人，也未知前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名股东之间是否存在关联关系或属于一致行动人，也未知前述股东是否 属于《上市公司收购管理办法》中规定的一致行动人。</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境</w:t>
                        </w:r>
                        <w:r>
                          <w:rPr>
                            <w:rFonts w:ascii="宋体" w:hAnsi="宋体" w:cs="宋体" w:eastAsia="宋体" w:hint="default"/>
                            <w:spacing w:val="1"/>
                            <w:sz w:val="18"/>
                            <w:szCs w:val="18"/>
                          </w:rPr>
                          <w:t>内</w:t>
                        </w:r>
                        <w:r>
                          <w:rPr>
                            <w:rFonts w:ascii="宋体" w:hAnsi="宋体" w:cs="宋体" w:eastAsia="宋体" w:hint="default"/>
                            <w:sz w:val="18"/>
                            <w:szCs w:val="18"/>
                          </w:rPr>
                          <w:t>自然人股东黄解平通过信用证券账户持有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2,961,974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2,961,974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股；境内自然人股东刘畅通过信用证券账户持有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2,921,860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2,921,860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股；境内自然人股东马思行通过普通证券账户持有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股，另通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过信用证券账户持有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2,138,807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2,211,807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2"/>
        <w:jc w:val="left"/>
      </w:pPr>
      <w:r>
        <w:rPr/>
        <w:pict>
          <v:group style="position:absolute;margin-left:326.320007pt;margin-top:90.361694pt;width:87.9pt;height:61pt;mso-position-horizontal-relative:page;mso-position-vertical-relative:paragraph;z-index:-832504" coordorigin="6526,1807" coordsize="1758,1220">
            <v:group style="position:absolute;left:6538;top:1819;width:2;height:393" coordorigin="6538,1819" coordsize="2,393">
              <v:shape style="position:absolute;left:6538;top:1819;width:2;height:393" coordorigin="6538,1819" coordsize="0,393" path="m6538,1819l6538,2211e" filled="false" stroked="true" strokeweight="1.140pt" strokecolor="#ffffff">
                <v:path arrowok="t"/>
              </v:shape>
            </v:group>
            <v:group style="position:absolute;left:6549;top:1819;width:1735;height:393" coordorigin="6549,1819" coordsize="1735,393">
              <v:shape style="position:absolute;left:6549;top:1819;width:1735;height:393" coordorigin="6549,1819" coordsize="1735,393" path="m6549,2211l8284,2211,8284,1819,6549,1819,6549,2211xe" filled="true" fillcolor="#ffffff" stroked="false">
                <v:path arrowok="t"/>
                <v:fill type="solid"/>
              </v:shape>
            </v:group>
            <v:group style="position:absolute;left:6538;top:2221;width:2;height:393" coordorigin="6538,2221" coordsize="2,393">
              <v:shape style="position:absolute;left:6538;top:2221;width:2;height:393" coordorigin="6538,2221" coordsize="0,393" path="m6538,2221l6538,2613e" filled="false" stroked="true" strokeweight="1.140pt" strokecolor="#ffffff">
                <v:path arrowok="t"/>
              </v:shape>
            </v:group>
            <v:group style="position:absolute;left:6549;top:2221;width:1735;height:393" coordorigin="6549,2221" coordsize="1735,393">
              <v:shape style="position:absolute;left:6549;top:2221;width:1735;height:393" coordorigin="6549,2221" coordsize="1735,393" path="m6549,2613l8284,2613,8284,2221,6549,2221,6549,2613xe" filled="true" fillcolor="#ffffff" stroked="false">
                <v:path arrowok="t"/>
                <v:fill type="solid"/>
              </v:shape>
            </v:group>
            <v:group style="position:absolute;left:6538;top:2623;width:2;height:393" coordorigin="6538,2623" coordsize="2,393">
              <v:shape style="position:absolute;left:6538;top:2623;width:2;height:393" coordorigin="6538,2623" coordsize="0,393" path="m6538,2623l6538,3015e" filled="false" stroked="true" strokeweight="1.140pt" strokecolor="#ffffff">
                <v:path arrowok="t"/>
              </v:shape>
            </v:group>
            <v:group style="position:absolute;left:6549;top:2623;width:1735;height:393" coordorigin="6549,2623" coordsize="1735,393">
              <v:shape style="position:absolute;left:6549;top:2623;width:1735;height:393" coordorigin="6549,2623" coordsize="1735,393" path="m6549,3015l8284,3015,8284,2623,6549,2623,6549,3015xe" filled="true" fillcolor="#ffffff" stroked="false">
                <v:path arrowok="t"/>
                <v:fill type="solid"/>
              </v:shape>
            </v:group>
            <w10:wrap type="none"/>
          </v:group>
        </w:pict>
      </w: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996"/>
        <w:gridCol w:w="1790"/>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8"/>
              <w:jc w:val="right"/>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余荣清</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8"/>
              <w:jc w:val="righ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兰山英</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tabs>
                <w:tab w:pos="709" w:val="left" w:leader="none"/>
              </w:tabs>
              <w:spacing w:line="240" w:lineRule="auto" w:before="51"/>
              <w:ind w:left="-123" w:right="708"/>
              <w:jc w:val="right"/>
              <w:rPr>
                <w:rFonts w:ascii="宋体" w:hAnsi="宋体" w:cs="宋体" w:eastAsia="宋体" w:hint="default"/>
                <w:sz w:val="18"/>
                <w:szCs w:val="18"/>
              </w:rPr>
            </w:pPr>
            <w:r>
              <w:rPr>
                <w:rFonts w:ascii="宋体" w:hAnsi="宋体" w:cs="宋体" w:eastAsia="宋体" w:hint="default"/>
                <w:sz w:val="18"/>
                <w:szCs w:val="18"/>
              </w:rPr>
              <w:t>）</w:t>
              <w:tab/>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余仲清</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tabs>
                <w:tab w:pos="709" w:val="left" w:leader="none"/>
              </w:tabs>
              <w:spacing w:line="240" w:lineRule="auto" w:before="51"/>
              <w:ind w:left="-123" w:right="708"/>
              <w:jc w:val="right"/>
              <w:rPr>
                <w:rFonts w:ascii="宋体" w:hAnsi="宋体" w:cs="宋体" w:eastAsia="宋体" w:hint="default"/>
                <w:sz w:val="18"/>
                <w:szCs w:val="18"/>
              </w:rPr>
            </w:pPr>
            <w:r>
              <w:rPr>
                <w:rFonts w:ascii="宋体" w:hAnsi="宋体" w:cs="宋体" w:eastAsia="宋体" w:hint="default"/>
                <w:sz w:val="18"/>
                <w:szCs w:val="18"/>
              </w:rPr>
              <w:t>）</w:t>
              <w:tab/>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孙忠良</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tabs>
                <w:tab w:pos="709" w:val="left" w:leader="none"/>
              </w:tabs>
              <w:spacing w:line="240" w:lineRule="auto" w:before="51"/>
              <w:ind w:left="-123" w:right="708"/>
              <w:jc w:val="right"/>
              <w:rPr>
                <w:rFonts w:ascii="宋体" w:hAnsi="宋体" w:cs="宋体" w:eastAsia="宋体" w:hint="default"/>
                <w:sz w:val="18"/>
                <w:szCs w:val="18"/>
              </w:rPr>
            </w:pPr>
            <w:r>
              <w:rPr>
                <w:rFonts w:ascii="宋体" w:hAnsi="宋体" w:cs="宋体" w:eastAsia="宋体" w:hint="default"/>
                <w:sz w:val="18"/>
                <w:szCs w:val="18"/>
              </w:rPr>
              <w:t>）</w:t>
              <w:tab/>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余荣清任公司董事长、总经理；兰山英任公司董事、副总经理；余仲清任公司董事、行政管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理部副经理；孙忠良在公司任销售经理。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16"/>
          <w:szCs w:val="16"/>
        </w:rPr>
      </w:pPr>
    </w:p>
    <w:p>
      <w:pPr>
        <w:spacing w:line="3996" w:lineRule="exact"/>
        <w:ind w:left="2007"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3764724" cy="253774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3764724" cy="2537745"/>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10"/>
        <w:rPr>
          <w:rFonts w:ascii="宋体" w:hAnsi="宋体" w:cs="宋体" w:eastAsia="宋体" w:hint="default"/>
          <w:sz w:val="14"/>
          <w:szCs w:val="14"/>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00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474"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852"/>
        <w:gridCol w:w="1276"/>
        <w:gridCol w:w="548"/>
        <w:gridCol w:w="444"/>
        <w:gridCol w:w="426"/>
        <w:gridCol w:w="1523"/>
        <w:gridCol w:w="1595"/>
        <w:gridCol w:w="993"/>
        <w:gridCol w:w="566"/>
        <w:gridCol w:w="568"/>
        <w:gridCol w:w="566"/>
        <w:gridCol w:w="994"/>
      </w:tblGrid>
      <w:tr>
        <w:trPr>
          <w:trHeight w:val="164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75,886,080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75,886,080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13,994,667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13,994,667</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808,200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808,200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2,099,200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2,099,200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朱雪珍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潘晓珍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高钟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魏先锋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徐才英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孙仕杰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6"/>
                <w:sz w:val="18"/>
                <w:szCs w:val="18"/>
              </w:rPr>
              <w:t>副总经理、董事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会秘书、财务负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责人</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赵同双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施雄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92,788,147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92,788,147</w:t>
            </w:r>
          </w:p>
        </w:tc>
      </w:tr>
    </w:tbl>
    <w:p>
      <w:pPr>
        <w:spacing w:line="240" w:lineRule="auto" w:before="2"/>
        <w:rPr>
          <w:rFonts w:ascii="宋体" w:hAnsi="宋体" w:cs="宋体" w:eastAsia="宋体" w:hint="default"/>
          <w:b/>
          <w:bCs/>
          <w:sz w:val="18"/>
          <w:szCs w:val="18"/>
        </w:rPr>
      </w:pPr>
    </w:p>
    <w:p>
      <w:pPr>
        <w:pStyle w:val="Heading2"/>
        <w:spacing w:line="240" w:lineRule="auto" w:before="26"/>
        <w:ind w:left="47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4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66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674"/>
        <w:gridCol w:w="290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1"/>
              <w:jc w:val="right"/>
              <w:rPr>
                <w:rFonts w:ascii="宋体" w:hAnsi="宋体" w:cs="宋体" w:eastAsia="宋体" w:hint="default"/>
                <w:sz w:val="18"/>
                <w:szCs w:val="18"/>
              </w:rPr>
            </w:pPr>
            <w:r>
              <w:rPr>
                <w:rFonts w:ascii="宋体" w:hAnsi="宋体" w:cs="宋体" w:eastAsia="宋体" w:hint="default"/>
                <w:sz w:val="18"/>
                <w:szCs w:val="18"/>
              </w:rPr>
              <w:t>日期</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赵同双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公司现任董事、监事、高级管理人员专业背景、主要工作经历以及目前在公司的主要职责</w:t>
      </w:r>
    </w:p>
    <w:p>
      <w:pPr>
        <w:spacing w:line="514" w:lineRule="exact" w:before="54"/>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（一）董事会成员简介</w:t>
      </w:r>
      <w:r>
        <w:rPr>
          <w:rFonts w:ascii="宋体" w:hAnsi="宋体" w:cs="宋体" w:eastAsia="宋体" w:hint="default"/>
          <w:b/>
          <w:bCs/>
          <w:w w:val="99"/>
          <w:sz w:val="18"/>
          <w:szCs w:val="18"/>
        </w:rPr>
        <w:t> </w:t>
      </w:r>
      <w:r>
        <w:rPr>
          <w:rFonts w:ascii="宋体" w:hAnsi="宋体" w:cs="宋体" w:eastAsia="宋体" w:hint="default"/>
          <w:b/>
          <w:bCs/>
          <w:spacing w:val="-4"/>
          <w:sz w:val="18"/>
          <w:szCs w:val="18"/>
        </w:rPr>
        <w:t>余荣清：</w:t>
      </w:r>
      <w:r>
        <w:rPr>
          <w:rFonts w:ascii="宋体" w:hAnsi="宋体" w:cs="宋体" w:eastAsia="宋体" w:hint="default"/>
          <w:spacing w:val="-4"/>
          <w:sz w:val="18"/>
          <w:szCs w:val="18"/>
        </w:rPr>
        <w:t>男，</w:t>
      </w:r>
      <w:r>
        <w:rPr>
          <w:rFonts w:ascii="Times New Roman" w:hAnsi="Times New Roman" w:cs="Times New Roman" w:eastAsia="Times New Roman" w:hint="default"/>
          <w:spacing w:val="-4"/>
          <w:sz w:val="18"/>
          <w:szCs w:val="18"/>
        </w:rPr>
        <w:t>1967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月出生，中国国籍，无境外永久居留权，理学博士。余荣清先生曾在厦门大学化学系学习与工作，</w:t>
      </w:r>
    </w:p>
    <w:p>
      <w:pPr>
        <w:pStyle w:val="BodyText"/>
        <w:spacing w:line="355" w:lineRule="auto" w:before="45"/>
        <w:ind w:right="1131"/>
        <w:jc w:val="both"/>
      </w:pPr>
      <w:r>
        <w:rPr>
          <w:spacing w:val="-2"/>
        </w:rPr>
        <w:t>先后获理学学士和硕士学位，并留校任讲师从事教学和科研工作，后赴新加坡国立大学深造，并获理学博士学位。博士毕业</w:t>
      </w:r>
      <w:r>
        <w:rPr>
          <w:spacing w:val="-66"/>
        </w:rPr>
        <w:t> </w:t>
      </w:r>
      <w:r>
        <w:rPr>
          <w:spacing w:val="-66"/>
        </w:rPr>
      </w:r>
      <w:r>
        <w:rPr>
          <w:spacing w:val="-2"/>
        </w:rPr>
        <w:t>后，余荣清先生加入三菱信息电子公司，从事研发及生产制程的技术管理工作。</w:t>
      </w:r>
      <w:r>
        <w:rPr>
          <w:rFonts w:ascii="Times New Roman" w:hAnsi="Times New Roman" w:cs="Times New Roman" w:eastAsia="Times New Roman" w:hint="default"/>
          <w:spacing w:val="-2"/>
        </w:rPr>
        <w:t>2002</w:t>
      </w:r>
      <w:r>
        <w:rPr>
          <w:spacing w:val="-2"/>
        </w:rPr>
        <w:t>年，余荣清先生回国创建本公司，现任</w:t>
      </w:r>
      <w:r>
        <w:rPr>
          <w:spacing w:val="-62"/>
        </w:rPr>
        <w:t> </w:t>
      </w:r>
      <w:r>
        <w:rPr>
          <w:spacing w:val="-62"/>
        </w:rPr>
      </w:r>
      <w:r>
        <w:rPr/>
        <w:t>公司董事长兼总经理。</w:t>
      </w:r>
    </w:p>
    <w:p>
      <w:pPr>
        <w:pStyle w:val="BodyText"/>
        <w:spacing w:line="364" w:lineRule="auto" w:before="37"/>
        <w:ind w:right="1133" w:firstLine="360"/>
        <w:jc w:val="both"/>
      </w:pPr>
      <w:r>
        <w:rPr>
          <w:spacing w:val="-2"/>
        </w:rPr>
        <w:t>余荣清博士对有机光电材料、碳纳米材料深有研究，是国内较早进行此方面研究的人员之一，曾在国际重点学术刊物发</w:t>
      </w:r>
      <w:r>
        <w:rPr/>
        <w:t> 表论文，有多篇论文被</w:t>
      </w:r>
      <w:r>
        <w:rPr>
          <w:rFonts w:ascii="宋体" w:hAnsi="宋体" w:cs="宋体" w:eastAsia="宋体" w:hint="default"/>
        </w:rPr>
        <w:t>SCI</w:t>
      </w:r>
      <w:r>
        <w:rPr/>
        <w:t>收录。余荣清先生是全国复印机械标准化技术委员会副主任委员，先后参与多项国家标准与行业 标准的制订工作。</w:t>
      </w:r>
    </w:p>
    <w:p>
      <w:pPr>
        <w:pStyle w:val="BodyText"/>
        <w:spacing w:line="364" w:lineRule="auto" w:before="29"/>
        <w:ind w:right="1139" w:firstLine="360"/>
        <w:jc w:val="both"/>
      </w:pPr>
      <w:r>
        <w:rPr/>
        <w:t>余荣清博士先后获得“国家科技创新创业人才”、“江苏省新长征突击手”、江苏省“</w:t>
      </w:r>
      <w:r>
        <w:rPr>
          <w:rFonts w:ascii="宋体" w:hAnsi="宋体" w:cs="宋体" w:eastAsia="宋体" w:hint="default"/>
        </w:rPr>
        <w:t>333</w:t>
      </w:r>
      <w:r>
        <w:rPr/>
        <w:t>高层次人才培养工程首批中 青年科学技术带头人”、 “十五江苏省技术进步先进工作者”、“第八届江苏省优秀科技工作者”、“江苏省首批高层次 创新创业拨尖人才”等荣誉，任苏州市政协第十四届委员会委员。</w:t>
      </w:r>
    </w:p>
    <w:p>
      <w:pPr>
        <w:pStyle w:val="BodyText"/>
        <w:spacing w:line="345" w:lineRule="auto" w:before="29"/>
        <w:ind w:right="1130" w:firstLine="361"/>
        <w:jc w:val="both"/>
      </w:pPr>
      <w:r>
        <w:rPr>
          <w:rFonts w:ascii="宋体" w:hAnsi="宋体" w:cs="宋体" w:eastAsia="宋体" w:hint="default"/>
          <w:b/>
          <w:bCs/>
          <w:spacing w:val="-2"/>
        </w:rPr>
        <w:t>兰山英：</w:t>
      </w:r>
      <w:r>
        <w:rPr>
          <w:spacing w:val="-2"/>
        </w:rPr>
        <w:t>女，</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12</w:t>
      </w:r>
      <w:r>
        <w:rPr>
          <w:spacing w:val="-2"/>
        </w:rPr>
        <w:t>月出生，中国国籍，无境外永久居留权，本科学历，毕业于厦门大学中文系。曾先后在厦门和新</w:t>
      </w:r>
      <w:r>
        <w:rPr/>
        <w:t> 加坡从事行政管理、贸易及杂志出版等工作。</w:t>
      </w:r>
      <w:r>
        <w:rPr>
          <w:rFonts w:ascii="Times New Roman" w:hAnsi="Times New Roman" w:cs="Times New Roman" w:eastAsia="Times New Roman" w:hint="default"/>
        </w:rPr>
        <w:t>2002</w:t>
      </w:r>
      <w:r>
        <w:rPr/>
        <w:t>年至今任职于本公司，现为公司董事、副总经理。</w:t>
      </w:r>
    </w:p>
    <w:p>
      <w:pPr>
        <w:pStyle w:val="BodyText"/>
        <w:spacing w:line="345" w:lineRule="auto" w:before="22"/>
        <w:ind w:right="1132" w:firstLine="361"/>
        <w:jc w:val="both"/>
      </w:pPr>
      <w:r>
        <w:rPr>
          <w:rFonts w:ascii="宋体" w:hAnsi="宋体" w:cs="宋体" w:eastAsia="宋体" w:hint="default"/>
          <w:b/>
          <w:bCs/>
        </w:rPr>
        <w:t>张培兴：</w:t>
      </w:r>
      <w:r>
        <w:rPr/>
        <w:t>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w:t>
      </w:r>
      <w:r>
        <w:rPr/>
        <w:t>月出生，中国国籍，无境外永久居留权，本科学历，毕业于四川大学化学系。曾先后在江苏泰州 </w:t>
      </w:r>
      <w:r>
        <w:rPr>
          <w:spacing w:val="-2"/>
        </w:rPr>
        <w:t>微生物化学制药厂、开封赵州桥生物化学厂等单位工作，担任过总工程师、副厂长、副总经理等职务。</w:t>
      </w:r>
      <w:r>
        <w:rPr>
          <w:rFonts w:ascii="Times New Roman" w:hAnsi="Times New Roman" w:cs="Times New Roman" w:eastAsia="Times New Roman" w:hint="default"/>
          <w:spacing w:val="-2"/>
        </w:rPr>
        <w:t>2002</w:t>
      </w:r>
      <w:r>
        <w:rPr>
          <w:spacing w:val="-2"/>
        </w:rPr>
        <w:t>年至今任职于本</w:t>
      </w:r>
      <w:r>
        <w:rPr>
          <w:spacing w:val="-61"/>
        </w:rPr>
        <w:t> </w:t>
      </w:r>
      <w:r>
        <w:rPr/>
        <w:t>公司，现为公司董事、副总经理。</w:t>
      </w:r>
    </w:p>
    <w:p>
      <w:pPr>
        <w:pStyle w:val="BodyText"/>
        <w:spacing w:line="345" w:lineRule="auto"/>
        <w:ind w:right="1136" w:firstLine="361"/>
        <w:jc w:val="both"/>
      </w:pPr>
      <w:r>
        <w:rPr>
          <w:rFonts w:ascii="宋体" w:hAnsi="宋体" w:cs="宋体" w:eastAsia="宋体" w:hint="default"/>
          <w:b/>
          <w:bCs/>
        </w:rPr>
        <w:t>余仲清：</w:t>
      </w:r>
      <w:r>
        <w:rPr/>
        <w:t>男，</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7</w:t>
      </w:r>
      <w:r>
        <w:rPr/>
        <w:t>月，中国国籍，无境外永久居留权。余仲清先生先后在张家港德丰租赁站和张家港市天铭纺织印 染有限公司从事行政后勤管理工作。</w:t>
      </w:r>
      <w:r>
        <w:rPr>
          <w:rFonts w:ascii="Times New Roman" w:hAnsi="Times New Roman" w:cs="Times New Roman" w:eastAsia="Times New Roman" w:hint="default"/>
        </w:rPr>
        <w:t>2004</w:t>
      </w:r>
      <w:r>
        <w:rPr/>
        <w:t>年至今任职于本公司，现为公司董事、行政管理部副经理。</w:t>
      </w:r>
    </w:p>
    <w:p>
      <w:pPr>
        <w:pStyle w:val="BodyText"/>
        <w:spacing w:line="345" w:lineRule="auto" w:before="22"/>
        <w:ind w:right="1041" w:firstLine="361"/>
        <w:jc w:val="both"/>
      </w:pPr>
      <w:r>
        <w:rPr>
          <w:rFonts w:ascii="宋体" w:hAnsi="宋体" w:cs="宋体" w:eastAsia="宋体" w:hint="default"/>
          <w:b/>
          <w:bCs/>
          <w:spacing w:val="-4"/>
        </w:rPr>
        <w:t>李建康：</w:t>
      </w:r>
      <w:r>
        <w:rPr>
          <w:spacing w:val="-4"/>
        </w:rPr>
        <w:t>男，</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10</w:t>
      </w:r>
      <w:r>
        <w:rPr>
          <w:spacing w:val="-4"/>
        </w:rPr>
        <w:t>月出生，中国国籍，无境外永久居留权，获西安交通大学微电子学与固体电子学博士学位，教授。</w:t>
      </w:r>
      <w:r>
        <w:rPr/>
        <w:t> 曾先后在太原理工大学、苏州科技学院任教；</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月至今在苏州市职业大学任教。现为公司独立董事。</w:t>
      </w:r>
    </w:p>
    <w:p>
      <w:pPr>
        <w:pStyle w:val="BodyText"/>
        <w:spacing w:line="345" w:lineRule="auto" w:before="22"/>
        <w:ind w:right="1136" w:firstLine="361"/>
        <w:jc w:val="both"/>
      </w:pPr>
      <w:r>
        <w:rPr>
          <w:rFonts w:ascii="宋体" w:hAnsi="宋体" w:cs="宋体" w:eastAsia="宋体" w:hint="default"/>
          <w:b/>
          <w:bCs/>
        </w:rPr>
        <w:t>朱雪珍：</w:t>
      </w:r>
      <w:r>
        <w:rPr/>
        <w:t>女</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5</w:t>
      </w:r>
      <w:r>
        <w:rPr/>
        <w:t>月出生，中国国籍</w:t>
      </w:r>
      <w:r>
        <w:rPr>
          <w:rFonts w:ascii="Times New Roman" w:hAnsi="Times New Roman" w:cs="Times New Roman" w:eastAsia="Times New Roman" w:hint="default"/>
        </w:rPr>
        <w:t>,</w:t>
      </w:r>
      <w:r>
        <w:rPr/>
        <w:t>无境外永久居留权</w:t>
      </w:r>
      <w:r>
        <w:rPr>
          <w:rFonts w:ascii="Times New Roman" w:hAnsi="Times New Roman" w:cs="Times New Roman" w:eastAsia="Times New Roman" w:hint="default"/>
        </w:rPr>
        <w:t>,</w:t>
      </w:r>
      <w:r>
        <w:rPr/>
        <w:t>获复旦大学经济学硕士学位</w:t>
      </w:r>
      <w:r>
        <w:rPr>
          <w:rFonts w:ascii="Times New Roman" w:hAnsi="Times New Roman" w:cs="Times New Roman" w:eastAsia="Times New Roman" w:hint="default"/>
        </w:rPr>
        <w:t>,</w:t>
      </w:r>
      <w:r>
        <w:rPr/>
        <w:t>副教授。曾任苏州丝绸工学院实 验总厂工程师、主办会计；</w:t>
      </w:r>
      <w:r>
        <w:rPr>
          <w:rFonts w:ascii="Times New Roman" w:hAnsi="Times New Roman" w:cs="Times New Roman" w:eastAsia="Times New Roman" w:hint="default"/>
        </w:rPr>
        <w:t>1998</w:t>
      </w:r>
      <w:r>
        <w:rPr/>
        <w:t>年至今于苏州大学东吴商学院任教。现为公司独立董事。</w:t>
      </w:r>
    </w:p>
    <w:p>
      <w:pPr>
        <w:pStyle w:val="BodyText"/>
        <w:spacing w:line="345" w:lineRule="auto" w:before="22"/>
        <w:ind w:right="1132" w:firstLine="361"/>
        <w:jc w:val="both"/>
      </w:pPr>
      <w:r>
        <w:rPr>
          <w:rFonts w:ascii="宋体" w:hAnsi="宋体" w:cs="宋体" w:eastAsia="宋体" w:hint="default"/>
          <w:b/>
          <w:bCs/>
        </w:rPr>
        <w:t>潘晓珍：</w:t>
      </w:r>
      <w:r>
        <w:rPr/>
        <w:t>女，</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10</w:t>
      </w:r>
      <w:r>
        <w:rPr/>
        <w:t>月出生，中国国籍，无境外永久居留权</w:t>
      </w:r>
      <w:r>
        <w:rPr>
          <w:rFonts w:ascii="Times New Roman" w:hAnsi="Times New Roman" w:cs="Times New Roman" w:eastAsia="Times New Roman" w:hint="default"/>
        </w:rPr>
        <w:t>,</w:t>
      </w:r>
      <w:r>
        <w:rPr/>
        <w:t>获苏州大学法学博士学位，兼职律师，副教授。曾任安 </w:t>
      </w:r>
      <w:r>
        <w:rPr>
          <w:spacing w:val="-2"/>
        </w:rPr>
        <w:t>徽教育学院黄山分校（休宁师范学校）讲师；</w:t>
      </w:r>
      <w:r>
        <w:rPr>
          <w:rFonts w:ascii="Times New Roman" w:hAnsi="Times New Roman" w:cs="Times New Roman" w:eastAsia="Times New Roman" w:hint="default"/>
          <w:spacing w:val="-2"/>
        </w:rPr>
        <w:t>1996</w:t>
      </w:r>
      <w:r>
        <w:rPr>
          <w:spacing w:val="-2"/>
        </w:rPr>
        <w:t>年至今于苏州大学政治与公共管理学院任教，兼任苏州市法学会会员、江</w:t>
      </w:r>
      <w:r>
        <w:rPr>
          <w:spacing w:val="-62"/>
        </w:rPr>
        <w:t> </w:t>
      </w:r>
      <w:r>
        <w:rPr>
          <w:spacing w:val="-62"/>
        </w:rPr>
      </w:r>
      <w:r>
        <w:rPr/>
        <w:t>苏百年东吴律师事务所律师等职务。现为公司独立董事。</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（二）监事会成员简介</w:t>
      </w:r>
      <w:r>
        <w:rPr>
          <w:b w:val="0"/>
          <w:bCs w:val="0"/>
        </w:rPr>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b/>
          <w:bCs/>
          <w:sz w:val="23"/>
          <w:szCs w:val="23"/>
        </w:rPr>
      </w:pPr>
    </w:p>
    <w:p>
      <w:pPr>
        <w:pStyle w:val="BodyText"/>
        <w:spacing w:line="355" w:lineRule="auto"/>
        <w:ind w:right="1131" w:firstLine="361"/>
        <w:jc w:val="both"/>
      </w:pPr>
      <w:r>
        <w:rPr>
          <w:rFonts w:ascii="宋体" w:hAnsi="宋体" w:cs="宋体" w:eastAsia="宋体" w:hint="default"/>
          <w:b/>
          <w:bCs/>
        </w:rPr>
        <w:t>高钟：</w:t>
      </w:r>
      <w:r>
        <w:rPr/>
        <w:t>男，</w:t>
      </w:r>
      <w:r>
        <w:rPr>
          <w:rFonts w:ascii="Times New Roman" w:hAnsi="Times New Roman" w:cs="Times New Roman" w:eastAsia="Times New Roman" w:hint="default"/>
        </w:rPr>
        <w:t>1952</w:t>
      </w:r>
      <w:r>
        <w:rPr/>
        <w:t>年</w:t>
      </w:r>
      <w:r>
        <w:rPr>
          <w:rFonts w:ascii="Times New Roman" w:hAnsi="Times New Roman" w:cs="Times New Roman" w:eastAsia="Times New Roman" w:hint="default"/>
        </w:rPr>
        <w:t>8</w:t>
      </w:r>
      <w:r>
        <w:rPr/>
        <w:t>月出生，中国国籍，无境外永久居留权，获华中师范大学历史学博士学位。曾任湖北电视大学冶钢 </w:t>
      </w:r>
      <w:r>
        <w:rPr>
          <w:spacing w:val="-2"/>
        </w:rPr>
        <w:t>集团分校助教、讲师，湖北省冶钢集团劳服科技有限公司董事长，湖北师范大学政法经济系副教授、教授，苏州科技大学人</w:t>
      </w:r>
      <w:r>
        <w:rPr>
          <w:spacing w:val="-65"/>
        </w:rPr>
        <w:t> </w:t>
      </w:r>
      <w:r>
        <w:rPr>
          <w:spacing w:val="-65"/>
        </w:rPr>
      </w:r>
      <w:r>
        <w:rPr/>
        <w:t>文学院社会学系教授。现任苏州市吴中区仁慧社会工作服务中心中心督导。现为公司监事。</w:t>
      </w:r>
    </w:p>
    <w:p>
      <w:pPr>
        <w:pStyle w:val="BodyText"/>
        <w:spacing w:line="345" w:lineRule="auto" w:before="37"/>
        <w:ind w:right="1130" w:firstLine="361"/>
        <w:jc w:val="both"/>
      </w:pPr>
      <w:r>
        <w:rPr>
          <w:rFonts w:ascii="宋体" w:hAnsi="宋体" w:cs="宋体" w:eastAsia="宋体" w:hint="default"/>
          <w:b/>
          <w:bCs/>
          <w:spacing w:val="-2"/>
        </w:rPr>
        <w:t>魏先锋：</w:t>
      </w:r>
      <w:r>
        <w:rPr>
          <w:spacing w:val="-2"/>
        </w:rPr>
        <w:t>男，</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11</w:t>
      </w:r>
      <w:r>
        <w:rPr>
          <w:spacing w:val="-2"/>
        </w:rPr>
        <w:t>月出生，中国国籍，无境外永久居留权，本科学历，毕业于安徽工业大学。曾任华硕电脑集团百</w:t>
      </w:r>
      <w:r>
        <w:rPr/>
        <w:t> 硕电脑有限公司制程课工程师；</w:t>
      </w:r>
      <w:r>
        <w:rPr>
          <w:rFonts w:ascii="Times New Roman" w:hAnsi="Times New Roman" w:cs="Times New Roman" w:eastAsia="Times New Roman" w:hint="default"/>
        </w:rPr>
        <w:t>AEM</w:t>
      </w:r>
      <w:r>
        <w:rPr/>
        <w:t>科技（苏州）股份有限公司工艺工程师、主管、监事等职务；</w:t>
      </w:r>
      <w:r>
        <w:rPr>
          <w:rFonts w:ascii="Times New Roman" w:hAnsi="Times New Roman" w:cs="Times New Roman" w:eastAsia="Times New Roman" w:hint="default"/>
        </w:rPr>
        <w:t>2011</w:t>
      </w:r>
      <w:r>
        <w:rPr/>
        <w:t>年至今任职于本公 司，现为公司监事、制造管理部总监。</w:t>
      </w:r>
    </w:p>
    <w:p>
      <w:pPr>
        <w:pStyle w:val="BodyText"/>
        <w:spacing w:line="345" w:lineRule="auto"/>
        <w:ind w:right="1032" w:firstLine="361"/>
        <w:jc w:val="left"/>
      </w:pPr>
      <w:r>
        <w:rPr>
          <w:rFonts w:ascii="宋体" w:hAnsi="宋体" w:cs="宋体" w:eastAsia="宋体" w:hint="default"/>
          <w:b/>
          <w:bCs/>
        </w:rPr>
        <w:t>徐才英：</w:t>
      </w:r>
      <w:r>
        <w:rPr/>
        <w:t>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w:t>
      </w:r>
      <w:r>
        <w:rPr/>
        <w:t>月出生，中国国籍，无境外永久居留权，本科学历。先后任职于劲佳光电（昆山）有限公司、恩 而希光电（苏州）有限公司等公司，担任助理工程师和高级工程师等职务，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月至今任职于本公司，现为公司监事、 生产部副经理。</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（三）高级管理人员简介</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left="515" w:right="6069"/>
        <w:jc w:val="left"/>
      </w:pPr>
      <w:r>
        <w:rPr>
          <w:rFonts w:ascii="宋体" w:hAnsi="宋体" w:cs="宋体" w:eastAsia="宋体" w:hint="default"/>
          <w:b/>
          <w:bCs/>
        </w:rPr>
        <w:t>余荣清</w:t>
      </w:r>
      <w:r>
        <w:rPr/>
        <w:t>：现任公司总经理，详见董事主要工作经历。 </w:t>
      </w:r>
      <w:r>
        <w:rPr>
          <w:rFonts w:ascii="宋体" w:hAnsi="宋体" w:cs="宋体" w:eastAsia="宋体" w:hint="default"/>
          <w:b/>
          <w:bCs/>
        </w:rPr>
        <w:t>兰山英</w:t>
      </w:r>
      <w:r>
        <w:rPr/>
        <w:t>：现任公司副总经理，详见董事主要工作经历。 </w:t>
      </w:r>
      <w:r>
        <w:rPr>
          <w:rFonts w:ascii="宋体" w:hAnsi="宋体" w:cs="宋体" w:eastAsia="宋体" w:hint="default"/>
          <w:b/>
          <w:bCs/>
        </w:rPr>
        <w:t>张培兴</w:t>
      </w:r>
      <w:r>
        <w:rPr/>
        <w:t>：现任公司副总经理，详见董事主要工作经历。</w:t>
      </w:r>
    </w:p>
    <w:p>
      <w:pPr>
        <w:pStyle w:val="BodyText"/>
        <w:spacing w:line="355" w:lineRule="auto" w:before="29"/>
        <w:ind w:right="1129" w:firstLine="361"/>
        <w:jc w:val="both"/>
      </w:pPr>
      <w:r>
        <w:rPr>
          <w:rFonts w:ascii="宋体" w:hAnsi="宋体" w:cs="宋体" w:eastAsia="宋体" w:hint="default"/>
          <w:b/>
          <w:bCs/>
        </w:rPr>
        <w:t>孙仕杰</w:t>
      </w:r>
      <w:r>
        <w:rPr/>
        <w:t>：女，</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1</w:t>
      </w:r>
      <w:r>
        <w:rPr/>
        <w:t>月出生，中国国籍，无境外永久居留权，双专科学历，中国注册会计师。先后于苏州市嘉泰联合 </w:t>
      </w:r>
      <w:r>
        <w:rPr>
          <w:spacing w:val="-2"/>
        </w:rPr>
        <w:t>会计师事务所、江苏隆泰嘉信投资股份有限公司、法泰电器（江苏）股份有限公司任审计部审计经理、投资总监、董事会秘</w:t>
      </w:r>
      <w:r>
        <w:rPr>
          <w:spacing w:val="-67"/>
        </w:rPr>
        <w:t> </w:t>
      </w:r>
      <w:r>
        <w:rPr>
          <w:spacing w:val="-67"/>
        </w:rPr>
      </w:r>
      <w:r>
        <w:rPr/>
        <w:t>书等职务。</w:t>
      </w:r>
      <w:r>
        <w:rPr>
          <w:rFonts w:ascii="Times New Roman" w:hAnsi="Times New Roman" w:cs="Times New Roman" w:eastAsia="Times New Roman" w:hint="default"/>
        </w:rPr>
        <w:t>2016</w:t>
      </w:r>
      <w:r>
        <w:rPr/>
        <w:t>年至今任职于本公司，现为公司副总经理、董事会秘书、财务负责人。</w:t>
      </w:r>
    </w:p>
    <w:p>
      <w:pPr>
        <w:pStyle w:val="BodyText"/>
        <w:spacing w:line="355" w:lineRule="auto" w:before="14"/>
        <w:ind w:right="1133" w:firstLine="361"/>
        <w:jc w:val="both"/>
      </w:pPr>
      <w:r>
        <w:rPr>
          <w:rFonts w:ascii="宋体" w:hAnsi="宋体" w:cs="宋体" w:eastAsia="宋体" w:hint="default"/>
          <w:b/>
          <w:bCs/>
        </w:rPr>
        <w:t>施建豪</w:t>
      </w:r>
      <w:r>
        <w:rPr/>
        <w:t>：男，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月出生，中国国籍，无境外永久居留权，本科学历，高级经济师。先后于苏州开关厂、苏州阿尔 </w:t>
      </w:r>
      <w:r>
        <w:rPr>
          <w:spacing w:val="-2"/>
        </w:rPr>
        <w:t>斯通开关有限公司、苏州小羚羊电动车有限公司等公司历任厂办秘书、团委书记、合同执行科科长、生产部副经理、总经理</w:t>
      </w:r>
      <w:r>
        <w:rPr>
          <w:spacing w:val="-66"/>
        </w:rPr>
        <w:t> </w:t>
      </w:r>
      <w:r>
        <w:rPr>
          <w:spacing w:val="-66"/>
        </w:rPr>
      </w:r>
      <w:r>
        <w:rPr/>
        <w:t>等职务；</w:t>
      </w:r>
      <w:r>
        <w:rPr>
          <w:rFonts w:ascii="Times New Roman" w:hAnsi="Times New Roman" w:cs="Times New Roman" w:eastAsia="Times New Roman" w:hint="default"/>
        </w:rPr>
        <w:t>2012</w:t>
      </w:r>
      <w:r>
        <w:rPr/>
        <w:t>年至今任职于本公司，现为公司副总经理。</w:t>
      </w:r>
    </w:p>
    <w:p>
      <w:pPr>
        <w:pStyle w:val="BodyText"/>
        <w:spacing w:line="240" w:lineRule="auto" w:before="32"/>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707"/>
        <w:gridCol w:w="992"/>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苏州恒久荣盛科技投资有限公司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629"/>
        <w:gridCol w:w="9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5" w:right="24"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06"/>
              <w:jc w:val="left"/>
              <w:rPr>
                <w:rFonts w:ascii="Times New Roman" w:hAnsi="Times New Roman" w:cs="Times New Roman" w:eastAsia="Times New Roman" w:hint="default"/>
                <w:sz w:val="18"/>
                <w:szCs w:val="18"/>
              </w:rPr>
            </w:pPr>
            <w:r>
              <w:rPr>
                <w:rFonts w:ascii="Times New Roman"/>
                <w:sz w:val="18"/>
              </w:rPr>
              <w:t>GOLDENGREEN TECHNOLOGIES</w:t>
            </w:r>
            <w:r>
              <w:rPr>
                <w:rFonts w:ascii="Times New Roman"/>
                <w:spacing w:val="-6"/>
                <w:sz w:val="18"/>
              </w:rPr>
              <w:t> </w:t>
            </w:r>
            <w:r>
              <w:rPr>
                <w:rFonts w:ascii="Times New Roman"/>
                <w:sz w:val="18"/>
              </w:rPr>
              <w:t>EU</w:t>
            </w:r>
            <w:r>
              <w:rPr>
                <w:rFonts w:ascii="Times New Roman"/>
                <w:w w:val="99"/>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91"/>
              <w:jc w:val="left"/>
              <w:rPr>
                <w:rFonts w:ascii="Times New Roman" w:hAnsi="Times New Roman" w:cs="Times New Roman" w:eastAsia="Times New Roman" w:hint="default"/>
                <w:sz w:val="18"/>
                <w:szCs w:val="18"/>
              </w:rPr>
            </w:pPr>
            <w:r>
              <w:rPr>
                <w:rFonts w:ascii="Times New Roman"/>
                <w:sz w:val="18"/>
              </w:rPr>
              <w:t>GOLDENGREEN</w:t>
            </w:r>
            <w:r>
              <w:rPr>
                <w:rFonts w:ascii="Times New Roman"/>
                <w:spacing w:val="-6"/>
                <w:sz w:val="18"/>
              </w:rPr>
              <w:t> </w:t>
            </w:r>
            <w:r>
              <w:rPr>
                <w:rFonts w:ascii="Times New Roman"/>
                <w:sz w:val="18"/>
              </w:rPr>
              <w:t>TECHNOLOGIES</w:t>
            </w:r>
            <w:r>
              <w:rPr>
                <w:rFonts w:ascii="Times New Roman"/>
                <w:w w:val="99"/>
                <w:sz w:val="18"/>
              </w:rPr>
              <w:t> </w:t>
            </w:r>
            <w:r>
              <w:rPr>
                <w:rFonts w:ascii="Times New Roman"/>
                <w:sz w:val="18"/>
              </w:rPr>
              <w:t>INTERNATIONAL</w:t>
            </w:r>
            <w:r>
              <w:rPr>
                <w:rFonts w:ascii="Times New Roman"/>
                <w:spacing w:val="-29"/>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629"/>
        <w:gridCol w:w="961"/>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苏州市职业大学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朱雪珍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苏州大学东吴商学院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苏州大学政治与公共管理学院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苏州市法学会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会员</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江苏百年东吴律师事务所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兼职律师</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苏州市吴中区仁慧社会工作服务中心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中心督导</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苏州吴中恒久光电子科技有限公司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苏州恒久高新产业发展有限公司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both"/>
      </w:pPr>
      <w:r>
        <w:rPr/>
        <w:t>公司现任及报告期内离任董事、监事和高级管理人员近三年证券监管机构处罚的情况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79" w:lineRule="auto" w:before="0"/>
        <w:ind w:left="514" w:right="0" w:hanging="360"/>
        <w:jc w:val="left"/>
      </w:pPr>
      <w:r>
        <w:rPr/>
        <w:t>董事、监事、高级管理人员报酬的决策程序、确定依据、实际支付情况 </w:t>
      </w:r>
      <w:r>
        <w:rPr>
          <w:spacing w:val="-2"/>
        </w:rPr>
        <w:t>公司董事、监事、高级管理人员薪酬决策程序：公司董事薪酬（津贴）方案、高级管理人员薪酬方案由董事会薪酬与考</w:t>
      </w:r>
    </w:p>
    <w:p>
      <w:pPr>
        <w:pStyle w:val="BodyText"/>
        <w:spacing w:line="364" w:lineRule="auto" w:before="19"/>
        <w:ind w:right="1130"/>
        <w:jc w:val="both"/>
      </w:pPr>
      <w:r>
        <w:rPr>
          <w:spacing w:val="-2"/>
        </w:rPr>
        <w:t>核委员会拟定方案后，报经董事会审议。其中，董事薪酬（津贴）方案经董事会审议通过后，提交股东大会审议通过后方可</w:t>
      </w:r>
      <w:r>
        <w:rPr>
          <w:spacing w:val="-68"/>
        </w:rPr>
        <w:t> </w:t>
      </w:r>
      <w:r>
        <w:rPr>
          <w:spacing w:val="-68"/>
        </w:rPr>
      </w:r>
      <w:r>
        <w:rPr>
          <w:spacing w:val="-2"/>
        </w:rPr>
        <w:t>实施；公司高级管理人员的薪酬方案报董事会批准通过后方可实施。公司监事的薪酬方案报经监事会审议通过后，提交股东</w:t>
      </w:r>
      <w:r>
        <w:rPr>
          <w:spacing w:val="-66"/>
        </w:rPr>
        <w:t> </w:t>
      </w:r>
      <w:r>
        <w:rPr>
          <w:spacing w:val="-66"/>
        </w:rPr>
      </w:r>
      <w:r>
        <w:rPr/>
        <w:t>大会审议通过后方可实施。</w:t>
      </w:r>
    </w:p>
    <w:p>
      <w:pPr>
        <w:pStyle w:val="BodyText"/>
        <w:spacing w:line="364" w:lineRule="auto" w:before="29"/>
        <w:ind w:right="0" w:firstLine="360"/>
        <w:jc w:val="left"/>
      </w:pPr>
      <w:r>
        <w:rPr>
          <w:spacing w:val="-2"/>
        </w:rPr>
        <w:t>公司董事、监事、高级管理人员薪酬的确定依据：在公司任职的董事、监事和高级管理人员根据其行政岗位及职务，根</w:t>
      </w:r>
      <w:r>
        <w:rPr/>
        <w:t> 据公司现行的薪酬制度领取薪酬，结合行业薪酬水平及公司年度生产经营状况，依据个人履职情况确定。</w:t>
      </w:r>
    </w:p>
    <w:p>
      <w:pPr>
        <w:pStyle w:val="BodyText"/>
        <w:spacing w:line="364" w:lineRule="auto" w:before="29"/>
        <w:ind w:right="0" w:firstLine="360"/>
        <w:jc w:val="left"/>
      </w:pPr>
      <w:r>
        <w:rPr>
          <w:spacing w:val="-2"/>
        </w:rPr>
        <w:t>公司董事、监事、高级管理人员报酬的实际支付情况：严格按照董事、监事、高级管理人员薪酬的决策程序与确定依据</w:t>
      </w:r>
      <w:r>
        <w:rPr/>
        <w:t> 按月支付薪酬。独立董事津贴按年度支付。</w:t>
      </w:r>
    </w:p>
    <w:p>
      <w:pPr>
        <w:spacing w:line="240" w:lineRule="auto" w:before="1"/>
        <w:rPr>
          <w:rFonts w:ascii="宋体" w:hAnsi="宋体" w:cs="宋体" w:eastAsia="宋体" w:hint="default"/>
          <w:sz w:val="24"/>
          <w:szCs w:val="24"/>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余荣清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兰山英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张培兴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余仲清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朱雪珍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魏先锋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徐才英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孙仕杰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副总经理、董事 会秘书、财务负 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施建豪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bl>
    <w:p>
      <w:pPr>
        <w:spacing w:line="240" w:lineRule="auto" w:before="13"/>
        <w:rPr>
          <w:rFonts w:ascii="宋体" w:hAnsi="宋体" w:cs="宋体" w:eastAsia="宋体" w:hint="default"/>
          <w:b/>
          <w:bCs/>
          <w:sz w:val="20"/>
          <w:szCs w:val="20"/>
        </w:rPr>
      </w:pPr>
    </w:p>
    <w:p>
      <w:pPr>
        <w:pStyle w:val="Heading3"/>
        <w:spacing w:line="240" w:lineRule="auto" w:before="35"/>
        <w:ind w:left="576"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3"/>
        <w:rPr>
          <w:rFonts w:ascii="宋体" w:hAnsi="宋体" w:cs="宋体" w:eastAsia="宋体" w:hint="default"/>
          <w:b/>
          <w:bCs/>
          <w:sz w:val="29"/>
          <w:szCs w:val="29"/>
        </w:rPr>
      </w:pPr>
    </w:p>
    <w:p>
      <w:pPr>
        <w:pStyle w:val="BodyText"/>
        <w:spacing w:line="364" w:lineRule="auto" w:before="0"/>
        <w:ind w:right="1132" w:firstLine="360"/>
        <w:jc w:val="both"/>
      </w:pPr>
      <w:r>
        <w:rPr>
          <w:spacing w:val="-2"/>
        </w:rPr>
        <w:t>公司按照《中华人民共和国劳动合同法》和国家及地方其他有关劳动法律、法规的规定，与员工签订劳动合同，保障员</w:t>
      </w:r>
      <w:r>
        <w:rPr/>
        <w:t> </w:t>
      </w:r>
      <w:r>
        <w:rPr>
          <w:spacing w:val="-2"/>
        </w:rPr>
        <w:t>工权益。结合公司所在地区平均薪酬水平、员工岗位职责以及员工个人工作能力综合制定薪酬政策。公司及各子公司严格执</w:t>
      </w:r>
      <w:r>
        <w:rPr>
          <w:spacing w:val="-66"/>
        </w:rPr>
        <w:t> </w:t>
      </w:r>
      <w:r>
        <w:rPr>
          <w:spacing w:val="-66"/>
        </w:rPr>
      </w:r>
      <w:r>
        <w:rPr>
          <w:spacing w:val="-2"/>
        </w:rPr>
        <w:t>行国家用工制度、劳动保护制度、社会保障制度和医疗保障制度，按照国家规定为员工缴纳住房公积金、医疗保险金、养老</w:t>
      </w:r>
      <w:r>
        <w:rPr>
          <w:spacing w:val="-66"/>
        </w:rPr>
        <w:t> </w:t>
      </w:r>
      <w:r>
        <w:rPr>
          <w:spacing w:val="-66"/>
        </w:rPr>
      </w:r>
      <w:r>
        <w:rPr/>
        <w:t>保险、失业保险、工伤保险及生育保险。</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133" w:firstLine="360"/>
        <w:jc w:val="both"/>
      </w:pPr>
      <w:r>
        <w:rPr>
          <w:spacing w:val="-2"/>
        </w:rPr>
        <w:t>公司持续重视员工培训工作，重点开展专业技能培训与管理能力培训，不断提升员工岗位胜任力和职业发展力。面对新</w:t>
      </w:r>
      <w:r>
        <w:rPr/>
        <w:t> </w:t>
      </w:r>
      <w:r>
        <w:rPr>
          <w:spacing w:val="-2"/>
        </w:rPr>
        <w:t>的竞争形势和要求，公司将优化现有培训体系，创新培训形式，加强团队分享学习，更加关注员工个人学习需求，不断将企</w:t>
      </w:r>
      <w:r>
        <w:rPr>
          <w:spacing w:val="-66"/>
        </w:rPr>
        <w:t> </w:t>
      </w:r>
      <w:r>
        <w:rPr>
          <w:spacing w:val="-66"/>
        </w:rPr>
      </w:r>
      <w:r>
        <w:rPr/>
        <w:t>业的发展与员工个人发展相结合，打造学习型组织，发展高效协同的企业文化。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3"/>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130" w:firstLine="360"/>
        <w:jc w:val="both"/>
      </w:pPr>
      <w:r>
        <w:rPr>
          <w:rFonts w:ascii="宋体" w:hAnsi="宋体" w:cs="宋体" w:eastAsia="宋体" w:hint="default"/>
          <w:spacing w:val="-2"/>
        </w:rPr>
        <w:t>2018</w:t>
      </w:r>
      <w:r>
        <w:rPr>
          <w:spacing w:val="-2"/>
        </w:rPr>
        <w:t>年，公司严格按照《公司法》、《证券法》、《上市公司治理准则》、《深圳证券交易所股票上市规则》、《深圳</w:t>
      </w:r>
      <w:r>
        <w:rPr/>
        <w:t> </w:t>
      </w:r>
      <w:r>
        <w:rPr>
          <w:spacing w:val="-2"/>
        </w:rPr>
        <w:t>证券交易所中小企业板上市公司规范运作指引》及中国证监会、深圳交易所的有关规定和要求，不断完善公司治理结构，建</w:t>
      </w:r>
      <w:r>
        <w:rPr>
          <w:spacing w:val="-66"/>
        </w:rPr>
        <w:t> </w:t>
      </w:r>
      <w:r>
        <w:rPr>
          <w:spacing w:val="-66"/>
        </w:rPr>
      </w:r>
      <w:r>
        <w:rPr>
          <w:spacing w:val="-2"/>
        </w:rPr>
        <w:t>立、健全内部管理和控制制度，加强信息披露管理工作，积极开展投资者关系管理工作，规范公司运作，提升公司的治理水</w:t>
      </w:r>
      <w:r>
        <w:rPr>
          <w:spacing w:val="-66"/>
        </w:rPr>
        <w:t> </w:t>
      </w:r>
      <w:r>
        <w:rPr>
          <w:spacing w:val="-66"/>
        </w:rPr>
      </w:r>
      <w:r>
        <w:rPr>
          <w:spacing w:val="-2"/>
        </w:rPr>
        <w:t>平。报告期内，公司依据有关规定修订了《公司章程》、《董事会议事规则》、《内部审计制度》，进一步完善公司治理制</w:t>
      </w:r>
      <w:r>
        <w:rPr>
          <w:spacing w:val="-70"/>
        </w:rPr>
        <w:t> </w:t>
      </w:r>
      <w:r>
        <w:rPr>
          <w:spacing w:val="-70"/>
        </w:rPr>
      </w:r>
      <w:r>
        <w:rPr/>
        <w:t>度。截至报告期末，公司治理实际情况基本符合中国证监会发布的有关上市公司治理的规范性文件要求。</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1</w:t>
      </w:r>
      <w:r>
        <w:rPr/>
        <w:t>、关于股东与股东大会</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29" w:firstLine="360"/>
        <w:jc w:val="both"/>
      </w:pPr>
      <w:r>
        <w:rPr>
          <w:spacing w:val="-2"/>
        </w:rPr>
        <w:t>公司严格按照《公司法》、《上市公司股东大会规则》及公司《公司章程》、《股东大会议事规则》的规定和要求，规</w:t>
      </w:r>
      <w:r>
        <w:rPr/>
        <w:t> </w:t>
      </w:r>
      <w:r>
        <w:rPr>
          <w:spacing w:val="-2"/>
        </w:rPr>
        <w:t>范股东大会的召集、召开及表决程序，平等对待所有股东，确保全体股东特别是中小股东享有平等地位，充分行使自己的权</w:t>
      </w:r>
      <w:r>
        <w:rPr>
          <w:spacing w:val="-66"/>
        </w:rPr>
        <w:t> </w:t>
      </w:r>
      <w:r>
        <w:rPr>
          <w:spacing w:val="-66"/>
        </w:rPr>
      </w:r>
      <w:r>
        <w:rPr>
          <w:spacing w:val="-2"/>
        </w:rPr>
        <w:t>利。报告期内，公司通过电话、电子邮件、深交所互动易及投资者调研等多种方式与股东积极互动。</w:t>
      </w:r>
      <w:r>
        <w:rPr>
          <w:rFonts w:ascii="宋体" w:hAnsi="宋体" w:cs="宋体" w:eastAsia="宋体" w:hint="default"/>
          <w:spacing w:val="-2"/>
        </w:rPr>
        <w:t>2018</w:t>
      </w:r>
      <w:r>
        <w:rPr>
          <w:spacing w:val="-2"/>
        </w:rPr>
        <w:t>年，公司共召开两</w:t>
      </w:r>
      <w:r>
        <w:rPr>
          <w:spacing w:val="-61"/>
        </w:rPr>
        <w:t> </w:t>
      </w:r>
      <w:r>
        <w:rPr>
          <w:spacing w:val="-61"/>
        </w:rPr>
      </w:r>
      <w:r>
        <w:rPr/>
        <w:t>次股东大会，均由董事会召集召开，并请律师进行现场见证。</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2</w:t>
      </w:r>
      <w:r>
        <w:rPr/>
        <w:t>、关于公司与控股股东、实际控制人</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032" w:firstLine="360"/>
        <w:jc w:val="left"/>
      </w:pPr>
      <w:r>
        <w:rPr/>
        <w:t>公司具有完整独立的业务、自主的经营能力及完备的运营体系，业务、人员、资产、机构、财务完全独立于控股股东、 </w:t>
      </w:r>
      <w:r>
        <w:rPr>
          <w:spacing w:val="-2"/>
        </w:rPr>
        <w:t>实际控制人，公司董事会、监事会和内部机构能够独立运作。公司关联交易合理公平，不存在控股股东、实际控制人占用公</w:t>
      </w:r>
      <w:r>
        <w:rPr>
          <w:spacing w:val="-66"/>
        </w:rPr>
        <w:t> </w:t>
      </w:r>
      <w:r>
        <w:rPr>
          <w:spacing w:val="-66"/>
        </w:rPr>
      </w:r>
      <w:r>
        <w:rPr/>
        <w:t>司资金的现象，公司也没有为控股股东、实际控制人提供担保的情形。公司控股股东、实际控制人能严格规范自己的行为， 没有超越公司股东大会直接或间接干预公司的决策和经营活动的行为。</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3</w:t>
      </w:r>
      <w:r>
        <w:rPr/>
        <w:t>、关于董事和董事会</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30" w:firstLine="360"/>
        <w:jc w:val="both"/>
      </w:pPr>
      <w:r>
        <w:rPr>
          <w:spacing w:val="-2"/>
        </w:rPr>
        <w:t>报告期内，公司第三届董事会任期已满，公司严格按照《公司章程》等规定的选聘程序对第四届董事会成员进行了换届</w:t>
      </w:r>
      <w:r>
        <w:rPr/>
        <w:t> </w:t>
      </w:r>
      <w:r>
        <w:rPr>
          <w:spacing w:val="-2"/>
        </w:rPr>
        <w:t>选举。公司全体董事严格按照《董事会议事规则》、《独立董事制度》等的规定开展工作，出席董事会和股东大会，依法行</w:t>
      </w:r>
      <w:r>
        <w:rPr>
          <w:spacing w:val="-67"/>
        </w:rPr>
        <w:t> </w:t>
      </w:r>
      <w:r>
        <w:rPr>
          <w:spacing w:val="-67"/>
        </w:rPr>
      </w:r>
      <w:r>
        <w:rPr>
          <w:spacing w:val="-2"/>
        </w:rPr>
        <w:t>使职权，忠实、勤勉、尽责地履行董事义务及职责。报告期内，董事会下设的各专门委员会按照相关工作细则开展工作，为</w:t>
      </w:r>
      <w:r>
        <w:rPr>
          <w:spacing w:val="-68"/>
        </w:rPr>
        <w:t> </w:t>
      </w:r>
      <w:r>
        <w:rPr>
          <w:spacing w:val="-68"/>
        </w:rPr>
      </w:r>
      <w:r>
        <w:rPr/>
        <w:t>董事会的决策提供专业的意见和参考。</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4</w:t>
      </w:r>
      <w:r>
        <w:rPr/>
        <w:t>、关于监事和监事会</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032" w:firstLine="360"/>
        <w:jc w:val="left"/>
      </w:pPr>
      <w:r>
        <w:rPr/>
        <w:t>报告期内，公司第三届监事会任期届满并进行换届选举工作。第四届监事会由</w:t>
      </w:r>
      <w:r>
        <w:rPr>
          <w:rFonts w:ascii="宋体" w:hAnsi="宋体" w:cs="宋体" w:eastAsia="宋体" w:hint="default"/>
        </w:rPr>
        <w:t>3</w:t>
      </w:r>
      <w:r>
        <w:rPr/>
        <w:t>名监事组成，其中</w:t>
      </w:r>
      <w:r>
        <w:rPr>
          <w:rFonts w:ascii="宋体" w:hAnsi="宋体" w:cs="宋体" w:eastAsia="宋体" w:hint="default"/>
        </w:rPr>
        <w:t>1</w:t>
      </w:r>
      <w:r>
        <w:rPr/>
        <w:t>名为职工代表监事。 监事会的人数、成员构成及监事的任职资格符合相关法律、法规及《公司章程》的要求。</w:t>
      </w:r>
    </w:p>
    <w:p>
      <w:pPr>
        <w:pStyle w:val="BodyText"/>
        <w:spacing w:line="364" w:lineRule="auto" w:before="29"/>
        <w:ind w:right="1032" w:firstLine="360"/>
        <w:jc w:val="left"/>
      </w:pPr>
      <w:r>
        <w:rPr/>
        <w:t>公司监事会严格按照《公司法》和《公司章程》、《监事会议事规则》的规定，规范监事会的召集、召开和表决程序， </w:t>
      </w:r>
      <w:r>
        <w:rPr>
          <w:spacing w:val="-2"/>
        </w:rPr>
        <w:t>公司监事认真履行职责，诚信、勤勉、尽责地对公司财务以及董事、总经理及其他高级管理人员履行职责的合法、合规性进</w:t>
      </w:r>
      <w:r>
        <w:rPr>
          <w:spacing w:val="-66"/>
        </w:rPr>
        <w:t> </w:t>
      </w:r>
      <w:r>
        <w:rPr>
          <w:spacing w:val="-66"/>
        </w:rPr>
      </w:r>
      <w:r>
        <w:rPr/>
        <w:t>行监督，维护公司及股东的合法权益。</w:t>
      </w: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5</w:t>
      </w:r>
      <w:r>
        <w:rPr/>
        <w:t>、关于内部审计制度</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22" w:firstLine="360"/>
        <w:jc w:val="left"/>
      </w:pPr>
      <w:r>
        <w:rPr/>
        <w:t>公司审计部共有</w:t>
      </w:r>
      <w:r>
        <w:rPr>
          <w:rFonts w:ascii="宋体" w:hAnsi="宋体" w:cs="宋体" w:eastAsia="宋体" w:hint="default"/>
        </w:rPr>
        <w:t>3</w:t>
      </w:r>
      <w:r>
        <w:rPr/>
        <w:t>名审计人员。审计部在董事会审计委员会的领导下对公司及下属子公司的经济情况、内部控制情况及 财务情况、资产使用情况进行审计和监督，确保公司治理规范。</w:t>
      </w:r>
    </w:p>
    <w:p>
      <w:pPr>
        <w:spacing w:after="0" w:line="364"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Heading4"/>
        <w:spacing w:line="240" w:lineRule="auto" w:before="44"/>
        <w:ind w:right="0"/>
        <w:jc w:val="left"/>
        <w:rPr>
          <w:b w:val="0"/>
          <w:bCs w:val="0"/>
        </w:rPr>
      </w:pPr>
      <w:r>
        <w:rPr>
          <w:rFonts w:ascii="宋体" w:hAnsi="宋体" w:cs="宋体" w:eastAsia="宋体" w:hint="default"/>
        </w:rPr>
        <w:t>6</w:t>
      </w:r>
      <w:r>
        <w:rPr/>
        <w:t>、关于绩效评价与激励约束机制</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0" w:firstLine="360"/>
        <w:jc w:val="left"/>
      </w:pPr>
      <w:r>
        <w:rPr>
          <w:spacing w:val="-4"/>
        </w:rPr>
        <w:t>公司通过建立全面、公平、透明的绩效考核与激励约束机制，设立具有竞争性的岗位绩效考核制度，提升公司管理绩效。</w:t>
      </w:r>
      <w:r>
        <w:rPr/>
        <w:t> </w:t>
      </w:r>
      <w:r>
        <w:rPr>
          <w:spacing w:val="-2"/>
        </w:rPr>
        <w:t>公司董事、监事和高级管理人员的聘任公开、透明，符合有关法律、法规和公司内部规章制度的规定。未来，公司还将不断</w:t>
      </w:r>
      <w:r>
        <w:rPr>
          <w:spacing w:val="-69"/>
        </w:rPr>
        <w:t> </w:t>
      </w:r>
      <w:r>
        <w:rPr>
          <w:spacing w:val="-69"/>
        </w:rPr>
      </w:r>
      <w:r>
        <w:rPr/>
        <w:t>完善绩效评价标准，形成多层次的综合激励机制，完善绩效评价标准，更好的发挥员工的工作积极性。</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7</w:t>
      </w:r>
      <w:r>
        <w:rPr/>
        <w:t>、关于相关利益者</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0" w:firstLine="360"/>
        <w:jc w:val="left"/>
      </w:pPr>
      <w:r>
        <w:rPr>
          <w:spacing w:val="-2"/>
        </w:rPr>
        <w:t>公司能够充分尊重和维护相关利益者的合法权益，积极与利益相关者进行沟通和交流，实现社会、股东、公司、员工等</w:t>
      </w:r>
      <w:r>
        <w:rPr/>
        <w:t> 各方利益的协调平衡，共同推动公司持续、稳健发展。</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宋体" w:hAnsi="宋体" w:cs="宋体" w:eastAsia="宋体" w:hint="default"/>
        </w:rPr>
        <w:t>8</w:t>
      </w:r>
      <w:r>
        <w:rPr/>
        <w:t>、关于信息披露与透明度</w:t>
      </w:r>
      <w:r>
        <w:rPr>
          <w:b w:val="0"/>
          <w:bCs w:val="0"/>
        </w:rPr>
      </w:r>
    </w:p>
    <w:p>
      <w:pPr>
        <w:spacing w:line="240" w:lineRule="auto" w:before="4"/>
        <w:rPr>
          <w:rFonts w:ascii="宋体" w:hAnsi="宋体" w:cs="宋体" w:eastAsia="宋体" w:hint="default"/>
          <w:b/>
          <w:bCs/>
          <w:sz w:val="21"/>
          <w:szCs w:val="21"/>
        </w:rPr>
      </w:pPr>
    </w:p>
    <w:p>
      <w:pPr>
        <w:pStyle w:val="BodyText"/>
        <w:spacing w:line="369" w:lineRule="auto" w:before="0"/>
        <w:ind w:right="1032" w:firstLine="360"/>
        <w:jc w:val="left"/>
      </w:pPr>
      <w:r>
        <w:rPr>
          <w:spacing w:val="-2"/>
        </w:rPr>
        <w:t>公司严格按照《上市公司信息披露管理办法》和《深圳证券交易所股票上市规则》等法律法规以及《公司章程》、《信</w:t>
      </w:r>
      <w:r>
        <w:rPr/>
        <w:t> 息披露管理制度》等规定，加强信息披露的规范性，由董事会秘书负责信息披露工作、投资者来访及咨询工作。报告期内， </w:t>
      </w:r>
      <w:r>
        <w:rPr>
          <w:spacing w:val="-4"/>
        </w:rPr>
        <w:t>公司指定《证券时报》、《证券日报》、《中国证券报》、《上海证券报》和巨潮资讯网为公司信息披露的指定报纸和网站，</w:t>
      </w:r>
      <w:r>
        <w:rPr>
          <w:spacing w:val="-46"/>
        </w:rPr>
        <w:t> </w:t>
      </w:r>
      <w:r>
        <w:rPr>
          <w:spacing w:val="-46"/>
        </w:rPr>
      </w:r>
      <w:r>
        <w:rPr/>
        <w:t>确保公司所有股东能够以平等的机会获得信息。 公司治理的实际状况与中国证监会发布的有关上市公司治理的规范性文件是否存在重大差异</w:t>
      </w:r>
    </w:p>
    <w:p>
      <w:pPr>
        <w:pStyle w:val="BodyText"/>
        <w:spacing w:line="338" w:lineRule="auto" w:before="20"/>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right="0" w:firstLine="360"/>
        <w:jc w:val="left"/>
      </w:pPr>
      <w:r>
        <w:rPr>
          <w:spacing w:val="-2"/>
        </w:rPr>
        <w:t>公司拥有生产所需的核心技术和能力，合法拥有专利和商标，在技术、商标、销售渠道、客户等方面不存在依赖控股股</w:t>
      </w:r>
      <w:r>
        <w:rPr/>
        <w:t> </w:t>
      </w:r>
      <w:r>
        <w:rPr>
          <w:spacing w:val="-4"/>
        </w:rPr>
        <w:t>东或实际控制人及其关联企业的情况。公司拥有独立的产供销体系，资产、业务独立完整，人员、机构、财务均与控股股东、</w:t>
      </w:r>
      <w:r>
        <w:rPr>
          <w:spacing w:val="-44"/>
        </w:rPr>
        <w:t> </w:t>
      </w:r>
      <w:r>
        <w:rPr>
          <w:spacing w:val="-44"/>
        </w:rPr>
      </w:r>
      <w:r>
        <w:rPr/>
        <w:t>实际控制人及其关联企业分开，具备独立自主经营能力。具体独立运营情况如下：</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（一）资产独立情况</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33" w:firstLine="450"/>
        <w:jc w:val="both"/>
      </w:pPr>
      <w:r>
        <w:rPr/>
        <w:t>公司的主要生产设备、辅助生产设备、土地、房产、专利、商标等资产及采购、生产和销售系统及相关配套设施均由 </w:t>
      </w:r>
      <w:r>
        <w:rPr>
          <w:spacing w:val="-2"/>
        </w:rPr>
        <w:t>公司独立拥有。公司不存在以资产、权益或信誉为股东、董事、监事和高级管理人员的债务提供担保的情况，公司对其所有</w:t>
      </w:r>
      <w:r>
        <w:rPr>
          <w:spacing w:val="-66"/>
        </w:rPr>
        <w:t> </w:t>
      </w:r>
      <w:r>
        <w:rPr>
          <w:spacing w:val="-66"/>
        </w:rPr>
      </w:r>
      <w:r>
        <w:rPr/>
        <w:t>的资产依法拥有产权，不存在资产、资金被控股股东占用而损害公司及其股东利益的情况。</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（二）业务独立情况</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0" w:firstLine="360"/>
        <w:jc w:val="left"/>
      </w:pPr>
      <w:r>
        <w:rPr>
          <w:spacing w:val="-2"/>
        </w:rPr>
        <w:t>公司由恒久有限整体变更设立，拥有独立完整的研发、生产、销售体系。公司具有独立自主进行经营活动的能力，拥有</w:t>
      </w:r>
      <w:r>
        <w:rPr/>
        <w:t> </w:t>
      </w:r>
      <w:r>
        <w:rPr>
          <w:spacing w:val="-4"/>
        </w:rPr>
        <w:t>完整的法人财产权；拥有必要的人员、资金和技术设备，以及在此基础上按照分工协作和职权划分建立起来的一套完整体系，</w:t>
      </w:r>
      <w:r>
        <w:rPr>
          <w:spacing w:val="-44"/>
        </w:rPr>
        <w:t> </w:t>
      </w:r>
      <w:r>
        <w:rPr>
          <w:spacing w:val="-44"/>
        </w:rPr>
      </w:r>
      <w:r>
        <w:rPr/>
        <w:t>顺利组织和实施生产经营活动。公司不存在依赖控股股东、实际控制人及其关联方的情况。</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（三）机构独立情况</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32" w:firstLine="360"/>
        <w:jc w:val="both"/>
      </w:pPr>
      <w:r>
        <w:rPr>
          <w:spacing w:val="-2"/>
        </w:rPr>
        <w:t>公司按照《公司法》、《公司章程》的相关规定设立了股东大会、董事会、监事会等权力机构，并制定了相应的议事规</w:t>
      </w:r>
      <w:r>
        <w:rPr/>
        <w:t> </w:t>
      </w:r>
      <w:r>
        <w:rPr>
          <w:spacing w:val="-2"/>
        </w:rPr>
        <w:t>则。公司生产经营场所与控股股东分开，设立了完善的组织机构体系，内部机构独立运作，不存在控股股东、实际控制人代</w:t>
      </w:r>
      <w:r>
        <w:rPr>
          <w:spacing w:val="-66"/>
        </w:rPr>
        <w:t> </w:t>
      </w:r>
      <w:r>
        <w:rPr>
          <w:spacing w:val="-66"/>
        </w:rPr>
      </w:r>
      <w:r>
        <w:rPr/>
        <w:t>行公司职权或干预机构设立的情形。</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t>（四）人员独立情况</w:t>
      </w:r>
      <w:r>
        <w:rPr>
          <w:b w:val="0"/>
          <w:bCs w:val="0"/>
        </w:rPr>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b/>
          <w:bCs/>
          <w:sz w:val="23"/>
          <w:szCs w:val="23"/>
        </w:rPr>
      </w:pPr>
    </w:p>
    <w:p>
      <w:pPr>
        <w:pStyle w:val="BodyText"/>
        <w:spacing w:line="364" w:lineRule="auto"/>
        <w:ind w:left="534" w:right="1131" w:firstLine="540"/>
        <w:jc w:val="both"/>
      </w:pPr>
      <w:r>
        <w:rPr>
          <w:spacing w:val="-2"/>
        </w:rPr>
        <w:t>公司总经理、副总经理、财务负责人、董事会秘书等高级管理人员均在公司专职工作，并在公司领取薪酬，未在控股</w:t>
      </w:r>
      <w:r>
        <w:rPr/>
        <w:t> </w:t>
      </w:r>
      <w:r>
        <w:rPr>
          <w:spacing w:val="-2"/>
        </w:rPr>
        <w:t>股东、实际控制人及其控制的其他企业担任除董事以外的其他职务。公司财务人员未在控股股东、实际控制人及其控制的其</w:t>
      </w:r>
      <w:r>
        <w:rPr>
          <w:spacing w:val="-66"/>
        </w:rPr>
        <w:t> </w:t>
      </w:r>
      <w:r>
        <w:rPr>
          <w:spacing w:val="-66"/>
        </w:rPr>
      </w:r>
      <w:r>
        <w:rPr/>
        <w:t>他企业中兼职。</w:t>
      </w:r>
    </w:p>
    <w:p>
      <w:pPr>
        <w:pStyle w:val="BodyText"/>
        <w:spacing w:line="364" w:lineRule="auto" w:before="29"/>
        <w:ind w:left="534" w:right="1032" w:firstLine="360"/>
        <w:jc w:val="left"/>
      </w:pPr>
      <w:r>
        <w:rPr>
          <w:spacing w:val="-2"/>
        </w:rPr>
        <w:t>公司董事、监事及高级管理人员严格按《公司法》和《公司章程》的有关规定选举和聘任产生；公司在劳动、人事及工</w:t>
      </w:r>
      <w:r>
        <w:rPr/>
        <w:t> 资管理上完全独立，有独立的人力资源管理部门，建立了独立的管理体系并制定了相应的规章制度。</w:t>
      </w:r>
    </w:p>
    <w:p>
      <w:pPr>
        <w:spacing w:line="240" w:lineRule="auto" w:before="2"/>
        <w:rPr>
          <w:rFonts w:ascii="宋体" w:hAnsi="宋体" w:cs="宋体" w:eastAsia="宋体" w:hint="default"/>
          <w:sz w:val="14"/>
          <w:szCs w:val="14"/>
        </w:rPr>
      </w:pPr>
    </w:p>
    <w:p>
      <w:pPr>
        <w:pStyle w:val="Heading4"/>
        <w:spacing w:line="240" w:lineRule="auto"/>
        <w:ind w:left="895" w:right="7332"/>
        <w:jc w:val="left"/>
        <w:rPr>
          <w:b w:val="0"/>
          <w:bCs w:val="0"/>
        </w:rPr>
      </w:pPr>
      <w:r>
        <w:rPr/>
        <w:t>（五）财务独立情况</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left="534" w:right="1032" w:firstLine="450"/>
        <w:jc w:val="left"/>
      </w:pPr>
      <w:r>
        <w:rPr>
          <w:spacing w:val="-2"/>
        </w:rPr>
        <w:t>公司建立了独立的财务核算体系，制定了完善的财务管理制度。公司设立了独立的财务部门，配备了独立的财务人员。</w:t>
      </w:r>
      <w:r>
        <w:rPr/>
        <w:t> </w:t>
      </w:r>
      <w:r>
        <w:rPr>
          <w:spacing w:val="-2"/>
        </w:rPr>
        <w:t>公司拥有独立的银行账号，资金运作独立，办理了独立的税务登记证并独立纳税，不存在与股东及其关联方共用银行账户及</w:t>
      </w:r>
      <w:r>
        <w:rPr>
          <w:spacing w:val="-66"/>
        </w:rPr>
        <w:t> </w:t>
      </w:r>
      <w:r>
        <w:rPr>
          <w:spacing w:val="-66"/>
        </w:rPr>
      </w:r>
      <w:r>
        <w:rPr/>
        <w:t>混合纳税的情形。公司能够独立做出财务决策，不存在控股股东或实际控制人干预企业资金使用的情况。</w:t>
      </w:r>
    </w:p>
    <w:p>
      <w:pPr>
        <w:spacing w:line="240" w:lineRule="auto" w:before="11"/>
        <w:rPr>
          <w:rFonts w:ascii="宋体" w:hAnsi="宋体" w:cs="宋体" w:eastAsia="宋体" w:hint="default"/>
          <w:sz w:val="19"/>
          <w:szCs w:val="19"/>
        </w:rPr>
      </w:pPr>
    </w:p>
    <w:p>
      <w:pPr>
        <w:pStyle w:val="Heading2"/>
        <w:spacing w:line="240" w:lineRule="auto"/>
        <w:ind w:left="534" w:right="7332"/>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34"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34" w:right="1032"/>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4" w:right="7332"/>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270"/>
        <w:gridCol w:w="1205"/>
        <w:gridCol w:w="1594"/>
        <w:gridCol w:w="1595"/>
        <w:gridCol w:w="1594"/>
        <w:gridCol w:w="2234"/>
      </w:tblGrid>
      <w:tr>
        <w:trPr>
          <w:trHeight w:val="401"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43"/>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《苏州恒久光电科技股份有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w:t>
            </w:r>
            <w:r>
              <w:rPr>
                <w:rFonts w:ascii="宋体" w:hAnsi="宋体" w:cs="宋体" w:eastAsia="宋体" w:hint="default"/>
                <w:spacing w:val="-13"/>
                <w:sz w:val="18"/>
                <w:szCs w:val="18"/>
              </w:rPr>
              <w:t>股东大会决议公告》（公告编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2018-001</w:t>
            </w:r>
            <w:r>
              <w:rPr>
                <w:rFonts w:ascii="宋体" w:hAnsi="宋体" w:cs="宋体" w:eastAsia="宋体" w:hint="default"/>
                <w:sz w:val="18"/>
                <w:szCs w:val="18"/>
              </w:rPr>
              <w:t>）</w:t>
            </w:r>
          </w:p>
        </w:tc>
      </w:tr>
      <w:tr>
        <w:trPr>
          <w:trHeight w:val="196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43"/>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p>
          <w:p>
            <w:pPr>
              <w:pStyle w:val="TableParagraph"/>
              <w:spacing w:line="312" w:lineRule="auto" w:before="63"/>
              <w:ind w:left="22" w:right="41"/>
              <w:jc w:val="left"/>
              <w:rPr>
                <w:rFonts w:ascii="宋体" w:hAnsi="宋体" w:cs="宋体" w:eastAsia="宋体" w:hint="default"/>
                <w:sz w:val="18"/>
                <w:szCs w:val="18"/>
              </w:rPr>
            </w:pPr>
            <w:r>
              <w:rPr>
                <w:rFonts w:ascii="宋体" w:hAnsi="宋体" w:cs="宋体" w:eastAsia="宋体" w:hint="default"/>
                <w:sz w:val="18"/>
                <w:szCs w:val="18"/>
              </w:rPr>
              <w:t>《苏州恒久光电科技股份有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w:t>
            </w:r>
            <w:r>
              <w:rPr>
                <w:rFonts w:ascii="宋体" w:hAnsi="宋体" w:cs="宋体" w:eastAsia="宋体" w:hint="default"/>
                <w:spacing w:val="-9"/>
                <w:sz w:val="18"/>
                <w:szCs w:val="18"/>
              </w:rPr>
              <w:t>决议公告》（公告编号：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2018-032</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534" w:right="1032"/>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34"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34" w:right="1032"/>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4" w:right="1032"/>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after="0" w:line="240" w:lineRule="auto"/>
        <w:jc w:val="left"/>
        <w:sectPr>
          <w:pgSz w:w="11910" w:h="16840"/>
          <w:pgMar w:header="877" w:footer="979" w:top="1100" w:bottom="1160" w:left="60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朱雪珍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方世南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俞雪华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right="4363"/>
        <w:jc w:val="left"/>
      </w:pPr>
      <w:r>
        <w:rPr/>
        <w:t>连续两次未亲自出席董事会的说明 注：独立董事朱雪珍、潘晓珍以董事候选人身份列席了公司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年度股东大会。</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405" w:lineRule="auto" w:before="125"/>
        <w:ind w:left="514" w:right="0"/>
        <w:jc w:val="left"/>
      </w:pPr>
      <w:r>
        <w:rPr/>
        <w:t>独立董事对公司有关建议被采纳或未被采纳的说明 </w:t>
      </w:r>
      <w:r>
        <w:rPr>
          <w:spacing w:val="-2"/>
        </w:rPr>
        <w:t>报告期内，公司独立董事严格按照《证券法》、中国证监会《关于在上市公司建立独立董事制度的指导意见》、《深圳</w:t>
      </w:r>
    </w:p>
    <w:p>
      <w:pPr>
        <w:pStyle w:val="BodyText"/>
        <w:spacing w:line="364" w:lineRule="auto" w:before="0"/>
        <w:ind w:right="1032"/>
        <w:jc w:val="left"/>
      </w:pPr>
      <w:r>
        <w:rPr/>
        <w:t>证券交易所中小企业板上市公司规范运作指引》和《公司章程》等有关规定，勤勉尽责，独立履行职责，对公司规范运作、 经营发展和管理适时提出专业意见。</w:t>
      </w:r>
    </w:p>
    <w:p>
      <w:pPr>
        <w:pStyle w:val="BodyText"/>
        <w:spacing w:line="362" w:lineRule="auto" w:before="29"/>
        <w:ind w:right="1131" w:firstLine="360"/>
        <w:jc w:val="both"/>
      </w:pPr>
      <w:r>
        <w:rPr/>
        <w:t>公司现有独立董事</w:t>
      </w:r>
      <w:r>
        <w:rPr>
          <w:rFonts w:ascii="Times New Roman" w:hAnsi="Times New Roman" w:cs="Times New Roman" w:eastAsia="Times New Roman" w:hint="default"/>
        </w:rPr>
        <w:t>3</w:t>
      </w:r>
      <w:r>
        <w:rPr/>
        <w:t>人，本着忠实勤勉、独立公正的原则，认真履行职责，独立董事认真负责的参加了公司报告期内的 </w:t>
      </w:r>
      <w:r>
        <w:rPr>
          <w:spacing w:val="-2"/>
        </w:rPr>
        <w:t>董事会，并认真履行独立董事责任。独立董事对公司报告期内公司的年度日常关联交易、募投项目建设方案调整及延期、变</w:t>
      </w:r>
      <w:r>
        <w:rPr>
          <w:spacing w:val="-66"/>
        </w:rPr>
        <w:t> </w:t>
      </w:r>
      <w:r>
        <w:rPr>
          <w:spacing w:val="-66"/>
        </w:rPr>
      </w:r>
      <w:r>
        <w:rPr>
          <w:spacing w:val="-2"/>
        </w:rPr>
        <w:t>更证券简称、利润分配、使用部分闲置募集资金进行现金管理、使用闲置自有资金进行现金管理、会计政策变更、调整董事</w:t>
      </w:r>
      <w:r>
        <w:rPr>
          <w:spacing w:val="-66"/>
        </w:rPr>
        <w:t> </w:t>
      </w:r>
      <w:r>
        <w:rPr>
          <w:spacing w:val="-66"/>
        </w:rPr>
      </w:r>
      <w:r>
        <w:rPr>
          <w:spacing w:val="-2"/>
        </w:rPr>
        <w:t>会成员人数等议案进行了客观公正的审议。报告期内，公司独立董事未对公司本年度的董事会议案及其他非董事会议案提出</w:t>
      </w:r>
      <w:r>
        <w:rPr>
          <w:spacing w:val="-64"/>
        </w:rPr>
        <w:t> </w:t>
      </w:r>
      <w:r>
        <w:rPr>
          <w:spacing w:val="-64"/>
        </w:rPr>
      </w:r>
      <w:r>
        <w:rPr>
          <w:spacing w:val="-2"/>
        </w:rPr>
        <w:t>异议。同时，为进一步完善公司治理，健全公司治理制度，独立董事深入了解公司的经营情况，进一步提高董事会决策科学</w:t>
      </w:r>
      <w:r>
        <w:rPr>
          <w:spacing w:val="-66"/>
        </w:rPr>
        <w:t> </w:t>
      </w:r>
      <w:r>
        <w:rPr>
          <w:spacing w:val="-66"/>
        </w:rPr>
      </w:r>
      <w:r>
        <w:rPr/>
        <w:t>性、为客观公正地保护广大投资者特别是中小股民的合法权益，</w:t>
      </w:r>
      <w:r>
        <w:rPr>
          <w:spacing w:val="-19"/>
        </w:rPr>
        <w:t> </w:t>
      </w:r>
      <w:r>
        <w:rPr/>
        <w:t>促进公司发展起到重要作用。</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133" w:firstLine="360"/>
        <w:jc w:val="both"/>
      </w:pPr>
      <w:r>
        <w:rPr>
          <w:spacing w:val="-2"/>
        </w:rPr>
        <w:t>报告期内，董事会各专门委员会根据《公司章程》和公司董事会各专门委员会工作细则，切实履职，开展了卓有成效的</w:t>
      </w:r>
      <w:r>
        <w:rPr/>
        <w:t> 工作，为公司发展提供专业建议。</w:t>
      </w:r>
    </w:p>
    <w:p>
      <w:pPr>
        <w:pStyle w:val="BodyText"/>
        <w:spacing w:line="364" w:lineRule="auto" w:before="29"/>
        <w:ind w:right="1131" w:firstLine="360"/>
        <w:jc w:val="both"/>
      </w:pPr>
      <w:r>
        <w:rPr/>
        <w:t>报告期内，公司董事会审计委员会共召开了</w:t>
      </w:r>
      <w:r>
        <w:rPr>
          <w:rFonts w:ascii="宋体" w:hAnsi="宋体" w:cs="宋体" w:eastAsia="宋体" w:hint="default"/>
        </w:rPr>
        <w:t>8</w:t>
      </w:r>
      <w:r>
        <w:rPr/>
        <w:t>次会议，对公司定期报告、募集资金存放与使用、内审工作报告与工作计 </w:t>
      </w:r>
      <w:r>
        <w:rPr>
          <w:spacing w:val="-2"/>
        </w:rPr>
        <w:t>划、预计及增加年度日常关联交易额度、内审部负责人的聘任、会计政策变更、部分募投项目建设方案调整及实施期限延期</w:t>
      </w:r>
    </w:p>
    <w:p>
      <w:pPr>
        <w:spacing w:after="0" w:line="364" w:lineRule="auto"/>
        <w:jc w:val="both"/>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left="274" w:right="1131"/>
        <w:jc w:val="both"/>
      </w:pPr>
      <w:r>
        <w:rPr>
          <w:spacing w:val="-2"/>
        </w:rPr>
        <w:t>等事项进行了审议。年报编制期间，审计委员会和其他独立董事一起与年审会计师见面，沟通审计计划、审计工作安排以及</w:t>
      </w:r>
      <w:r>
        <w:rPr>
          <w:spacing w:val="-66"/>
        </w:rPr>
        <w:t> </w:t>
      </w:r>
      <w:r>
        <w:rPr>
          <w:spacing w:val="-66"/>
        </w:rPr>
      </w:r>
      <w:r>
        <w:rPr>
          <w:spacing w:val="-2"/>
        </w:rPr>
        <w:t>审计中发现的问题，并就初审意见进行交流，确保审计的独立性和审计工作完成的及时性及完成质量。报告期内，审计委员</w:t>
      </w:r>
      <w:r>
        <w:rPr>
          <w:spacing w:val="-66"/>
        </w:rPr>
        <w:t> </w:t>
      </w:r>
      <w:r>
        <w:rPr>
          <w:spacing w:val="-66"/>
        </w:rPr>
      </w:r>
      <w:r>
        <w:rPr/>
        <w:t>会勤勉履行职责，发挥了其应有的作用。</w:t>
      </w:r>
    </w:p>
    <w:p>
      <w:pPr>
        <w:pStyle w:val="BodyText"/>
        <w:spacing w:line="364" w:lineRule="auto" w:before="29"/>
        <w:ind w:left="274" w:right="1122" w:firstLine="360"/>
        <w:jc w:val="left"/>
      </w:pPr>
      <w:r>
        <w:rPr/>
        <w:t>报告期内，公司董事会薪酬与考核委员会召开会议</w:t>
      </w:r>
      <w:r>
        <w:rPr>
          <w:rFonts w:ascii="宋体" w:hAnsi="宋体" w:cs="宋体" w:eastAsia="宋体" w:hint="default"/>
        </w:rPr>
        <w:t>1</w:t>
      </w:r>
      <w:r>
        <w:rPr/>
        <w:t>次，对公司董事（非独立董事）和高级管理人员</w:t>
      </w:r>
      <w:r>
        <w:rPr>
          <w:rFonts w:ascii="宋体" w:hAnsi="宋体" w:cs="宋体" w:eastAsia="宋体" w:hint="default"/>
        </w:rPr>
        <w:t>2018</w:t>
      </w:r>
      <w:r>
        <w:rPr/>
        <w:t>年度薪酬方案 进行了审议，并对公司董事（非独立董事）和高级管理人员</w:t>
      </w:r>
      <w:r>
        <w:rPr>
          <w:rFonts w:ascii="宋体" w:hAnsi="宋体" w:cs="宋体" w:eastAsia="宋体" w:hint="default"/>
        </w:rPr>
        <w:t>2017</w:t>
      </w:r>
      <w:r>
        <w:rPr/>
        <w:t>年度薪酬方案的执行情况与绩效考核情况进行了审查。</w:t>
      </w:r>
    </w:p>
    <w:p>
      <w:pPr>
        <w:pStyle w:val="BodyText"/>
        <w:spacing w:line="364" w:lineRule="auto" w:before="29"/>
        <w:ind w:left="274" w:right="1122" w:firstLine="360"/>
        <w:jc w:val="left"/>
      </w:pPr>
      <w:r>
        <w:rPr/>
        <w:t>报告期内，公司董事会战略委员会共召开了</w:t>
      </w:r>
      <w:r>
        <w:rPr>
          <w:rFonts w:ascii="宋体" w:hAnsi="宋体" w:cs="宋体" w:eastAsia="宋体" w:hint="default"/>
        </w:rPr>
        <w:t>4</w:t>
      </w:r>
      <w:r>
        <w:rPr/>
        <w:t>次会议，对公司年度经营计划与未来发展战略、募投项目建设方案调整及 实施期限延期、申请银行授信、变更公司证券简称等事宜进行审议，对公司重大事项进行研究并提出意见。</w:t>
      </w:r>
    </w:p>
    <w:p>
      <w:pPr>
        <w:pStyle w:val="BodyText"/>
        <w:spacing w:line="364" w:lineRule="auto" w:before="29"/>
        <w:ind w:left="274" w:right="1032" w:firstLine="360"/>
        <w:jc w:val="left"/>
      </w:pPr>
      <w:r>
        <w:rPr/>
        <w:t>报告期内，公司董事会提名委员会共召开</w:t>
      </w:r>
      <w:r>
        <w:rPr>
          <w:rFonts w:ascii="宋体" w:hAnsi="宋体" w:cs="宋体" w:eastAsia="宋体" w:hint="default"/>
        </w:rPr>
        <w:t>2</w:t>
      </w:r>
      <w:r>
        <w:rPr/>
        <w:t>次会议，对公司第四届董事会董事人数的调整、第四届董事会董事候选人资 格以及董事（非独立董事）和高级管理人员履职情况进行审查，并对提名的第四届董事会总经理、副总经理、董事会秘书、 财务负责人、内审部门负责人、证券事务代表进行资格审查，确保公司董事（非独立董事）及高级管理团队的专业素质。</w:t>
      </w:r>
    </w:p>
    <w:p>
      <w:pPr>
        <w:spacing w:line="240" w:lineRule="auto" w:before="11"/>
        <w:rPr>
          <w:rFonts w:ascii="宋体" w:hAnsi="宋体" w:cs="宋体" w:eastAsia="宋体" w:hint="default"/>
          <w:sz w:val="19"/>
          <w:szCs w:val="19"/>
        </w:rPr>
      </w:pPr>
    </w:p>
    <w:p>
      <w:pPr>
        <w:pStyle w:val="Heading2"/>
        <w:spacing w:line="240" w:lineRule="auto"/>
        <w:ind w:left="274" w:right="0"/>
        <w:jc w:val="both"/>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274" w:right="0"/>
        <w:jc w:val="both"/>
      </w:pPr>
      <w:r>
        <w:rPr/>
        <w:t>监事会在报告期内的监督活动中发现公司是否存在风险</w:t>
      </w:r>
    </w:p>
    <w:p>
      <w:pPr>
        <w:pStyle w:val="BodyText"/>
        <w:spacing w:line="340" w:lineRule="auto" w:before="116"/>
        <w:ind w:left="274"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left="274" w:right="0"/>
        <w:jc w:val="both"/>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left="274" w:right="1131" w:firstLine="360"/>
        <w:jc w:val="both"/>
      </w:pPr>
      <w:r>
        <w:rPr>
          <w:spacing w:val="-2"/>
        </w:rPr>
        <w:t>公司依照相关法律规定，结合公司情况构建了薪酬与考核管理体系，制订了兼顾公平性与激励性的薪酬考核制度，由公</w:t>
      </w:r>
      <w:r>
        <w:rPr/>
        <w:t> </w:t>
      </w:r>
      <w:r>
        <w:rPr>
          <w:spacing w:val="-2"/>
        </w:rPr>
        <w:t>司董事会薪酬与考核管理委员会进行监督和考核。报告期内，公司高级管理人员勤勉履职，公司各项考评、激励机制执行良</w:t>
      </w:r>
      <w:r>
        <w:rPr>
          <w:spacing w:val="-66"/>
        </w:rPr>
        <w:t> </w:t>
      </w:r>
      <w:r>
        <w:rPr>
          <w:spacing w:val="-66"/>
        </w:rPr>
      </w:r>
      <w:r>
        <w:rPr/>
        <w:t>好，有效促进公司形成公正公平的薪酬考核体系，充分有效地调动了高级管理人员积极性。</w:t>
      </w:r>
    </w:p>
    <w:p>
      <w:pPr>
        <w:spacing w:line="240" w:lineRule="auto" w:before="11"/>
        <w:rPr>
          <w:rFonts w:ascii="宋体" w:hAnsi="宋体" w:cs="宋体" w:eastAsia="宋体" w:hint="default"/>
          <w:sz w:val="19"/>
          <w:szCs w:val="19"/>
        </w:rPr>
      </w:pPr>
    </w:p>
    <w:p>
      <w:pPr>
        <w:pStyle w:val="Heading2"/>
        <w:spacing w:line="240" w:lineRule="auto"/>
        <w:ind w:left="274" w:right="0"/>
        <w:jc w:val="both"/>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74" w:right="0"/>
        <w:jc w:val="both"/>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27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274" w:right="0"/>
        <w:jc w:val="both"/>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541"/>
        <w:gridCol w:w="1067"/>
        <w:gridCol w:w="2371"/>
        <w:gridCol w:w="4004"/>
      </w:tblGrid>
      <w:tr>
        <w:trPr>
          <w:trHeight w:val="402" w:hRule="exact"/>
        </w:trPr>
        <w:tc>
          <w:tcPr>
            <w:tcW w:w="3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6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年度内部控制评价报告》全文登载于巨潮资讯网</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2" w:hRule="exact"/>
        </w:trPr>
        <w:tc>
          <w:tcPr>
            <w:tcW w:w="360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6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4" w:hRule="exact"/>
        </w:trPr>
        <w:tc>
          <w:tcPr>
            <w:tcW w:w="3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 报表资产总额的比例</w:t>
            </w:r>
          </w:p>
        </w:tc>
        <w:tc>
          <w:tcPr>
            <w:tcW w:w="63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 报表营业收入的比例</w:t>
            </w:r>
          </w:p>
        </w:tc>
        <w:tc>
          <w:tcPr>
            <w:tcW w:w="63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9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34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877" w:footer="979" w:top="1100" w:bottom="1160" w:left="860" w:right="0"/>
        </w:sectPr>
      </w:pPr>
    </w:p>
    <w:p>
      <w:pPr>
        <w:spacing w:line="240" w:lineRule="auto" w:before="0"/>
        <w:rPr>
          <w:rFonts w:ascii="宋体" w:hAnsi="宋体" w:cs="宋体" w:eastAsia="宋体" w:hint="default"/>
          <w:b/>
          <w:bCs/>
          <w:sz w:val="20"/>
          <w:szCs w:val="20"/>
        </w:rPr>
      </w:pPr>
      <w:r>
        <w:rPr/>
        <w:pict>
          <v:shape style="position:absolute;margin-left:47.580002pt;margin-top:71.999985pt;width:500.5pt;height:689.3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3449"/>
                    <w:gridCol w:w="3993"/>
                  </w:tblGrid>
                  <w:tr>
                    <w:trPr>
                      <w:trHeight w:val="9139"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4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6"/>
                          <w:jc w:val="left"/>
                          <w:rPr>
                            <w:rFonts w:ascii="宋体" w:hAnsi="宋体" w:cs="宋体" w:eastAsia="宋体" w:hint="default"/>
                            <w:sz w:val="18"/>
                            <w:szCs w:val="18"/>
                          </w:rPr>
                        </w:pPr>
                        <w:r>
                          <w:rPr>
                            <w:rFonts w:ascii="宋体" w:hAnsi="宋体" w:cs="宋体" w:eastAsia="宋体" w:hint="default"/>
                            <w:sz w:val="18"/>
                            <w:szCs w:val="18"/>
                          </w:rPr>
                          <w:t>财务报告重大缺陷的迹象包括：公司董事、 </w:t>
                        </w:r>
                        <w:r>
                          <w:rPr>
                            <w:rFonts w:ascii="宋体" w:hAnsi="宋体" w:cs="宋体" w:eastAsia="宋体" w:hint="default"/>
                            <w:spacing w:val="-3"/>
                            <w:sz w:val="18"/>
                            <w:szCs w:val="18"/>
                          </w:rPr>
                          <w:t>监事和高级管理人员的舞弊行为、公司因重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大会计差错更正已公布的财务报告、注册会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计师发现的却未被公司内部控制识别的当 </w:t>
                        </w:r>
                        <w:r>
                          <w:rPr>
                            <w:rFonts w:ascii="宋体" w:hAnsi="宋体" w:cs="宋体" w:eastAsia="宋体" w:hint="default"/>
                            <w:spacing w:val="-3"/>
                            <w:sz w:val="18"/>
                            <w:szCs w:val="18"/>
                          </w:rPr>
                          <w:t>期财务报告中的重大错报、审计委员会和审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计部对公司的对外财务报告和财务报告内 部控制监督无效。 财务报告重要缺陷的迹 </w:t>
                        </w:r>
                        <w:r>
                          <w:rPr>
                            <w:rFonts w:ascii="宋体" w:hAnsi="宋体" w:cs="宋体" w:eastAsia="宋体" w:hint="default"/>
                            <w:spacing w:val="-3"/>
                            <w:sz w:val="18"/>
                            <w:szCs w:val="18"/>
                          </w:rPr>
                          <w:t>象包括：未依照公认会计准则选择和应用会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计政策、未建立反舞弊程序和控制措施、对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于非常规或特殊交易的账务处理没有建立 相应的控制机制或没有实施且没有相应的 </w:t>
                        </w:r>
                        <w:r>
                          <w:rPr>
                            <w:rFonts w:ascii="宋体" w:hAnsi="宋体" w:cs="宋体" w:eastAsia="宋体" w:hint="default"/>
                            <w:spacing w:val="-3"/>
                            <w:sz w:val="18"/>
                            <w:szCs w:val="18"/>
                          </w:rPr>
                          <w:t>补偿性控制、对于期末财务报告过程的控制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存在一项或多项缺陷且不能合理保证编制 </w:t>
                        </w:r>
                        <w:r>
                          <w:rPr>
                            <w:rFonts w:ascii="宋体" w:hAnsi="宋体" w:cs="宋体" w:eastAsia="宋体" w:hint="default"/>
                            <w:spacing w:val="-3"/>
                            <w:sz w:val="18"/>
                            <w:szCs w:val="18"/>
                          </w:rPr>
                          <w:t>的财务报表达到真实、准确的目标。一般缺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陷是指除上述重大缺陷、重要缺陷之外的其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他控制缺陷。</w:t>
                        </w:r>
                      </w:p>
                    </w:tc>
                    <w:tc>
                      <w:tcPr>
                        <w:tcW w:w="399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right="9"/>
                          <w:jc w:val="left"/>
                          <w:rPr>
                            <w:rFonts w:ascii="宋体" w:hAnsi="宋体" w:cs="宋体" w:eastAsia="宋体" w:hint="default"/>
                            <w:sz w:val="18"/>
                            <w:szCs w:val="18"/>
                          </w:rPr>
                        </w:pPr>
                        <w:r>
                          <w:rPr>
                            <w:rFonts w:ascii="宋体" w:hAnsi="宋体" w:cs="宋体" w:eastAsia="宋体" w:hint="default"/>
                            <w:sz w:val="18"/>
                            <w:szCs w:val="18"/>
                          </w:rPr>
                          <w:t>重大缺陷：如果缺陷发生的可能性高，会严重降低 工作效率或效果、或严重加大效果的不确定性、或 </w:t>
                        </w:r>
                        <w:r>
                          <w:rPr>
                            <w:rFonts w:ascii="宋体" w:hAnsi="宋体" w:cs="宋体" w:eastAsia="宋体" w:hint="default"/>
                            <w:spacing w:val="-5"/>
                            <w:sz w:val="18"/>
                            <w:szCs w:val="18"/>
                          </w:rPr>
                          <w:t>使之严重偏离预期目标，则认定为重大缺陷。比如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公司缺乏民主决策程序；公司决策程序不科学，导</w:t>
                        </w:r>
                        <w:r>
                          <w:rPr>
                            <w:rFonts w:ascii="宋体" w:hAnsi="宋体" w:cs="宋体" w:eastAsia="宋体" w:hint="default"/>
                            <w:sz w:val="18"/>
                            <w:szCs w:val="18"/>
                          </w:rPr>
                          <w:t> 致重大失误；公司严重违反国家法律、法规；公司 中高级管理人员和中高级技术人员流失严重；公司 重要业务缺乏制度控制或制度体系失效；公司内部 控制重大缺陷未得到整改；公司遭受证监会处罚或 证券交易所警告；战略与运营目标或关键业绩指标 执行不合理，严重偏离且存在方向性错误，对战略 与运营目标的实现产生严重负面作用。</w:t>
                        </w:r>
                        <w:r>
                          <w:rPr>
                            <w:rFonts w:ascii="宋体" w:hAnsi="宋体" w:cs="宋体" w:eastAsia="宋体" w:hint="default"/>
                            <w:spacing w:val="-12"/>
                            <w:sz w:val="18"/>
                            <w:szCs w:val="18"/>
                          </w:rPr>
                          <w:t> </w:t>
                        </w:r>
                        <w:r>
                          <w:rPr>
                            <w:rFonts w:ascii="宋体" w:hAnsi="宋体" w:cs="宋体" w:eastAsia="宋体" w:hint="default"/>
                            <w:sz w:val="18"/>
                            <w:szCs w:val="18"/>
                          </w:rPr>
                          <w:t>重要缺陷</w:t>
                        </w:r>
                        <w:r>
                          <w:rPr>
                            <w:rFonts w:ascii="宋体" w:hAnsi="宋体" w:cs="宋体" w:eastAsia="宋体" w:hint="default"/>
                            <w:sz w:val="18"/>
                            <w:szCs w:val="18"/>
                          </w:rPr>
                          <w:t> 如果缺陷发生的可能性较高，会显著降低工作效率 或效果、或显著加大效果的不确定性、或使之显著 偏离预期目标，则认定为重要缺陷，如：公司民主 决策程序存在但不够完善；公司决策程序导致出现 </w:t>
                        </w:r>
                        <w:r>
                          <w:rPr>
                            <w:rFonts w:ascii="宋体" w:hAnsi="宋体" w:cs="宋体" w:eastAsia="宋体" w:hint="default"/>
                            <w:spacing w:val="-5"/>
                            <w:sz w:val="18"/>
                            <w:szCs w:val="18"/>
                          </w:rPr>
                          <w:t>重要失误；公司违反企业内部规章，形成严重损失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公司关键岗位业务人员流失严重；公司重要业务制</w:t>
                        </w:r>
                        <w:r>
                          <w:rPr>
                            <w:rFonts w:ascii="宋体" w:hAnsi="宋体" w:cs="宋体" w:eastAsia="宋体" w:hint="default"/>
                            <w:sz w:val="18"/>
                            <w:szCs w:val="18"/>
                          </w:rPr>
                          <w:t> 度或系统存在缺陷；公司内部控制重要缺陷未得到 整改；公司战略与运营目标或关键业绩指标执行不 合理，严重偏离，对战略与运营目标的实现产生明 显的消极作用。一般缺陷：如果缺陷发生的可能性 较小，会降低工作效率或效果、或加大效果的不确 定性、或使之偏离预期目标，则认定为一般缺陷， </w:t>
                        </w:r>
                        <w:r>
                          <w:rPr>
                            <w:rFonts w:ascii="宋体" w:hAnsi="宋体" w:cs="宋体" w:eastAsia="宋体" w:hint="default"/>
                            <w:spacing w:val="-5"/>
                            <w:sz w:val="18"/>
                            <w:szCs w:val="18"/>
                          </w:rPr>
                          <w:t>比如：公司决策程序效率不高；公司违反内部规章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但未形成损失；公司一般岗位业务人员流失严重； 公司一般业务制度或系统存在缺陷；公司一般缺陷</w:t>
                        </w:r>
                        <w:r>
                          <w:rPr>
                            <w:rFonts w:ascii="宋体" w:hAnsi="宋体" w:cs="宋体" w:eastAsia="宋体" w:hint="default"/>
                            <w:sz w:val="18"/>
                            <w:szCs w:val="18"/>
                          </w:rPr>
                          <w:t> 未得到整改；公司战略与运营目标或关键业绩的执 行存在较小范围的不合理，目标偏离，对战略与运 营目标的实现影响轻微；公司存在的其他缺陷。</w:t>
                        </w:r>
                      </w:p>
                    </w:tc>
                  </w:tr>
                  <w:tr>
                    <w:trPr>
                      <w:trHeight w:val="383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4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16"/>
                          <w:jc w:val="left"/>
                          <w:rPr>
                            <w:rFonts w:ascii="宋体" w:hAnsi="宋体" w:cs="宋体" w:eastAsia="宋体" w:hint="default"/>
                            <w:sz w:val="18"/>
                            <w:szCs w:val="18"/>
                          </w:rPr>
                        </w:pPr>
                        <w:r>
                          <w:rPr>
                            <w:rFonts w:ascii="宋体" w:hAnsi="宋体" w:cs="宋体" w:eastAsia="宋体" w:hint="default"/>
                            <w:sz w:val="18"/>
                            <w:szCs w:val="18"/>
                          </w:rPr>
                          <w:t>重大缺陷指考虑补偿性控制措施和实际偏 </w:t>
                        </w:r>
                        <w:r>
                          <w:rPr>
                            <w:rFonts w:ascii="宋体" w:hAnsi="宋体" w:cs="宋体" w:eastAsia="宋体" w:hint="default"/>
                            <w:spacing w:val="-3"/>
                            <w:sz w:val="18"/>
                            <w:szCs w:val="18"/>
                          </w:rPr>
                          <w:t>差率后，该缺陷总体影响水平高于重要性水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。重要缺陷指考虑补偿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性控制措施和实际偏差率后，该缺陷总体影</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响水平低于重要性水平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但高于一般性水平</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0.1%)</w:t>
                        </w:r>
                        <w:r>
                          <w:rPr>
                            <w:rFonts w:ascii="宋体" w:hAnsi="宋体" w:cs="宋体" w:eastAsia="宋体" w:hint="default"/>
                            <w:spacing w:val="-5"/>
                            <w:sz w:val="18"/>
                            <w:szCs w:val="18"/>
                          </w:rPr>
                          <w:t>。一般</w:t>
                        </w:r>
                        <w:r>
                          <w:rPr>
                            <w:rFonts w:ascii="宋体" w:hAnsi="宋体" w:cs="宋体" w:eastAsia="宋体" w:hint="default"/>
                            <w:sz w:val="18"/>
                            <w:szCs w:val="18"/>
                          </w:rPr>
                          <w:t> 缺陷指考虑补偿性控制措施和实际偏差率 后，该缺陷总体影响水平低于一般性水平 </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c>
                      <w:tcPr>
                        <w:tcW w:w="3993"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right="21"/>
                          <w:jc w:val="left"/>
                          <w:rPr>
                            <w:rFonts w:ascii="宋体" w:hAnsi="宋体" w:cs="宋体" w:eastAsia="宋体" w:hint="default"/>
                            <w:sz w:val="18"/>
                            <w:szCs w:val="18"/>
                          </w:rPr>
                        </w:pPr>
                        <w:r>
                          <w:rPr>
                            <w:rFonts w:ascii="宋体" w:hAnsi="宋体" w:cs="宋体" w:eastAsia="宋体" w:hint="default"/>
                            <w:sz w:val="18"/>
                            <w:szCs w:val="18"/>
                          </w:rPr>
                          <w:t>重大缺陷：造成直接财产损失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万元及以上（潜 在负面影响：具有已经对外正式披露并对公司定期 报告披露造成负面影响，公司关键岗位人员流失严 </w:t>
                        </w:r>
                        <w:r>
                          <w:rPr>
                            <w:rFonts w:ascii="宋体" w:hAnsi="宋体" w:cs="宋体" w:eastAsia="宋体" w:hint="default"/>
                            <w:spacing w:val="-5"/>
                            <w:sz w:val="18"/>
                            <w:szCs w:val="18"/>
                          </w:rPr>
                          <w:t>重，被媒体频频曝光负面新闻等潜在负面影响。）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重要缺陷：造成直接财产损失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万元（含）至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万元（潜在负面影响：受到国家政府部门处罚，但 未对公司定期报告披露造成负面影响，被媒体曝光 </w:t>
                        </w:r>
                        <w:r>
                          <w:rPr>
                            <w:rFonts w:ascii="宋体" w:hAnsi="宋体" w:cs="宋体" w:eastAsia="宋体" w:hint="default"/>
                            <w:spacing w:val="-6"/>
                            <w:sz w:val="18"/>
                            <w:szCs w:val="18"/>
                          </w:rPr>
                          <w:t>且产生负面影响等潜在负面影响。）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一般缺陷：造成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万元以下直接财产损失（潜在 负面影响：受到省级（含）以下政府部门处罚但未 对公司定期报告披露造成负面影响等潜在负面影 响。</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before="0"/>
        <w:ind w:left="0" w:right="89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0" w:right="89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89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0" w:right="892"/>
        <w:jc w:val="right"/>
      </w:pPr>
      <w:r>
        <w:rPr/>
        <w:t>，</w:t>
      </w:r>
    </w:p>
    <w:p>
      <w:pPr>
        <w:spacing w:after="0" w:line="240" w:lineRule="auto"/>
        <w:jc w:val="right"/>
        <w:sectPr>
          <w:pgSz w:w="11910" w:h="16840"/>
          <w:pgMar w:header="877" w:footer="979" w:top="1100" w:bottom="1160" w:left="84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541"/>
        <w:gridCol w:w="7453"/>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4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4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294"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294" w:right="0"/>
        <w:jc w:val="left"/>
      </w:pPr>
      <w:r>
        <w:rPr/>
        <w:t>不适用</w:t>
      </w:r>
    </w:p>
    <w:p>
      <w:pPr>
        <w:spacing w:after="0" w:line="240" w:lineRule="auto"/>
        <w:jc w:val="left"/>
        <w:sectPr>
          <w:pgSz w:w="11910" w:h="16840"/>
          <w:pgMar w:header="877" w:footer="979" w:top="1100" w:bottom="116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6"/>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7"/>
              <w:jc w:val="righ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ZA12291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夏利忠、卢吉</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4"/>
          <w:szCs w:val="14"/>
        </w:rPr>
      </w:pPr>
    </w:p>
    <w:p>
      <w:pPr>
        <w:spacing w:line="525" w:lineRule="auto" w:before="0"/>
        <w:ind w:left="515" w:right="-19" w:hanging="2"/>
        <w:jc w:val="left"/>
        <w:rPr>
          <w:rFonts w:ascii="宋体" w:hAnsi="宋体" w:cs="宋体" w:eastAsia="宋体" w:hint="default"/>
          <w:sz w:val="18"/>
          <w:szCs w:val="18"/>
        </w:rPr>
      </w:pPr>
      <w:r>
        <w:rPr>
          <w:rFonts w:ascii="宋体" w:hAnsi="宋体" w:cs="宋体" w:eastAsia="宋体" w:hint="default"/>
          <w:sz w:val="18"/>
          <w:szCs w:val="18"/>
        </w:rPr>
        <w:t>苏州恒久光电科技股份有限公司全体股东：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Heading3"/>
        <w:spacing w:line="240" w:lineRule="auto" w:before="26"/>
        <w:ind w:left="367"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980" w:right="0"/>
          <w:cols w:num="2" w:equalWidth="0">
            <w:col w:w="3935" w:space="40"/>
            <w:col w:w="6955"/>
          </w:cols>
        </w:sectPr>
      </w:pPr>
    </w:p>
    <w:p>
      <w:pPr>
        <w:pStyle w:val="BodyText"/>
        <w:spacing w:line="345" w:lineRule="auto" w:before="65"/>
        <w:ind w:right="1132" w:firstLine="360"/>
        <w:jc w:val="both"/>
      </w:pPr>
      <w:r>
        <w:rPr>
          <w:spacing w:val="-2"/>
        </w:rPr>
        <w:t>我们审计了苏州恒久光电科技股份有限公司（以下简称苏州恒久公司）财务报表，包括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w:t>
      </w:r>
      <w:r>
        <w:rPr/>
        <w:t> </w:t>
      </w:r>
      <w:r>
        <w:rPr>
          <w:spacing w:val="-2"/>
        </w:rPr>
        <w:t>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年度的合并及母公司利润表、合并及母公司现金流量表、合并及母公司所有者权益变动表以及相关财务报</w:t>
      </w:r>
      <w:r>
        <w:rPr>
          <w:spacing w:val="-62"/>
        </w:rPr>
        <w:t> </w:t>
      </w:r>
      <w:r>
        <w:rPr>
          <w:spacing w:val="-62"/>
        </w:rPr>
      </w:r>
      <w:r>
        <w:rPr/>
        <w:t>表附注。</w:t>
      </w:r>
    </w:p>
    <w:p>
      <w:pPr>
        <w:pStyle w:val="BodyText"/>
        <w:spacing w:line="345" w:lineRule="auto"/>
        <w:ind w:right="1130" w:firstLine="360"/>
        <w:jc w:val="both"/>
      </w:pPr>
      <w:r>
        <w:rPr>
          <w:spacing w:val="-2"/>
        </w:rPr>
        <w:t>我们认为，后附的财务报表在所有重大方面按照企业会计准则的规定编制，公允反映了苏州恒久公司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2018</w:t>
      </w:r>
      <w:r>
        <w:rPr/>
        <w:t>年度的合并及母公司经营成果和现金流量。</w:t>
      </w:r>
    </w:p>
    <w:p>
      <w:pPr>
        <w:spacing w:line="240" w:lineRule="auto" w:before="8"/>
        <w:rPr>
          <w:rFonts w:ascii="宋体" w:hAnsi="宋体" w:cs="宋体" w:eastAsia="宋体" w:hint="default"/>
          <w:sz w:val="13"/>
          <w:szCs w:val="13"/>
        </w:rPr>
      </w:pPr>
    </w:p>
    <w:p>
      <w:pPr>
        <w:pStyle w:val="Heading4"/>
        <w:spacing w:line="240" w:lineRule="auto"/>
        <w:ind w:right="0"/>
        <w:jc w:val="left"/>
        <w:rPr>
          <w:b w:val="0"/>
          <w:bCs w:val="0"/>
        </w:rPr>
      </w:pPr>
      <w:r>
        <w:rPr/>
        <w:t>二、形成审计意见的基础</w:t>
      </w:r>
      <w:r>
        <w:rPr>
          <w:b w:val="0"/>
          <w:bCs w:val="0"/>
        </w:rPr>
      </w:r>
    </w:p>
    <w:p>
      <w:pPr>
        <w:spacing w:line="240" w:lineRule="auto" w:before="4"/>
        <w:rPr>
          <w:rFonts w:ascii="宋体" w:hAnsi="宋体" w:cs="宋体" w:eastAsia="宋体" w:hint="default"/>
          <w:b/>
          <w:bCs/>
          <w:sz w:val="21"/>
          <w:szCs w:val="21"/>
        </w:rPr>
      </w:pPr>
    </w:p>
    <w:p>
      <w:pPr>
        <w:pStyle w:val="BodyText"/>
        <w:spacing w:line="355" w:lineRule="auto" w:before="0"/>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阐述了我们在这些准则下的责任。按照中国注册会计师职业道德守则，我们独立于苏州恒久公司，并履行了职业道德方面的</w:t>
      </w:r>
      <w:r>
        <w:rPr>
          <w:spacing w:val="-66"/>
        </w:rPr>
        <w:t> </w:t>
      </w:r>
      <w:r>
        <w:rPr>
          <w:spacing w:val="-66"/>
        </w:rPr>
      </w:r>
      <w:r>
        <w:rPr/>
        <w:t>其他责任。我们相信，我们获取的审计证据是充分、适当的，为发表审计意见提供了基础。</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r>
        <w:rPr/>
        <w:t>三、关键审计事项</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043"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line="240" w:lineRule="auto" w:before="2"/>
        <w:rPr>
          <w:rFonts w:ascii="宋体" w:hAnsi="宋体" w:cs="宋体" w:eastAsia="宋体" w:hint="default"/>
          <w:sz w:val="27"/>
          <w:szCs w:val="27"/>
        </w:rPr>
      </w:pPr>
    </w:p>
    <w:tbl>
      <w:tblPr>
        <w:tblW w:w="0" w:type="auto"/>
        <w:jc w:val="left"/>
        <w:tblInd w:w="855" w:type="dxa"/>
        <w:tblLayout w:type="fixed"/>
        <w:tblCellMar>
          <w:top w:w="0" w:type="dxa"/>
          <w:left w:w="0" w:type="dxa"/>
          <w:bottom w:w="0" w:type="dxa"/>
          <w:right w:w="0" w:type="dxa"/>
        </w:tblCellMar>
        <w:tblLook w:val="01E0"/>
      </w:tblPr>
      <w:tblGrid>
        <w:gridCol w:w="4154"/>
        <w:gridCol w:w="4070"/>
      </w:tblGrid>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82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（一）应收账款的可收回性</w:t>
            </w:r>
            <w:r>
              <w:rPr>
                <w:rFonts w:ascii="宋体" w:hAnsi="宋体" w:cs="宋体" w:eastAsia="宋体" w:hint="default"/>
                <w:sz w:val="18"/>
                <w:szCs w:val="18"/>
              </w:rPr>
            </w:r>
          </w:p>
        </w:tc>
      </w:tr>
      <w:tr>
        <w:trPr>
          <w:trHeight w:val="2220"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4" w:firstLine="360"/>
              <w:jc w:val="both"/>
              <w:rPr>
                <w:rFonts w:ascii="宋体" w:hAnsi="宋体" w:cs="宋体" w:eastAsia="宋体" w:hint="default"/>
                <w:sz w:val="18"/>
                <w:szCs w:val="18"/>
              </w:rPr>
            </w:pPr>
            <w:r>
              <w:rPr>
                <w:rFonts w:ascii="宋体" w:hAnsi="宋体" w:cs="宋体" w:eastAsia="宋体" w:hint="default"/>
                <w:sz w:val="18"/>
                <w:szCs w:val="18"/>
              </w:rPr>
              <w:t>请参阅后附苏州恒久公司财务报表附注</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五之 </w:t>
            </w:r>
            <w:r>
              <w:rPr>
                <w:rFonts w:ascii="Times New Roman" w:hAnsi="Times New Roman" w:cs="Times New Roman" w:eastAsia="Times New Roman" w:hint="default"/>
                <w:sz w:val="18"/>
                <w:szCs w:val="18"/>
              </w:rPr>
              <w:t>11”</w:t>
            </w:r>
            <w:r>
              <w:rPr>
                <w:rFonts w:ascii="宋体" w:hAnsi="宋体" w:cs="宋体" w:eastAsia="宋体" w:hint="default"/>
                <w:sz w:val="18"/>
                <w:szCs w:val="18"/>
              </w:rPr>
              <w:t>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七之</w:t>
            </w:r>
            <w:r>
              <w:rPr>
                <w:rFonts w:ascii="Times New Roman" w:hAnsi="Times New Roman" w:cs="Times New Roman" w:eastAsia="Times New Roman" w:hint="default"/>
                <w:sz w:val="18"/>
                <w:szCs w:val="18"/>
              </w:rPr>
              <w:t>4”</w:t>
            </w:r>
            <w:r>
              <w:rPr>
                <w:rFonts w:ascii="宋体" w:hAnsi="宋体" w:cs="宋体" w:eastAsia="宋体" w:hint="default"/>
                <w:sz w:val="18"/>
                <w:szCs w:val="18"/>
              </w:rPr>
              <w:t>应收账款的相关内容。</w:t>
            </w:r>
          </w:p>
          <w:p>
            <w:pPr>
              <w:pStyle w:val="TableParagraph"/>
              <w:spacing w:line="300" w:lineRule="auto" w:before="13"/>
              <w:ind w:left="2" w:right="3" w:firstLine="360"/>
              <w:jc w:val="both"/>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日，苏州恒久公司应收账款的账 面余额</w:t>
            </w:r>
            <w:r>
              <w:rPr>
                <w:rFonts w:ascii="Times New Roman" w:hAnsi="Times New Roman" w:cs="Times New Roman" w:eastAsia="Times New Roman" w:hint="default"/>
                <w:sz w:val="18"/>
                <w:szCs w:val="18"/>
              </w:rPr>
              <w:t>12,204.28</w:t>
            </w:r>
            <w:r>
              <w:rPr>
                <w:rFonts w:ascii="宋体" w:hAnsi="宋体" w:cs="宋体" w:eastAsia="宋体" w:hint="default"/>
                <w:sz w:val="18"/>
                <w:szCs w:val="18"/>
              </w:rPr>
              <w:t>万元，计提的坏账准备金额为</w:t>
            </w:r>
            <w:r>
              <w:rPr>
                <w:rFonts w:ascii="Times New Roman" w:hAnsi="Times New Roman" w:cs="Times New Roman" w:eastAsia="Times New Roman" w:hint="default"/>
                <w:sz w:val="18"/>
                <w:szCs w:val="18"/>
              </w:rPr>
              <w:t>633.44 </w:t>
            </w:r>
            <w:r>
              <w:rPr>
                <w:rFonts w:ascii="宋体" w:hAnsi="宋体" w:cs="宋体" w:eastAsia="宋体" w:hint="default"/>
                <w:sz w:val="18"/>
                <w:szCs w:val="18"/>
              </w:rPr>
              <w:t>万元。</w:t>
            </w:r>
          </w:p>
          <w:p>
            <w:pPr>
              <w:pStyle w:val="TableParagraph"/>
              <w:spacing w:line="316" w:lineRule="auto" w:before="31"/>
              <w:ind w:left="2" w:right="3" w:firstLine="360"/>
              <w:jc w:val="both"/>
              <w:rPr>
                <w:rFonts w:ascii="宋体" w:hAnsi="宋体" w:cs="宋体" w:eastAsia="宋体" w:hint="default"/>
                <w:sz w:val="18"/>
                <w:szCs w:val="18"/>
              </w:rPr>
            </w:pPr>
            <w:r>
              <w:rPr>
                <w:rFonts w:ascii="宋体" w:hAnsi="宋体" w:cs="宋体" w:eastAsia="宋体" w:hint="default"/>
                <w:sz w:val="18"/>
                <w:szCs w:val="18"/>
              </w:rPr>
              <w:t>苏州恒久公司管理层（以下简称管理层）在确定 应收账款预计可收回金额时需要评估相关客户的信</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0" w:firstLine="360"/>
              <w:jc w:val="left"/>
              <w:rPr>
                <w:rFonts w:ascii="宋体" w:hAnsi="宋体" w:cs="宋体" w:eastAsia="宋体" w:hint="default"/>
                <w:sz w:val="18"/>
                <w:szCs w:val="18"/>
              </w:rPr>
            </w:pPr>
            <w:r>
              <w:rPr>
                <w:rFonts w:ascii="宋体" w:hAnsi="宋体" w:cs="宋体" w:eastAsia="宋体" w:hint="default"/>
                <w:sz w:val="18"/>
                <w:szCs w:val="18"/>
              </w:rPr>
              <w:t>我们就应收账款的可收回性实施的审计程序包 括：</w:t>
            </w:r>
          </w:p>
          <w:p>
            <w:pPr>
              <w:pStyle w:val="TableParagraph"/>
              <w:spacing w:line="309" w:lineRule="auto" w:before="19"/>
              <w:ind w:left="2" w:right="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、了解、评估并测试苏州恒久公司对应收账款 账龄分析以及确定应收账款坏账准备相关的内部控 制；</w:t>
            </w:r>
          </w:p>
          <w:p>
            <w:pPr>
              <w:pStyle w:val="TableParagraph"/>
              <w:spacing w:line="300" w:lineRule="auto" w:before="24"/>
              <w:ind w:left="2" w:right="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、复核苏州恒久公司对应收账款进行减值测试 的相关考虑及客观证据，关注管理层是否充分识别</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855" w:type="dxa"/>
        <w:tblLayout w:type="fixed"/>
        <w:tblCellMar>
          <w:top w:w="0" w:type="dxa"/>
          <w:left w:w="0" w:type="dxa"/>
          <w:bottom w:w="0" w:type="dxa"/>
          <w:right w:w="0" w:type="dxa"/>
        </w:tblCellMar>
        <w:tblLook w:val="01E0"/>
      </w:tblPr>
      <w:tblGrid>
        <w:gridCol w:w="4154"/>
        <w:gridCol w:w="4070"/>
      </w:tblGrid>
      <w:tr>
        <w:trPr>
          <w:trHeight w:val="2843"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用情况，包括可获抵押或质押物状况以及实际还款情 况等因素。</w:t>
            </w:r>
          </w:p>
          <w:p>
            <w:pPr>
              <w:pStyle w:val="TableParagraph"/>
              <w:spacing w:line="319" w:lineRule="auto" w:before="19"/>
              <w:ind w:left="2" w:right="3" w:firstLine="360"/>
              <w:jc w:val="left"/>
              <w:rPr>
                <w:rFonts w:ascii="宋体" w:hAnsi="宋体" w:cs="宋体" w:eastAsia="宋体" w:hint="default"/>
                <w:sz w:val="18"/>
                <w:szCs w:val="18"/>
              </w:rPr>
            </w:pPr>
            <w:r>
              <w:rPr>
                <w:rFonts w:ascii="宋体" w:hAnsi="宋体" w:cs="宋体" w:eastAsia="宋体" w:hint="default"/>
                <w:sz w:val="18"/>
                <w:szCs w:val="18"/>
              </w:rPr>
              <w:t>由于管理层在确定应收账款预计可收回金额时 需要运用重大会计估计和判断，且影响金额重大，因 此我们确定将应收账款的可收回性作为关键审计事 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已发生减值的项目；</w:t>
            </w:r>
          </w:p>
          <w:p>
            <w:pPr>
              <w:pStyle w:val="TableParagraph"/>
              <w:spacing w:line="309" w:lineRule="auto" w:before="76"/>
              <w:ind w:left="2" w:right="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、对于苏州恒久公司按照信用风险特征组合计 提坏账准备的应收账款，评价管理层确定的坏账准 备计提比例是否合理；</w:t>
            </w:r>
          </w:p>
          <w:p>
            <w:pPr>
              <w:pStyle w:val="TableParagraph"/>
              <w:spacing w:line="300" w:lineRule="auto" w:before="24"/>
              <w:ind w:left="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、对应收账款实施函证程序，并将函证结果与 苏州恒久公司记录的金额进行了核对；</w:t>
            </w:r>
          </w:p>
          <w:p>
            <w:pPr>
              <w:pStyle w:val="TableParagraph"/>
              <w:spacing w:line="300" w:lineRule="auto" w:before="31"/>
              <w:ind w:left="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、结合期后回款情况检查，评价苏州恒久公司 坏账准备计提的合理性。</w:t>
            </w:r>
          </w:p>
        </w:tc>
      </w:tr>
      <w:tr>
        <w:trPr>
          <w:trHeight w:val="347" w:hRule="exact"/>
        </w:trPr>
        <w:tc>
          <w:tcPr>
            <w:tcW w:w="82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（二）存货跌价准备的计提</w:t>
            </w:r>
            <w:r>
              <w:rPr>
                <w:rFonts w:ascii="宋体" w:hAnsi="宋体" w:cs="宋体" w:eastAsia="宋体" w:hint="default"/>
                <w:sz w:val="18"/>
                <w:szCs w:val="18"/>
              </w:rPr>
            </w:r>
          </w:p>
        </w:tc>
      </w:tr>
      <w:tr>
        <w:trPr>
          <w:trHeight w:val="6495"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4"/>
              <w:ind w:left="2" w:right="84" w:firstLine="360"/>
              <w:jc w:val="left"/>
              <w:rPr>
                <w:rFonts w:ascii="宋体" w:hAnsi="宋体" w:cs="宋体" w:eastAsia="宋体" w:hint="default"/>
                <w:sz w:val="18"/>
                <w:szCs w:val="18"/>
              </w:rPr>
            </w:pPr>
            <w:r>
              <w:rPr>
                <w:rFonts w:ascii="宋体" w:hAnsi="宋体" w:cs="宋体" w:eastAsia="宋体" w:hint="default"/>
                <w:sz w:val="18"/>
                <w:szCs w:val="18"/>
              </w:rPr>
              <w:t>请参阅后附苏州恒久公司财务报表附注“五之 </w:t>
            </w:r>
            <w:r>
              <w:rPr>
                <w:rFonts w:ascii="宋体" w:hAnsi="宋体" w:cs="宋体" w:eastAsia="宋体" w:hint="default"/>
                <w:sz w:val="18"/>
                <w:szCs w:val="18"/>
              </w:rPr>
              <w:t>12</w:t>
            </w:r>
            <w:r>
              <w:rPr>
                <w:rFonts w:ascii="宋体" w:hAnsi="宋体" w:cs="宋体" w:eastAsia="宋体" w:hint="default"/>
                <w:sz w:val="18"/>
                <w:szCs w:val="18"/>
              </w:rPr>
              <w:t>”所述的会计政策及“七之</w:t>
            </w:r>
            <w:r>
              <w:rPr>
                <w:rFonts w:ascii="宋体" w:hAnsi="宋体" w:cs="宋体" w:eastAsia="宋体" w:hint="default"/>
                <w:sz w:val="18"/>
                <w:szCs w:val="18"/>
              </w:rPr>
              <w:t>7</w:t>
            </w:r>
            <w:r>
              <w:rPr>
                <w:rFonts w:ascii="宋体" w:hAnsi="宋体" w:cs="宋体" w:eastAsia="宋体" w:hint="default"/>
                <w:sz w:val="18"/>
                <w:szCs w:val="18"/>
              </w:rPr>
              <w:t>”存货的相关内容。</w:t>
            </w:r>
          </w:p>
          <w:p>
            <w:pPr>
              <w:pStyle w:val="TableParagraph"/>
              <w:spacing w:line="364" w:lineRule="auto" w:before="29"/>
              <w:ind w:left="2" w:right="3" w:firstLine="36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日，苏州恒久公司存货的账面余 额为</w:t>
            </w:r>
            <w:r>
              <w:rPr>
                <w:rFonts w:ascii="宋体" w:hAnsi="宋体" w:cs="宋体" w:eastAsia="宋体" w:hint="default"/>
                <w:sz w:val="18"/>
                <w:szCs w:val="18"/>
              </w:rPr>
              <w:t>11,065.25</w:t>
            </w:r>
            <w:r>
              <w:rPr>
                <w:rFonts w:ascii="宋体" w:hAnsi="宋体" w:cs="宋体" w:eastAsia="宋体" w:hint="default"/>
                <w:sz w:val="18"/>
                <w:szCs w:val="18"/>
              </w:rPr>
              <w:t>万元，计提的存货跌价准备金额为 </w:t>
            </w:r>
            <w:r>
              <w:rPr>
                <w:rFonts w:ascii="宋体" w:hAnsi="宋体" w:cs="宋体" w:eastAsia="宋体" w:hint="default"/>
                <w:sz w:val="18"/>
                <w:szCs w:val="18"/>
              </w:rPr>
              <w:t>399.44</w:t>
            </w:r>
            <w:r>
              <w:rPr>
                <w:rFonts w:ascii="宋体" w:hAnsi="宋体" w:cs="宋体" w:eastAsia="宋体" w:hint="default"/>
                <w:sz w:val="18"/>
                <w:szCs w:val="18"/>
              </w:rPr>
              <w:t>万元，期末存货采用成本与可变现净值孰低的 方法进行计量，存货跌价准备计提是否充分对财务报 表影响重大。</w:t>
            </w:r>
          </w:p>
          <w:p>
            <w:pPr>
              <w:pStyle w:val="TableParagraph"/>
              <w:spacing w:line="364" w:lineRule="auto" w:before="29"/>
              <w:ind w:left="2" w:right="174" w:firstLine="360"/>
              <w:jc w:val="left"/>
              <w:rPr>
                <w:rFonts w:ascii="宋体" w:hAnsi="宋体" w:cs="宋体" w:eastAsia="宋体" w:hint="default"/>
                <w:sz w:val="18"/>
                <w:szCs w:val="18"/>
              </w:rPr>
            </w:pPr>
            <w:r>
              <w:rPr>
                <w:rFonts w:ascii="宋体" w:hAnsi="宋体" w:cs="宋体" w:eastAsia="宋体" w:hint="default"/>
                <w:sz w:val="18"/>
                <w:szCs w:val="18"/>
              </w:rPr>
              <w:t>苏州恒久公司以存货的估计售价减去估计的销 售费用和相关税费后的金额，确定其可变现净值。</w:t>
            </w:r>
          </w:p>
          <w:p>
            <w:pPr>
              <w:pStyle w:val="TableParagraph"/>
              <w:spacing w:line="364" w:lineRule="auto" w:before="29"/>
              <w:ind w:left="2" w:right="3" w:firstLine="360"/>
              <w:jc w:val="left"/>
              <w:rPr>
                <w:rFonts w:ascii="宋体" w:hAnsi="宋体" w:cs="宋体" w:eastAsia="宋体" w:hint="default"/>
                <w:sz w:val="18"/>
                <w:szCs w:val="18"/>
              </w:rPr>
            </w:pPr>
            <w:r>
              <w:rPr>
                <w:rFonts w:ascii="宋体" w:hAnsi="宋体" w:cs="宋体" w:eastAsia="宋体" w:hint="default"/>
                <w:sz w:val="18"/>
                <w:szCs w:val="18"/>
              </w:rPr>
              <w:t>管理层以存货的状态估计其预计售价，在估计过 程中管理层需要运用重大判断。</w:t>
            </w:r>
          </w:p>
          <w:p>
            <w:pPr>
              <w:pStyle w:val="TableParagraph"/>
              <w:spacing w:line="364" w:lineRule="auto" w:before="29"/>
              <w:ind w:left="2" w:right="3" w:firstLine="36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日存货账面金额较大，并且涉及 可变现净值的估计，因此我们确定将存货跌价准备的 计提作为关键审计事项。</w:t>
            </w:r>
          </w:p>
        </w:tc>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44"/>
              <w:ind w:left="2" w:right="90" w:firstLine="360"/>
              <w:jc w:val="left"/>
              <w:rPr>
                <w:rFonts w:ascii="宋体" w:hAnsi="宋体" w:cs="宋体" w:eastAsia="宋体" w:hint="default"/>
                <w:sz w:val="18"/>
                <w:szCs w:val="18"/>
              </w:rPr>
            </w:pPr>
            <w:r>
              <w:rPr>
                <w:rFonts w:ascii="宋体" w:hAnsi="宋体" w:cs="宋体" w:eastAsia="宋体" w:hint="default"/>
                <w:sz w:val="18"/>
                <w:szCs w:val="18"/>
              </w:rPr>
              <w:t>我们就存货跌价准备的计提实施的审计程序包 括：</w:t>
            </w:r>
          </w:p>
          <w:p>
            <w:pPr>
              <w:pStyle w:val="TableParagraph"/>
              <w:spacing w:line="364" w:lineRule="auto" w:before="29"/>
              <w:ind w:left="2" w:right="2"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、对苏州恒久公司存货跌价准备相关的内部控 制的设计与运行进行了评估；</w:t>
            </w:r>
          </w:p>
          <w:p>
            <w:pPr>
              <w:pStyle w:val="TableParagraph"/>
              <w:spacing w:line="364" w:lineRule="auto" w:before="29"/>
              <w:ind w:left="2" w:right="0"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、对苏州恒久公司的存货实施监盘，检查存货 的数量及状况，并对库龄较长的存货进行检查；</w:t>
            </w:r>
          </w:p>
          <w:p>
            <w:pPr>
              <w:pStyle w:val="TableParagraph"/>
              <w:spacing w:line="364" w:lineRule="auto" w:before="29"/>
              <w:ind w:left="2" w:right="0"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、获取苏州恒久公司存货跌价准备计算表，检 查是否按苏州恒久公司相关会计政策执行，检查以 前年度计提的存货跌价准备本期的变化情况等，分 析存货跌价准备计提是否充分；</w:t>
            </w:r>
          </w:p>
          <w:p>
            <w:pPr>
              <w:pStyle w:val="TableParagraph"/>
              <w:spacing w:line="364" w:lineRule="auto" w:before="30"/>
              <w:ind w:left="2" w:right="0"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、对于能够获取公开市场销售价格的产品，独 立查询公开市场价格信息，将其与估计售价进行比 较；对于无法获取公开市场销售价格的产品，将产 品估计售价与最近或期后的实际售价进行比较；</w:t>
            </w:r>
          </w:p>
          <w:p>
            <w:pPr>
              <w:pStyle w:val="TableParagraph"/>
              <w:spacing w:line="364" w:lineRule="auto" w:before="29"/>
              <w:ind w:left="2" w:right="0" w:firstLine="36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、比较同类产品的历史销售费用和相关税费， 对管理层估计的销售费用和相关税费进行评估，并 与资产负债表日后的实际发生额进行核对。</w:t>
            </w:r>
          </w:p>
        </w:tc>
      </w:tr>
    </w:tbl>
    <w:p>
      <w:pPr>
        <w:spacing w:line="240" w:lineRule="auto" w:before="1"/>
        <w:rPr>
          <w:rFonts w:ascii="宋体" w:hAnsi="宋体" w:cs="宋体" w:eastAsia="宋体" w:hint="default"/>
          <w:sz w:val="11"/>
          <w:szCs w:val="11"/>
        </w:rPr>
      </w:pPr>
    </w:p>
    <w:p>
      <w:pPr>
        <w:pStyle w:val="Heading4"/>
        <w:spacing w:line="240" w:lineRule="auto" w:before="44"/>
        <w:ind w:right="0"/>
        <w:jc w:val="left"/>
        <w:rPr>
          <w:b w:val="0"/>
          <w:bCs w:val="0"/>
        </w:rPr>
      </w:pPr>
      <w:r>
        <w:rPr/>
        <w:t>四、</w:t>
      </w:r>
      <w:r>
        <w:rPr>
          <w:spacing w:val="25"/>
        </w:rPr>
        <w:t> </w:t>
      </w:r>
      <w:r>
        <w:rPr/>
        <w:t>其他信息</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18" w:firstLine="360"/>
        <w:jc w:val="left"/>
      </w:pPr>
      <w:r>
        <w:rPr>
          <w:spacing w:val="-2"/>
        </w:rPr>
        <w:t>管理层对其他信息负责。其他信息包括苏州恒久公司</w:t>
      </w:r>
      <w:r>
        <w:rPr>
          <w:rFonts w:ascii="宋体" w:hAnsi="宋体" w:cs="宋体" w:eastAsia="宋体" w:hint="default"/>
          <w:spacing w:val="-2"/>
        </w:rPr>
        <w:t>2018</w:t>
      </w:r>
      <w:r>
        <w:rPr>
          <w:spacing w:val="-2"/>
        </w:rPr>
        <w:t>年年度报告中涵盖的信息，但不包括财务报表和我们的审计报</w:t>
      </w:r>
      <w:r>
        <w:rPr/>
        <w:t> 告。</w:t>
      </w:r>
    </w:p>
    <w:p>
      <w:pPr>
        <w:pStyle w:val="BodyText"/>
        <w:spacing w:line="364" w:lineRule="auto" w:before="29"/>
        <w:ind w:left="51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64" w:lineRule="auto" w:before="29"/>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30"/>
        <w:ind w:right="0"/>
        <w:jc w:val="left"/>
      </w:pPr>
      <w:r>
        <w:rPr/>
        <w:t>报告。</w:t>
      </w:r>
    </w:p>
    <w:p>
      <w:pPr>
        <w:spacing w:line="240" w:lineRule="auto" w:before="4"/>
        <w:rPr>
          <w:rFonts w:ascii="宋体" w:hAnsi="宋体" w:cs="宋体" w:eastAsia="宋体" w:hint="default"/>
          <w:sz w:val="21"/>
          <w:szCs w:val="21"/>
        </w:rPr>
      </w:pPr>
    </w:p>
    <w:p>
      <w:pPr>
        <w:spacing w:line="525"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五、</w:t>
      </w:r>
      <w:r>
        <w:rPr>
          <w:rFonts w:ascii="宋体" w:hAnsi="宋体" w:cs="宋体" w:eastAsia="宋体" w:hint="default"/>
          <w:b/>
          <w:bCs/>
          <w:spacing w:val="26"/>
          <w:sz w:val="18"/>
          <w:szCs w:val="18"/>
        </w:rPr>
        <w:t> </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spacing w:after="0" w:line="525"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left="514" w:right="0" w:hanging="360"/>
        <w:jc w:val="left"/>
      </w:pPr>
      <w:r>
        <w:rPr/>
        <w:t>务报表不存在由于舞弊或错误导致的重大错报。 </w:t>
      </w:r>
      <w:r>
        <w:rPr>
          <w:spacing w:val="-2"/>
        </w:rPr>
        <w:t>在编制财务报表时，管理层负责评估苏州恒久公司的持续经营能力，披露与持续经营相关的事项（如适用），并运用持</w:t>
      </w:r>
    </w:p>
    <w:p>
      <w:pPr>
        <w:pStyle w:val="BodyText"/>
        <w:spacing w:line="364" w:lineRule="auto" w:before="29"/>
        <w:ind w:left="514" w:right="5352" w:hanging="360"/>
        <w:jc w:val="left"/>
      </w:pPr>
      <w:r>
        <w:rPr/>
        <w:t>续经营假设，除非计划进行清算、终止运营或别无其他现实的选择。 治理层负责监督苏州恒久公司的财务报告过程。</w:t>
      </w: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r>
        <w:rPr/>
        <w:t>六、</w:t>
      </w:r>
      <w:r>
        <w:rPr>
          <w:spacing w:val="24"/>
        </w:rPr>
        <w:t> </w:t>
      </w:r>
      <w:r>
        <w:rPr/>
        <w:t>注册会计师对财务报表审计的责任</w:t>
      </w:r>
      <w:r>
        <w:rPr>
          <w:b w:val="0"/>
          <w:bCs w:val="0"/>
        </w:rPr>
      </w:r>
    </w:p>
    <w:p>
      <w:pPr>
        <w:spacing w:line="240" w:lineRule="auto" w:before="4"/>
        <w:rPr>
          <w:rFonts w:ascii="宋体" w:hAnsi="宋体" w:cs="宋体" w:eastAsia="宋体" w:hint="default"/>
          <w:b/>
          <w:bCs/>
          <w:sz w:val="21"/>
          <w:szCs w:val="21"/>
        </w:rPr>
      </w:pPr>
    </w:p>
    <w:p>
      <w:pPr>
        <w:pStyle w:val="BodyText"/>
        <w:spacing w:line="364" w:lineRule="auto" w:before="0"/>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29"/>
        <w:ind w:left="514" w:right="0"/>
        <w:jc w:val="left"/>
      </w:pPr>
      <w:r>
        <w:rPr/>
        <w:t>在按照审计准则执行审计工作的过程中，我们运用职业判断，并保持职业怀疑。同时，我们也执行以下工作：</w:t>
      </w:r>
    </w:p>
    <w:p>
      <w:pPr>
        <w:pStyle w:val="BodyText"/>
        <w:spacing w:line="364" w:lineRule="auto" w:before="123"/>
        <w:ind w:right="1032"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9"/>
        <w:ind w:left="514" w:right="0"/>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123"/>
        <w:ind w:left="514"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64" w:lineRule="auto" w:before="123"/>
        <w:ind w:right="1132" w:firstLine="360"/>
        <w:jc w:val="both"/>
      </w:pPr>
      <w:r>
        <w:rPr/>
        <w:t>（</w:t>
      </w:r>
      <w:r>
        <w:rPr>
          <w:rFonts w:ascii="宋体" w:hAnsi="宋体" w:cs="宋体" w:eastAsia="宋体" w:hint="default"/>
        </w:rPr>
        <w:t>4</w:t>
      </w:r>
      <w:r>
        <w:rPr/>
        <w:t>）对管理层使用持续经营假设的恰当性得出结论。同时，根据获取的审计证据，就可能导致对苏州恒久公司持续经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论基于截至审计报告日可获得的信息。然而，未来的事项或情况可能导致苏州恒久公司不能持续经营。</w:t>
      </w:r>
    </w:p>
    <w:p>
      <w:pPr>
        <w:pStyle w:val="BodyText"/>
        <w:spacing w:line="240" w:lineRule="auto" w:before="29"/>
        <w:ind w:left="514"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64" w:lineRule="auto" w:before="123"/>
        <w:ind w:right="1141" w:firstLine="360"/>
        <w:jc w:val="both"/>
      </w:pPr>
      <w:r>
        <w:rPr/>
        <w:t>（</w:t>
      </w:r>
      <w:r>
        <w:rPr>
          <w:rFonts w:ascii="宋体" w:hAnsi="宋体" w:cs="宋体" w:eastAsia="宋体" w:hint="default"/>
        </w:rPr>
        <w:t>6</w:t>
      </w:r>
      <w:r>
        <w:rPr/>
        <w:t>）就苏州恒久公司中实体或业务活动的财务信息获取充分、适当的审计证据，以对财务报表发表审计意见。我们负 责指导、监督和执行集团审计，并对审计意见承担全部责任。</w:t>
      </w:r>
    </w:p>
    <w:p>
      <w:pPr>
        <w:pStyle w:val="BodyText"/>
        <w:spacing w:line="364" w:lineRule="auto" w:before="29"/>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64" w:lineRule="auto" w:before="29"/>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64" w:lineRule="auto" w:before="29"/>
        <w:ind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tabs>
          <w:tab w:pos="4793" w:val="left" w:leader="none"/>
        </w:tabs>
        <w:spacing w:line="240" w:lineRule="auto" w:before="0"/>
        <w:ind w:right="0"/>
        <w:jc w:val="left"/>
      </w:pPr>
      <w:r>
        <w:rPr/>
        <w:t>立信会计师事务所</w:t>
        <w:tab/>
        <w:t>中国注册会计师：夏利忠（项目合伙人）</w:t>
      </w:r>
    </w:p>
    <w:p>
      <w:pPr>
        <w:pStyle w:val="BodyText"/>
        <w:spacing w:line="240" w:lineRule="auto" w:before="76"/>
        <w:ind w:right="0"/>
        <w:jc w:val="left"/>
      </w:pPr>
      <w:r>
        <w:rPr/>
        <w:t>（特殊普通合伙）</w:t>
      </w:r>
    </w:p>
    <w:p>
      <w:pPr>
        <w:pStyle w:val="BodyText"/>
        <w:spacing w:line="240" w:lineRule="auto" w:before="76"/>
        <w:ind w:left="3887" w:right="3401"/>
        <w:jc w:val="center"/>
      </w:pPr>
      <w:r>
        <w:rPr/>
        <w:t>中国注册会计师：卢吉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tabs>
          <w:tab w:pos="4823" w:val="left" w:leader="none"/>
        </w:tabs>
        <w:spacing w:line="240" w:lineRule="auto" w:before="0"/>
        <w:ind w:right="0"/>
        <w:jc w:val="left"/>
      </w:pPr>
      <w:r>
        <w:rPr>
          <w:spacing w:val="-1"/>
        </w:rPr>
        <w:t>中国</w:t>
      </w:r>
      <w:r>
        <w:rPr>
          <w:rFonts w:ascii="Times New Roman" w:hAnsi="Times New Roman" w:cs="Times New Roman" w:eastAsia="Times New Roman" w:hint="default"/>
          <w:spacing w:val="-1"/>
        </w:rPr>
        <w:t>•</w:t>
      </w:r>
      <w:r>
        <w:rPr>
          <w:spacing w:val="-1"/>
        </w:rPr>
        <w:t>上海</w:t>
        <w:tab/>
        <w:t>二</w:t>
      </w:r>
      <w:r>
        <w:rPr>
          <w:rFonts w:ascii="Times New Roman" w:hAnsi="Times New Roman" w:cs="Times New Roman" w:eastAsia="Times New Roman" w:hint="default"/>
          <w:spacing w:val="-1"/>
        </w:rPr>
        <w:t>O</w:t>
      </w:r>
      <w:r>
        <w:rPr>
          <w:spacing w:val="-1"/>
        </w:rPr>
        <w:t>一九年四月二十五日</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ind w:right="-20"/>
        <w:jc w:val="left"/>
      </w:pPr>
      <w:r>
        <w:rPr/>
        <w:t>编制单位：苏州恒久光电科技股份有限公司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160,416,538.74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202,537,002.62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116,570,303.92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74,653,817.34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861,938.00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115,708,365.92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74,362,327.34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8,104,420.64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4,676,327.70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1,226,940.39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573,159.95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1,214,998.64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565,485.86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106,658,120.35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93,948,146.38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108,673,282.01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70,570,525.82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501,724,418.55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446,958,979.81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29,377,168.51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11,902,301.00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37,147,586.86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32,235,326.58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100,336,397.91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108,973,425.47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16,219,484.14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16,670,938.20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195,938.65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356,281.22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2,262,390.23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1,426,240.23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76,078.97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4,374,748.00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185,615,045.27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175,939,260.70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687,339,463.82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622,898,240.51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676,475.00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49,709,548.09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73,423,061.66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4,656,208.40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3,359,443.18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1,256,012.62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1,399,616.87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2,749,866.83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2,078,827.63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1,125,321.94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541,149.06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87,725.00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119,496,957.88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81,478,573.40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412,500.00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805,064.23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1,217,564.23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120,714,522.11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81,941,073.40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704,658.57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96,631.29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34,853,865.73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207,440,369.26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184,882,790.78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566,624,941.71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540,957,167.11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566,624,941.71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540,957,167.11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687,339,463.82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622,898,240.51</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法定代表人：余荣清</w:t>
        <w:tab/>
        <w:t>主管会计工作负责人：孙仕杰</w:t>
        <w:tab/>
        <w:t>会计机构负责人：冯芬兰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144,261,609.25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182,831,635.05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90,659,238.55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58,386,280.73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861,938.00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89,797,300.55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58,094,790.73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3,122,427.24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1,739,016.15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21,133,927.55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15,826,469.89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1,068,433.64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472,965.86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31,014,511.39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37,534,219.31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48,931,405.86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55,011,772.62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339,197,932.34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351,329,393.75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9,395,185.44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11,902,301.00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243,886,455.97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163,351,826.58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14,109,961.28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15,305,056.30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4,102,464.12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4,258,094.90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172,526.78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246,311.42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1,266,951.56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871,287.29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437,388.00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272,958,545.15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196,372,265.49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612,156,477.49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547,701,659.24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676,475.00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17,813,026.75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23,340,363.14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4,148,566.40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2,951,221.19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705,508.75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853,798.60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695,401.81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795,941.11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249,607.04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6,135,779.77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87,725.00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83,612,110.75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34,753,578.81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224,597.95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637,097.95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84,249,208.70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35,216,078.81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131,626,048.15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34,853,865.73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169,427,354.91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156,507,835.39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527,907,268.79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512,485,580.43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612,156,477.49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547,701,659.24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318,813,645.89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286,359,847.67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318,813,645.89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286,359,847.67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287,439,803.61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259,591,524.05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255,016,244.18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213,756,314.31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2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112"/>
        <w:gridCol w:w="2834"/>
        <w:gridCol w:w="2622"/>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2,016,933.52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1,835,264.50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11,562,936.50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11,193,777.86</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7,646,467.08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7,117,279.17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14,719,202.15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17,569,878.17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-11,147,137.33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6,569,896.76</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1,337,670.91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3,714,807.25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2,591,137.42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7,625,157.51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1,549,113.28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607,416.73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531,456.44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6,029,267.55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7,955,048.13</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4,912,260.28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2,951,026.64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751,287.50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38,761,814.06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34,578,353.19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24,662.18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19,754.84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38,737,330.88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34,559,198.35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4,077,583.56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4,112,590.60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34,659,747.32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30,446,607.75</w:t>
            </w:r>
          </w:p>
        </w:tc>
      </w:tr>
      <w:tr>
        <w:trPr>
          <w:trHeight w:val="402" w:hRule="exact"/>
        </w:trPr>
        <w:tc>
          <w:tcPr>
            <w:tcW w:w="411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34,659,747.32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30,446,607.75</w:t>
            </w:r>
          </w:p>
        </w:tc>
      </w:tr>
      <w:tr>
        <w:trPr>
          <w:trHeight w:val="402" w:hRule="exact"/>
        </w:trPr>
        <w:tc>
          <w:tcPr>
            <w:tcW w:w="411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9" w:space="0" w:color="FFFFFF"/>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34,659,747.32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30,446,607.75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608,027.28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608,027.28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608,027.28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608,027.28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35,267,774.60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29,879,317.08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35,267,774.60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29,879,317.08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0.159</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法定代表人：余荣清</w:t>
        <w:tab/>
        <w:t>主管会计工作负责人：孙仕杰</w:t>
        <w:tab/>
        <w:t>会计机构负责人：冯芬兰</w:t>
      </w:r>
    </w:p>
    <w:p>
      <w:pPr>
        <w:pStyle w:val="Heading3"/>
        <w:spacing w:line="240" w:lineRule="auto" w:before="63"/>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292,709,665.07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304,294,205.34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250,523,156.01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254,392,622.79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1,142,589.80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1,196,714.26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8,935,753.33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8,935,518.40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5,945,043.46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5,664,898.04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10,957,918.68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12,941,817.31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-10,791,278.74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6,753,011.37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1,337,670.91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453"/>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3,564,094.47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2,326,411.38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4,539,450.43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124,976.70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357,862.98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487,232.47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4,628,414.42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7,454,541.28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4,912,260.28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2,951,026.64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751,287.50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27,194,597.00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21,549,945.22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19,654.84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27,193,776.00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21,530,890.38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2,172,087.64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1,885,432.75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25,021,688.36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19,645,457.63</w:t>
            </w:r>
          </w:p>
        </w:tc>
      </w:tr>
      <w:tr>
        <w:trPr>
          <w:trHeight w:val="402" w:hRule="exact"/>
        </w:trPr>
        <w:tc>
          <w:tcPr>
            <w:tcW w:w="408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7"/>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9" w:space="0" w:color="FFFFFF"/>
              <w:bottom w:val="single" w:sz="4" w:space="0" w:color="000000"/>
              <w:right w:val="single" w:sz="4" w:space="0" w:color="000000"/>
            </w:tcBorders>
          </w:tcPr>
          <w:p>
            <w:pPr>
              <w:pStyle w:val="TableParagraph"/>
              <w:tabs>
                <w:tab w:pos="1772" w:val="left" w:leader="none"/>
              </w:tabs>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25,021,688.36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19,645,457.63</w:t>
            </w:r>
          </w:p>
        </w:tc>
      </w:tr>
      <w:tr>
        <w:trPr>
          <w:trHeight w:val="402" w:hRule="exact"/>
        </w:trPr>
        <w:tc>
          <w:tcPr>
            <w:tcW w:w="408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7"/>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权益法下不能转损益的其他综合收益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25,021,688.36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82" w:right="0"/>
              <w:jc w:val="left"/>
              <w:rPr>
                <w:rFonts w:ascii="Times New Roman" w:hAnsi="Times New Roman" w:cs="Times New Roman" w:eastAsia="Times New Roman" w:hint="default"/>
                <w:sz w:val="18"/>
                <w:szCs w:val="18"/>
              </w:rPr>
            </w:pPr>
            <w:r>
              <w:rPr>
                <w:rFonts w:ascii="Times New Roman"/>
                <w:sz w:val="18"/>
              </w:rPr>
              <w:t>329,174,686.12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5" w:right="0"/>
              <w:jc w:val="left"/>
              <w:rPr>
                <w:rFonts w:ascii="Times New Roman" w:hAnsi="Times New Roman" w:cs="Times New Roman" w:eastAsia="Times New Roman" w:hint="default"/>
                <w:sz w:val="18"/>
                <w:szCs w:val="18"/>
              </w:rPr>
            </w:pPr>
            <w:r>
              <w:rPr>
                <w:rFonts w:ascii="Times New Roman"/>
                <w:sz w:val="18"/>
              </w:rPr>
              <w:t>323,329,997.75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3,323,730.51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3,042,988.09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33,943,596.41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3,518,712.16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366,442,013.04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329,891,698.00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295,725,226.18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248,979,896.63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41,280,628.86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42,515,912.74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7,632,105.54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9,944,664.70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56,820,290.97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25,720,354.49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401,458,251.55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327,160,828.56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-35,016,238.51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2,730,869.44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361,929,847.50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544,952,000.00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3,067,159.77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5,004,021.49</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340,055.00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3,896,160.00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369,233,222.27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550,003,021.49</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10,332,805.06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31,275,477.65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423,218,983.00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475,914,118.40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433,551,788.06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507,189,596.05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-64,318,565.79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42,813,425.44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3,174,188.98</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63,174,188.98</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11,017,784.81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1,309,115.00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2,391,581.95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12,326,899.81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14,391,581.95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50,847,289.17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-14,391,581.95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8,243,893.20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-7,640,310.24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-40,243,621.93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23,512,402.69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200,145,420.67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176,633,017.98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159,901,798.74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200,145,420.67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298,184,544.64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348,974,687.56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2,156,013.38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3,042,988.09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3,276,668.67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3,091,846.42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303,617,226.69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355,109,522.07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285,094,216.68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297,130,454.98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18,087,419.25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20,473,692.78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5,219,078.76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5,378,101.03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9,928,661.33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15,479,608.85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318,329,376.02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338,461,857.64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089"/>
        <w:gridCol w:w="2846"/>
        <w:gridCol w:w="2622"/>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-14,712,149.33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16,647,664.43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213,489,847.50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472,452,000.00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1,666,306.64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4,503,514.64</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10,515,464.75</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225,671,618.89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477,002,514.64</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1,264,783.35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1,477,181.95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284,729,369.04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454,414,118.40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14,251,097.95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4,303,931.04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300,245,250.34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460,195,231.39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-74,573,631.45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16,807,283.25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4,642,573.23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5,818,943.95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64,642,573.23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5,818,943.95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46" w:type="dxa"/>
            <w:tcBorders>
              <w:top w:val="single" w:sz="4" w:space="0" w:color="000000"/>
              <w:left w:val="single" w:sz="10"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11,017,784.81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8,596,443.20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2,391,581.95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19,614,228.01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14,391,581.95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45,028,345.22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-8,572,638.00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7,564,251.71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-7,640,310.24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-36,693,183.85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17,241,999.44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180,440,053.10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163,198,053.66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143,746,869.25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180,440,053.10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6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680"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680" w:right="0"/>
        <w:jc w:val="left"/>
      </w:pPr>
      <w:r>
        <w:rPr/>
        <w:t>本期金额</w:t>
      </w:r>
    </w:p>
    <w:p>
      <w:pPr>
        <w:pStyle w:val="BodyText"/>
        <w:spacing w:line="240" w:lineRule="auto" w:before="116"/>
        <w:ind w:left="0" w:right="696"/>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1408"/>
        <w:gridCol w:w="568"/>
        <w:gridCol w:w="566"/>
        <w:gridCol w:w="568"/>
        <w:gridCol w:w="1276"/>
        <w:gridCol w:w="710"/>
        <w:gridCol w:w="1134"/>
        <w:gridCol w:w="850"/>
        <w:gridCol w:w="1277"/>
        <w:gridCol w:w="851"/>
        <w:gridCol w:w="1274"/>
        <w:gridCol w:w="710"/>
        <w:gridCol w:w="1418"/>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1260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1048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FFFFFF"/>
            </w:tcBorders>
            <w:shd w:val="clear" w:color="auto" w:fill="D2D2D2"/>
          </w:tcPr>
          <w:p>
            <w:pPr/>
          </w:p>
        </w:tc>
        <w:tc>
          <w:tcPr>
            <w:tcW w:w="851" w:type="dxa"/>
            <w:tcBorders>
              <w:top w:val="single" w:sz="4" w:space="0" w:color="000000"/>
              <w:left w:val="single" w:sz="4" w:space="0" w:color="FFFFFF"/>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80"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1408" w:type="dxa"/>
            <w:vMerge/>
            <w:tcBorders>
              <w:left w:val="single" w:sz="4" w:space="0" w:color="000000"/>
              <w:bottom w:val="nil" w:sz="6" w:space="0" w:color="auto"/>
              <w:right w:val="single" w:sz="4" w:space="0" w:color="000000"/>
            </w:tcBorders>
            <w:shd w:val="clear" w:color="auto" w:fill="D2D2D2"/>
          </w:tcPr>
          <w:p>
            <w:pPr/>
          </w:p>
        </w:tc>
        <w:tc>
          <w:tcPr>
            <w:tcW w:w="1702"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9" w:right="22" w:hanging="237"/>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FFFFFF"/>
            </w:tcBorders>
            <w:shd w:val="clear" w:color="auto" w:fill="D2D2D2"/>
          </w:tcPr>
          <w:p>
            <w:pPr/>
          </w:p>
        </w:tc>
        <w:tc>
          <w:tcPr>
            <w:tcW w:w="85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240"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493" w:type="dxa"/>
            <w:vMerge w:val="restart"/>
            <w:tcBorders>
              <w:top w:val="nil" w:sz="6" w:space="0" w:color="auto"/>
              <w:left w:val="single" w:sz="4" w:space="0" w:color="000000"/>
              <w:right w:val="single" w:sz="4" w:space="0" w:color="000000"/>
            </w:tcBorders>
            <w:shd w:val="clear" w:color="auto" w:fill="D2D2D2"/>
          </w:tcPr>
          <w:p>
            <w:pPr/>
          </w:p>
        </w:tc>
        <w:tc>
          <w:tcPr>
            <w:tcW w:w="14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88" w:right="9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FFFFFF"/>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1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493" w:type="dxa"/>
            <w:vMerge/>
            <w:tcBorders>
              <w:left w:val="single" w:sz="4" w:space="0" w:color="000000"/>
              <w:right w:val="single" w:sz="4" w:space="0" w:color="000000"/>
            </w:tcBorders>
            <w:shd w:val="clear" w:color="auto" w:fill="D2D2D2"/>
          </w:tcPr>
          <w:p>
            <w:pPr/>
          </w:p>
        </w:tc>
        <w:tc>
          <w:tcPr>
            <w:tcW w:w="14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FFFFFF"/>
            </w:tcBorders>
            <w:shd w:val="clear" w:color="auto" w:fill="D2D2D2"/>
          </w:tcPr>
          <w:p>
            <w:pPr/>
          </w:p>
        </w:tc>
        <w:tc>
          <w:tcPr>
            <w:tcW w:w="851" w:type="dxa"/>
            <w:vMerge/>
            <w:tcBorders>
              <w:left w:val="single" w:sz="4" w:space="0" w:color="FFFFFF"/>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493" w:type="dxa"/>
            <w:vMerge/>
            <w:tcBorders>
              <w:left w:val="single" w:sz="4" w:space="0" w:color="000000"/>
              <w:right w:val="single" w:sz="4" w:space="0" w:color="000000"/>
            </w:tcBorders>
            <w:shd w:val="clear" w:color="auto" w:fill="D2D2D2"/>
          </w:tcPr>
          <w:p>
            <w:pPr/>
          </w:p>
        </w:tc>
        <w:tc>
          <w:tcPr>
            <w:tcW w:w="1408"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FFFFFF"/>
            </w:tcBorders>
            <w:shd w:val="clear" w:color="auto" w:fill="D2D2D2"/>
          </w:tcPr>
          <w:p>
            <w:pPr/>
          </w:p>
        </w:tc>
        <w:tc>
          <w:tcPr>
            <w:tcW w:w="851" w:type="dxa"/>
            <w:vMerge/>
            <w:tcBorders>
              <w:left w:val="single" w:sz="4" w:space="0" w:color="FFFFFF"/>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r>
      <w:tr>
        <w:trPr>
          <w:trHeight w:val="184"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FFFFFF"/>
            </w:tcBorders>
            <w:shd w:val="clear" w:color="auto" w:fill="D2D2D2"/>
          </w:tcPr>
          <w:p>
            <w:pPr/>
          </w:p>
        </w:tc>
        <w:tc>
          <w:tcPr>
            <w:tcW w:w="851" w:type="dxa"/>
            <w:tcBorders>
              <w:top w:val="nil" w:sz="6" w:space="0" w:color="auto"/>
              <w:left w:val="single" w:sz="4" w:space="0" w:color="FFFFFF"/>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96,631.29</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32,351,696.89</w:t>
            </w: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184,882,790.78</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540,957,167.11</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96,631.29</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32,351,696.89</w:t>
            </w: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184,882,790.78</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540,957,167.11</w:t>
            </w:r>
          </w:p>
        </w:tc>
      </w:tr>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608,027.28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2,502,168.84</w:t>
            </w: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22,557,578.48</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25,667,774.60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608,027.28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34,659,747.32</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35,267,774.60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851" w:type="dxa"/>
            <w:tcBorders>
              <w:top w:val="single" w:sz="4" w:space="0" w:color="000000"/>
              <w:left w:val="single" w:sz="4" w:space="0" w:color="FFFFFF"/>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867" w:footer="979" w:top="1060" w:bottom="1160" w:left="760" w:right="740"/>
          <w:pgNumType w:start="83"/>
        </w:sectPr>
      </w:pPr>
    </w:p>
    <w:p>
      <w:pPr>
        <w:spacing w:line="240" w:lineRule="auto" w:before="4"/>
        <w:rPr>
          <w:rFonts w:ascii="Times New Roman" w:hAnsi="Times New Roman" w:cs="Times New Roman" w:eastAsia="Times New Roman" w:hint="default"/>
          <w:sz w:val="3"/>
          <w:szCs w:val="3"/>
        </w:rPr>
      </w:pPr>
      <w:r>
        <w:rPr/>
        <w:pict>
          <v:group style="position:absolute;margin-left:170.300003pt;margin-top:177.800003pt;width:67.1pt;height:39.75pt;mso-position-horizontal-relative:page;mso-position-vertical-relative:page;z-index:-832432" coordorigin="3406,3556" coordsize="1342,795">
            <v:group style="position:absolute;left:3406;top:3556;width:1342;height:393" coordorigin="3406,3556" coordsize="1342,393">
              <v:shape style="position:absolute;left:3406;top:3556;width:1342;height:393" coordorigin="3406,3556" coordsize="1342,393" path="m3406,3948l4748,3948,4748,3556,3406,3556,3406,3948xe" filled="true" fillcolor="#ffffff" stroked="false">
                <v:path arrowok="t"/>
                <v:fill type="solid"/>
              </v:shape>
            </v:group>
            <v:group style="position:absolute;left:3406;top:3958;width:1342;height:393" coordorigin="3406,3958" coordsize="1342,393">
              <v:shape style="position:absolute;left:3406;top:3958;width:1342;height:393" coordorigin="3406,3958" coordsize="1342,393" path="m3406,4350l4748,4350,4748,3958,3406,3958,3406,4350xe" filled="true" fillcolor="#ffffff" stroked="false">
                <v:path arrowok="t"/>
                <v:fill type="solid"/>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2516"/>
        <w:gridCol w:w="1397"/>
        <w:gridCol w:w="568"/>
        <w:gridCol w:w="566"/>
        <w:gridCol w:w="568"/>
        <w:gridCol w:w="1276"/>
        <w:gridCol w:w="710"/>
        <w:gridCol w:w="1134"/>
        <w:gridCol w:w="850"/>
        <w:gridCol w:w="1277"/>
        <w:gridCol w:w="851"/>
        <w:gridCol w:w="1274"/>
        <w:gridCol w:w="710"/>
        <w:gridCol w:w="1418"/>
      </w:tblGrid>
      <w:tr>
        <w:trPr>
          <w:trHeight w:val="416" w:hRule="exact"/>
        </w:trPr>
        <w:tc>
          <w:tcPr>
            <w:tcW w:w="25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2,502,168.84</w:t>
            </w:r>
          </w:p>
        </w:tc>
        <w:tc>
          <w:tcPr>
            <w:tcW w:w="85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-12,102,168.84</w:t>
            </w:r>
          </w:p>
        </w:tc>
        <w:tc>
          <w:tcPr>
            <w:tcW w:w="71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2,502,168.84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-2,502,168.84</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．资本公积转增资本（或股本</w:t>
            </w:r>
          </w:p>
        </w:tc>
        <w:tc>
          <w:tcPr>
            <w:tcW w:w="139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．盈余公积转增资本（或股本</w:t>
            </w:r>
          </w:p>
        </w:tc>
        <w:tc>
          <w:tcPr>
            <w:tcW w:w="139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 存收益</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192,000,000.00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131,626,048.15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704,658.57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34,853,865.73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207,440,369.26</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566,624,941.71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740" w:right="740"/>
        </w:sectPr>
      </w:pPr>
    </w:p>
    <w:p>
      <w:pPr>
        <w:spacing w:line="240" w:lineRule="auto" w:before="4"/>
        <w:rPr>
          <w:rFonts w:ascii="Times New Roman" w:hAnsi="Times New Roman" w:cs="Times New Roman" w:eastAsia="Times New Roman" w:hint="default"/>
          <w:sz w:val="3"/>
          <w:szCs w:val="3"/>
        </w:rPr>
      </w:pPr>
    </w:p>
    <w:p>
      <w:pPr>
        <w:spacing w:line="20" w:lineRule="exact"/>
        <w:ind w:left="6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700" w:right="0"/>
        <w:jc w:val="left"/>
      </w:pPr>
      <w:r>
        <w:rPr/>
        <w:t>上期金额</w:t>
      </w:r>
    </w:p>
    <w:p>
      <w:pPr>
        <w:pStyle w:val="BodyText"/>
        <w:spacing w:line="240" w:lineRule="auto" w:before="116"/>
        <w:ind w:left="0" w:right="716"/>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529"/>
        <w:gridCol w:w="1288"/>
        <w:gridCol w:w="566"/>
        <w:gridCol w:w="708"/>
        <w:gridCol w:w="568"/>
        <w:gridCol w:w="1276"/>
        <w:gridCol w:w="710"/>
        <w:gridCol w:w="1134"/>
        <w:gridCol w:w="850"/>
        <w:gridCol w:w="1277"/>
        <w:gridCol w:w="709"/>
        <w:gridCol w:w="1416"/>
        <w:gridCol w:w="568"/>
        <w:gridCol w:w="1560"/>
      </w:tblGrid>
      <w:tr>
        <w:trPr>
          <w:trHeight w:val="402"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1262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2529" w:type="dxa"/>
            <w:vMerge/>
            <w:tcBorders>
              <w:left w:val="single" w:sz="4" w:space="0" w:color="000000"/>
              <w:right w:val="single" w:sz="4" w:space="0" w:color="000000"/>
            </w:tcBorders>
            <w:shd w:val="clear" w:color="auto" w:fill="D2D2D2"/>
          </w:tcPr>
          <w:p>
            <w:pPr/>
          </w:p>
        </w:tc>
        <w:tc>
          <w:tcPr>
            <w:tcW w:w="1050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146"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0500" w:type="dxa"/>
            <w:gridSpan w:val="11"/>
            <w:vMerge/>
            <w:tcBorders>
              <w:left w:val="single" w:sz="4" w:space="0" w:color="000000"/>
              <w:bottom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560" w:type="dxa"/>
            <w:vMerge/>
            <w:tcBorders>
              <w:left w:val="single" w:sz="4" w:space="0" w:color="000000"/>
              <w:right w:val="single" w:sz="4" w:space="0" w:color="000000"/>
            </w:tcBorders>
            <w:shd w:val="clear" w:color="auto" w:fill="D2D2D2"/>
          </w:tcPr>
          <w:p>
            <w:pPr/>
          </w:p>
        </w:tc>
      </w:tr>
      <w:tr>
        <w:trPr>
          <w:trHeight w:val="210"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9" w:right="22" w:hanging="237"/>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4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88"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529"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34" w:hRule="exact"/>
        </w:trPr>
        <w:tc>
          <w:tcPr>
            <w:tcW w:w="2529"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189"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203,626,048.15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663,921.96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168,400,728.79</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523,077,850.03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203,626,048.15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663,921.96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168,400,728.79</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523,077,850.03</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16,482,061.99</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17,879,317.08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-567,290.67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30,446,607.75</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29,879,317.08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8"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-13,964,545.76</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740" w:right="720"/>
        </w:sectPr>
      </w:pPr>
    </w:p>
    <w:p>
      <w:pPr>
        <w:spacing w:line="240" w:lineRule="auto" w:before="4"/>
        <w:rPr>
          <w:rFonts w:ascii="Times New Roman" w:hAnsi="Times New Roman" w:cs="Times New Roman" w:eastAsia="Times New Roman" w:hint="default"/>
          <w:sz w:val="3"/>
          <w:szCs w:val="3"/>
        </w:rPr>
      </w:pPr>
      <w:r>
        <w:rPr/>
        <w:pict>
          <v:group style="position:absolute;margin-left:170.779999pt;margin-top:157.700012pt;width:61.05pt;height:39.75pt;mso-position-horizontal-relative:page;mso-position-vertical-relative:page;z-index:-832384" coordorigin="3416,3154" coordsize="1221,795">
            <v:group style="position:absolute;left:3416;top:3154;width:1221;height:393" coordorigin="3416,3154" coordsize="1221,393">
              <v:shape style="position:absolute;left:3416;top:3154;width:1221;height:393" coordorigin="3416,3154" coordsize="1221,393" path="m3416,3546l4636,3546,4636,3154,3416,3154,3416,3546xe" filled="true" fillcolor="#ffffff" stroked="false">
                <v:path arrowok="t"/>
                <v:fill type="solid"/>
              </v:shape>
            </v:group>
            <v:group style="position:absolute;left:3416;top:3556;width:1221;height:393" coordorigin="3416,3556" coordsize="1221,393">
              <v:shape style="position:absolute;left:3416;top:3556;width:1221;height:393" coordorigin="3416,3556" coordsize="1221,393" path="m3416,3948l4636,3948,4636,3556,3416,3556,3416,3948xe" filled="true" fillcolor="#ffffff" stroked="false">
                <v:path arrowok="t"/>
                <v:fill type="solid"/>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2541"/>
        <w:gridCol w:w="149"/>
        <w:gridCol w:w="1138"/>
        <w:gridCol w:w="566"/>
        <w:gridCol w:w="708"/>
        <w:gridCol w:w="568"/>
        <w:gridCol w:w="1276"/>
        <w:gridCol w:w="710"/>
        <w:gridCol w:w="1134"/>
        <w:gridCol w:w="850"/>
        <w:gridCol w:w="1277"/>
        <w:gridCol w:w="709"/>
        <w:gridCol w:w="1416"/>
        <w:gridCol w:w="568"/>
        <w:gridCol w:w="1560"/>
      </w:tblGrid>
      <w:tr>
        <w:trPr>
          <w:trHeight w:val="416" w:hRule="exact"/>
        </w:trPr>
        <w:tc>
          <w:tcPr>
            <w:tcW w:w="254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8" w:type="dxa"/>
            <w:gridSpan w:val="2"/>
            <w:tcBorders>
              <w:top w:val="single" w:sz="15" w:space="0" w:color="000000"/>
              <w:left w:val="single" w:sz="13" w:space="0" w:color="D2D2D2"/>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1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70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56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9"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8"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 存收益</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8" w:type="dxa"/>
            <w:gridSpan w:val="2"/>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192,000,000.00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96,631.29</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184,882,790.78</w:t>
            </w:r>
          </w:p>
        </w:tc>
        <w:tc>
          <w:tcPr>
            <w:tcW w:w="5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540,957,167.11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720" w:right="720"/>
        </w:sectPr>
      </w:pPr>
    </w:p>
    <w:p>
      <w:pPr>
        <w:spacing w:line="240" w:lineRule="auto" w:before="4"/>
        <w:rPr>
          <w:rFonts w:ascii="Times New Roman" w:hAnsi="Times New Roman" w:cs="Times New Roman" w:eastAsia="Times New Roman" w:hint="default"/>
          <w:sz w:val="3"/>
          <w:szCs w:val="3"/>
        </w:rPr>
      </w:pPr>
    </w:p>
    <w:p>
      <w:pPr>
        <w:spacing w:line="20" w:lineRule="exact"/>
        <w:ind w:left="2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280"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280" w:right="0"/>
        <w:jc w:val="left"/>
      </w:pPr>
      <w:r>
        <w:rPr/>
        <w:t>本期金额</w:t>
      </w:r>
    </w:p>
    <w:p>
      <w:pPr>
        <w:pStyle w:val="BodyText"/>
        <w:spacing w:line="240" w:lineRule="auto" w:before="116"/>
        <w:ind w:left="0" w:right="296"/>
        <w:jc w:val="right"/>
      </w:pPr>
      <w:r>
        <w:rPr/>
        <w:t>单位：元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955"/>
        <w:gridCol w:w="1571"/>
        <w:gridCol w:w="709"/>
        <w:gridCol w:w="709"/>
        <w:gridCol w:w="708"/>
        <w:gridCol w:w="1418"/>
        <w:gridCol w:w="851"/>
        <w:gridCol w:w="851"/>
        <w:gridCol w:w="709"/>
        <w:gridCol w:w="1274"/>
        <w:gridCol w:w="1276"/>
        <w:gridCol w:w="1277"/>
      </w:tblGrid>
      <w:tr>
        <w:trPr>
          <w:trHeight w:val="397" w:hRule="exact"/>
        </w:trPr>
        <w:tc>
          <w:tcPr>
            <w:tcW w:w="2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30"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9"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543"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955" w:type="dxa"/>
            <w:vMerge/>
            <w:tcBorders>
              <w:left w:val="single" w:sz="4" w:space="0" w:color="000000"/>
              <w:bottom w:val="nil" w:sz="6" w:space="0" w:color="auto"/>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right w:val="single" w:sz="4" w:space="0" w:color="000000"/>
            </w:tcBorders>
            <w:shd w:val="clear" w:color="auto" w:fill="D2D2D2"/>
          </w:tcPr>
          <w:p>
            <w:pPr/>
          </w:p>
        </w:tc>
      </w:tr>
      <w:tr>
        <w:trPr>
          <w:trHeight w:val="200" w:hRule="exact"/>
        </w:trPr>
        <w:tc>
          <w:tcPr>
            <w:tcW w:w="2955" w:type="dxa"/>
            <w:vMerge w:val="restart"/>
            <w:tcBorders>
              <w:top w:val="nil" w:sz="6" w:space="0" w:color="auto"/>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206" w:hRule="exact"/>
        </w:trPr>
        <w:tc>
          <w:tcPr>
            <w:tcW w:w="2955"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851" w:type="dxa"/>
            <w:tcBorders>
              <w:top w:val="single" w:sz="22" w:space="0" w:color="D2D2D2"/>
              <w:left w:val="single" w:sz="4" w:space="0" w:color="000000"/>
              <w:bottom w:val="single" w:sz="4" w:space="0" w:color="000000"/>
              <w:right w:val="single" w:sz="4" w:space="0" w:color="000000"/>
            </w:tcBorders>
          </w:tcPr>
          <w:p>
            <w:pPr/>
          </w:p>
        </w:tc>
        <w:tc>
          <w:tcPr>
            <w:tcW w:w="851" w:type="dxa"/>
            <w:tcBorders>
              <w:top w:val="single" w:sz="22" w:space="0" w:color="D2D2D2"/>
              <w:left w:val="single" w:sz="4" w:space="0" w:color="000000"/>
              <w:bottom w:val="single" w:sz="4" w:space="0" w:color="000000"/>
              <w:right w:val="single" w:sz="4" w:space="0" w:color="000000"/>
            </w:tcBorders>
          </w:tcPr>
          <w:p>
            <w:pPr/>
          </w:p>
        </w:tc>
        <w:tc>
          <w:tcPr>
            <w:tcW w:w="709" w:type="dxa"/>
            <w:tcBorders>
              <w:top w:val="single" w:sz="22" w:space="0" w:color="D2D2D2"/>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156,507,835.39</w:t>
            </w:r>
          </w:p>
        </w:tc>
        <w:tc>
          <w:tcPr>
            <w:tcW w:w="127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pacing w:val="-1"/>
                <w:sz w:val="18"/>
              </w:rPr>
              <w:t>512,485,580.43</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156,507,835.39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512,485,580.43</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2,502,168.84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12,919,519.52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15,421,688.36</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25,021,688.36</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-12,102,168.84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-2,502,168.84</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60" w:right="11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78"/>
        <w:gridCol w:w="1559"/>
        <w:gridCol w:w="709"/>
        <w:gridCol w:w="709"/>
        <w:gridCol w:w="708"/>
        <w:gridCol w:w="1418"/>
        <w:gridCol w:w="851"/>
        <w:gridCol w:w="851"/>
        <w:gridCol w:w="709"/>
        <w:gridCol w:w="1274"/>
        <w:gridCol w:w="1276"/>
        <w:gridCol w:w="1277"/>
      </w:tblGrid>
      <w:tr>
        <w:trPr>
          <w:trHeight w:val="416" w:hRule="exact"/>
        </w:trPr>
        <w:tc>
          <w:tcPr>
            <w:tcW w:w="29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．设定受益计划变动额结转留存收益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192,000,000.00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131,626,048.15</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34,853,865.73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169,427,354.91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527,907,268.79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140" w:right="1140"/>
        </w:sectPr>
      </w:pPr>
    </w:p>
    <w:p>
      <w:pPr>
        <w:spacing w:line="240" w:lineRule="auto" w:before="4"/>
        <w:rPr>
          <w:rFonts w:ascii="Times New Roman" w:hAnsi="Times New Roman" w:cs="Times New Roman" w:eastAsia="Times New Roman" w:hint="default"/>
          <w:sz w:val="3"/>
          <w:szCs w:val="3"/>
        </w:rPr>
      </w:pPr>
    </w:p>
    <w:p>
      <w:pPr>
        <w:spacing w:line="20" w:lineRule="exact"/>
        <w:ind w:left="3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380" w:right="0"/>
        <w:jc w:val="left"/>
      </w:pPr>
      <w:r>
        <w:rPr/>
        <w:t>上期金额</w:t>
      </w:r>
    </w:p>
    <w:p>
      <w:pPr>
        <w:pStyle w:val="BodyText"/>
        <w:spacing w:line="240" w:lineRule="auto" w:before="116"/>
        <w:ind w:left="0" w:right="336"/>
        <w:jc w:val="right"/>
      </w:pPr>
      <w:r>
        <w:rPr/>
        <w:t>单位：元</w:t>
      </w:r>
    </w:p>
    <w:p>
      <w:pPr>
        <w:spacing w:line="240" w:lineRule="auto" w:before="1"/>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955"/>
        <w:gridCol w:w="1713"/>
        <w:gridCol w:w="708"/>
        <w:gridCol w:w="708"/>
        <w:gridCol w:w="709"/>
        <w:gridCol w:w="1418"/>
        <w:gridCol w:w="851"/>
        <w:gridCol w:w="709"/>
        <w:gridCol w:w="850"/>
        <w:gridCol w:w="1277"/>
        <w:gridCol w:w="1276"/>
        <w:gridCol w:w="1276"/>
      </w:tblGrid>
      <w:tr>
        <w:trPr>
          <w:trHeight w:val="397" w:hRule="exact"/>
        </w:trPr>
        <w:tc>
          <w:tcPr>
            <w:tcW w:w="2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2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329"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2" w:hRule="exact"/>
        </w:trPr>
        <w:tc>
          <w:tcPr>
            <w:tcW w:w="2955" w:type="dxa"/>
            <w:vMerge/>
            <w:tcBorders>
              <w:left w:val="single" w:sz="4" w:space="0" w:color="000000"/>
              <w:bottom w:val="nil" w:sz="6" w:space="0" w:color="auto"/>
              <w:right w:val="single" w:sz="4" w:space="0" w:color="000000"/>
            </w:tcBorders>
            <w:shd w:val="clear" w:color="auto" w:fill="D2D2D2"/>
          </w:tcPr>
          <w:p>
            <w:pPr/>
          </w:p>
        </w:tc>
        <w:tc>
          <w:tcPr>
            <w:tcW w:w="17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5"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right w:val="single" w:sz="4" w:space="0" w:color="000000"/>
            </w:tcBorders>
            <w:shd w:val="clear" w:color="auto" w:fill="D2D2D2"/>
          </w:tcPr>
          <w:p>
            <w:pPr/>
          </w:p>
        </w:tc>
      </w:tr>
      <w:tr>
        <w:trPr>
          <w:trHeight w:val="200" w:hRule="exact"/>
        </w:trPr>
        <w:tc>
          <w:tcPr>
            <w:tcW w:w="2955" w:type="dxa"/>
            <w:vMerge w:val="restart"/>
            <w:tcBorders>
              <w:top w:val="nil" w:sz="6" w:space="0" w:color="auto"/>
              <w:left w:val="single" w:sz="4" w:space="0" w:color="000000"/>
              <w:right w:val="single" w:sz="4" w:space="0" w:color="000000"/>
            </w:tcBorders>
            <w:shd w:val="clear" w:color="auto" w:fill="D2D2D2"/>
          </w:tcPr>
          <w:p>
            <w:pPr/>
          </w:p>
        </w:tc>
        <w:tc>
          <w:tcPr>
            <w:tcW w:w="1713"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6" w:hRule="exact"/>
        </w:trPr>
        <w:tc>
          <w:tcPr>
            <w:tcW w:w="2955" w:type="dxa"/>
            <w:vMerge/>
            <w:tcBorders>
              <w:left w:val="single" w:sz="4" w:space="0" w:color="000000"/>
              <w:bottom w:val="single" w:sz="4" w:space="0" w:color="000000"/>
              <w:right w:val="single" w:sz="4" w:space="0" w:color="000000"/>
            </w:tcBorders>
            <w:shd w:val="clear" w:color="auto" w:fill="D2D2D2"/>
          </w:tcPr>
          <w:p>
            <w:pPr/>
          </w:p>
        </w:tc>
        <w:tc>
          <w:tcPr>
            <w:tcW w:w="1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203,626,048.15</w:t>
            </w:r>
          </w:p>
        </w:tc>
        <w:tc>
          <w:tcPr>
            <w:tcW w:w="851" w:type="dxa"/>
            <w:tcBorders>
              <w:top w:val="single" w:sz="18" w:space="0" w:color="D2D2D2"/>
              <w:left w:val="single" w:sz="4" w:space="0" w:color="000000"/>
              <w:bottom w:val="single" w:sz="4" w:space="0" w:color="000000"/>
              <w:right w:val="single" w:sz="4" w:space="0" w:color="000000"/>
            </w:tcBorders>
          </w:tcPr>
          <w:p>
            <w:pPr/>
          </w:p>
        </w:tc>
        <w:tc>
          <w:tcPr>
            <w:tcW w:w="709" w:type="dxa"/>
            <w:tcBorders>
              <w:top w:val="single" w:sz="18" w:space="0" w:color="D2D2D2"/>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150,826,923.52</w:t>
            </w:r>
          </w:p>
        </w:tc>
        <w:tc>
          <w:tcPr>
            <w:tcW w:w="12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pacing w:val="-1"/>
                <w:sz w:val="18"/>
              </w:rPr>
              <w:t>504,840,122.80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203,626,048.15</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30,387,151.13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150,826,923.52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504,840,122.80</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7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5,680,911.87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7,645,457.63</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19,645,457.63</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-13,964,545.76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-1,964,545.76</w:t>
            </w: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13"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060" w:right="1100"/>
        </w:sectPr>
      </w:pPr>
    </w:p>
    <w:p>
      <w:pPr>
        <w:spacing w:line="240" w:lineRule="auto" w:before="4"/>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978"/>
        <w:gridCol w:w="1702"/>
        <w:gridCol w:w="708"/>
        <w:gridCol w:w="708"/>
        <w:gridCol w:w="709"/>
        <w:gridCol w:w="1418"/>
        <w:gridCol w:w="851"/>
        <w:gridCol w:w="709"/>
        <w:gridCol w:w="850"/>
        <w:gridCol w:w="1277"/>
        <w:gridCol w:w="1276"/>
        <w:gridCol w:w="1276"/>
      </w:tblGrid>
      <w:tr>
        <w:trPr>
          <w:trHeight w:val="416" w:hRule="exact"/>
        </w:trPr>
        <w:tc>
          <w:tcPr>
            <w:tcW w:w="29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702"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．设定受益计划变动额结转留存收益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192,000,000.00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131,626,048.15</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32,351,696.89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156,507,835.39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512,485,580.43</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040" w:right="11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pStyle w:val="BodyText"/>
        <w:spacing w:line="530" w:lineRule="atLeast" w:before="74"/>
        <w:ind w:left="514" w:right="1126" w:hanging="360"/>
        <w:jc w:val="left"/>
      </w:pPr>
      <w:r>
        <w:rPr>
          <w:rFonts w:ascii="宋体" w:hAnsi="宋体" w:cs="宋体" w:eastAsia="宋体" w:hint="default"/>
          <w:b/>
          <w:bCs/>
        </w:rPr>
        <w:t>（一）公司概况</w:t>
      </w:r>
      <w:r>
        <w:rPr>
          <w:rFonts w:ascii="宋体" w:hAnsi="宋体" w:cs="宋体" w:eastAsia="宋体" w:hint="default"/>
          <w:b/>
          <w:bCs/>
          <w:w w:val="99"/>
        </w:rPr>
        <w:t> </w:t>
      </w:r>
      <w:r>
        <w:rPr>
          <w:spacing w:val="-1"/>
        </w:rPr>
        <w:t>苏州恒久光电科技股份有限公司（以下简称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）是由苏州恒久光电科技有限公司整体变更设立的股份有</w:t>
      </w:r>
    </w:p>
    <w:p>
      <w:pPr>
        <w:pStyle w:val="BodyText"/>
        <w:spacing w:line="345" w:lineRule="auto" w:before="109"/>
        <w:ind w:right="0"/>
        <w:jc w:val="left"/>
      </w:pPr>
      <w:r>
        <w:rPr>
          <w:spacing w:val="-1"/>
        </w:rPr>
        <w:t>限公司，以截止</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日的经审计的净资产依据各股东出资比例折合为公司的股份</w:t>
      </w:r>
      <w:r>
        <w:rPr>
          <w:rFonts w:ascii="Times New Roman" w:hAnsi="Times New Roman" w:cs="Times New Roman" w:eastAsia="Times New Roman" w:hint="default"/>
          <w:spacing w:val="-1"/>
        </w:rPr>
        <w:t>6,000</w:t>
      </w:r>
      <w:r>
        <w:rPr>
          <w:spacing w:val="-1"/>
        </w:rPr>
        <w:t>万股，公司注册资本、实收资</w:t>
      </w:r>
      <w:r>
        <w:rPr>
          <w:spacing w:val="-71"/>
        </w:rPr>
        <w:t> </w:t>
      </w:r>
      <w:r>
        <w:rPr>
          <w:spacing w:val="-71"/>
        </w:rPr>
      </w:r>
      <w:r>
        <w:rPr/>
        <w:t>本（股本）为</w:t>
      </w:r>
      <w:r>
        <w:rPr>
          <w:rFonts w:ascii="Times New Roman" w:hAnsi="Times New Roman" w:cs="Times New Roman" w:eastAsia="Times New Roman" w:hint="default"/>
        </w:rPr>
        <w:t>6,000</w:t>
      </w:r>
      <w:r>
        <w:rPr/>
        <w:t>万元，于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日在江苏省苏州工商行政管理局变更登记。</w:t>
      </w:r>
    </w:p>
    <w:p>
      <w:pPr>
        <w:pStyle w:val="BodyText"/>
        <w:spacing w:line="240" w:lineRule="auto" w:before="22"/>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日，本公司</w:t>
      </w:r>
      <w:r>
        <w:rPr>
          <w:rFonts w:ascii="Times New Roman" w:hAnsi="Times New Roman" w:cs="Times New Roman" w:eastAsia="Times New Roman" w:hint="default"/>
        </w:rPr>
        <w:t>2010</w:t>
      </w:r>
      <w:r>
        <w:rPr/>
        <w:t>年度股东大会决议，公司增加注册资本</w:t>
      </w:r>
      <w:r>
        <w:rPr>
          <w:rFonts w:ascii="Times New Roman" w:hAnsi="Times New Roman" w:cs="Times New Roman" w:eastAsia="Times New Roman" w:hint="default"/>
        </w:rPr>
        <w:t>2,200</w:t>
      </w:r>
      <w:r>
        <w:rPr/>
        <w:t>万元，由资本公积金</w:t>
      </w:r>
      <w:r>
        <w:rPr>
          <w:rFonts w:ascii="Times New Roman" w:hAnsi="Times New Roman" w:cs="Times New Roman" w:eastAsia="Times New Roman" w:hint="default"/>
        </w:rPr>
        <w:t>2,200</w:t>
      </w:r>
      <w:r>
        <w:rPr/>
        <w:t>万元转增股本</w:t>
      </w:r>
      <w:r>
        <w:rPr>
          <w:rFonts w:ascii="Times New Roman" w:hAnsi="Times New Roman" w:cs="Times New Roman" w:eastAsia="Times New Roman" w:hint="default"/>
        </w:rPr>
        <w:t>2,200</w:t>
      </w:r>
    </w:p>
    <w:p>
      <w:pPr>
        <w:pStyle w:val="BodyText"/>
        <w:spacing w:line="240" w:lineRule="auto" w:before="109"/>
        <w:ind w:right="0"/>
        <w:jc w:val="left"/>
      </w:pPr>
      <w:r>
        <w:rPr/>
        <w:t>万股。转增股本后，公司注册资本、实收资本（股本）变更为</w:t>
      </w:r>
      <w:r>
        <w:rPr>
          <w:rFonts w:ascii="Times New Roman" w:hAnsi="Times New Roman" w:cs="Times New Roman" w:eastAsia="Times New Roman" w:hint="default"/>
        </w:rPr>
        <w:t>8,200</w:t>
      </w:r>
      <w:r>
        <w:rPr/>
        <w:t>万元。</w:t>
      </w:r>
    </w:p>
    <w:p>
      <w:pPr>
        <w:pStyle w:val="BodyText"/>
        <w:spacing w:line="345" w:lineRule="auto" w:before="109"/>
        <w:ind w:right="1122"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2011</w:t>
      </w:r>
      <w:r>
        <w:rPr/>
        <w:t>年第一次临时股东大会决议，公司新增股份</w:t>
      </w:r>
      <w:r>
        <w:rPr>
          <w:rFonts w:ascii="Times New Roman" w:hAnsi="Times New Roman" w:cs="Times New Roman" w:eastAsia="Times New Roman" w:hint="default"/>
        </w:rPr>
        <w:t>800</w:t>
      </w:r>
      <w:r>
        <w:rPr/>
        <w:t>万股，增加注册资本</w:t>
      </w:r>
      <w:r>
        <w:rPr>
          <w:rFonts w:ascii="Times New Roman" w:hAnsi="Times New Roman" w:cs="Times New Roman" w:eastAsia="Times New Roman" w:hint="default"/>
        </w:rPr>
        <w:t>800</w:t>
      </w:r>
      <w:r>
        <w:rPr/>
        <w:t>万元，增资后，公司 注册资本、实收资本（股本）变更为</w:t>
      </w:r>
      <w:r>
        <w:rPr>
          <w:rFonts w:ascii="Times New Roman" w:hAnsi="Times New Roman" w:cs="Times New Roman" w:eastAsia="Times New Roman" w:hint="default"/>
        </w:rPr>
        <w:t>9,000</w:t>
      </w:r>
      <w:r>
        <w:rPr/>
        <w:t>万元。</w:t>
      </w:r>
    </w:p>
    <w:p>
      <w:pPr>
        <w:pStyle w:val="BodyText"/>
        <w:spacing w:line="345" w:lineRule="auto" w:before="22"/>
        <w:ind w:right="1112"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[2016]1549</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月公开发行人民币普通 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w:t>
      </w:r>
      <w:r>
        <w:rPr/>
        <w:t>万股。发行后，公司注册资本、实收资本（股本）变更为</w:t>
      </w:r>
      <w:r>
        <w:rPr>
          <w:rFonts w:ascii="Times New Roman" w:hAnsi="Times New Roman" w:cs="Times New Roman" w:eastAsia="Times New Roman" w:hint="default"/>
        </w:rPr>
        <w:t>12,000</w:t>
      </w:r>
      <w:r>
        <w:rPr/>
        <w:t>万元。</w:t>
      </w:r>
    </w:p>
    <w:p>
      <w:pPr>
        <w:pStyle w:val="BodyText"/>
        <w:spacing w:line="240" w:lineRule="auto" w:before="22"/>
        <w:ind w:left="514"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日，本公司股票在深圳证券交易所中小板上市交易，证券简称：苏州恒久，股票代码：</w:t>
      </w:r>
      <w:r>
        <w:rPr>
          <w:rFonts w:ascii="Times New Roman" w:hAnsi="Times New Roman" w:cs="Times New Roman" w:eastAsia="Times New Roman" w:hint="default"/>
        </w:rPr>
        <w:t>002808</w:t>
      </w:r>
      <w:r>
        <w:rPr/>
        <w:t>。</w:t>
      </w:r>
    </w:p>
    <w:p>
      <w:pPr>
        <w:pStyle w:val="BodyText"/>
        <w:spacing w:line="345" w:lineRule="auto" w:before="109"/>
        <w:ind w:right="1167"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日，本公司</w:t>
      </w:r>
      <w:r>
        <w:rPr>
          <w:rFonts w:ascii="Times New Roman" w:hAnsi="Times New Roman" w:cs="Times New Roman" w:eastAsia="Times New Roman" w:hint="default"/>
        </w:rPr>
        <w:t>2016</w:t>
      </w:r>
      <w:r>
        <w:rPr/>
        <w:t>年度股东大会决议，公司增加注册资本</w:t>
      </w:r>
      <w:r>
        <w:rPr>
          <w:rFonts w:ascii="Times New Roman" w:hAnsi="Times New Roman" w:cs="Times New Roman" w:eastAsia="Times New Roman" w:hint="default"/>
        </w:rPr>
        <w:t>7,200</w:t>
      </w:r>
      <w:r>
        <w:rPr/>
        <w:t>万元，由资本公积</w:t>
      </w:r>
      <w:r>
        <w:rPr>
          <w:rFonts w:ascii="Times New Roman" w:hAnsi="Times New Roman" w:cs="Times New Roman" w:eastAsia="Times New Roman" w:hint="default"/>
        </w:rPr>
        <w:t>7,200</w:t>
      </w:r>
      <w:r>
        <w:rPr/>
        <w:t>万元转增股本</w:t>
      </w:r>
      <w:r>
        <w:rPr>
          <w:rFonts w:ascii="Times New Roman" w:hAnsi="Times New Roman" w:cs="Times New Roman" w:eastAsia="Times New Roman" w:hint="default"/>
        </w:rPr>
        <w:t>7,200</w:t>
      </w:r>
      <w:r>
        <w:rPr/>
        <w:t>万 股。转增股本后，公司注册资本、实收资本（股本）变更为</w:t>
      </w:r>
      <w:r>
        <w:rPr>
          <w:rFonts w:ascii="Times New Roman" w:hAnsi="Times New Roman" w:cs="Times New Roman" w:eastAsia="Times New Roman" w:hint="default"/>
        </w:rPr>
        <w:t>19,200</w:t>
      </w:r>
      <w:r>
        <w:rPr/>
        <w:t>万元。</w:t>
      </w:r>
    </w:p>
    <w:p>
      <w:pPr>
        <w:pStyle w:val="BodyText"/>
        <w:spacing w:line="345" w:lineRule="auto" w:before="22"/>
        <w:ind w:left="514" w:right="391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日，公司变更证券简称为：恒久科技，股票代码保持不变：</w:t>
      </w:r>
      <w:r>
        <w:rPr>
          <w:rFonts w:ascii="Times New Roman" w:hAnsi="Times New Roman" w:cs="Times New Roman" w:eastAsia="Times New Roman" w:hint="default"/>
        </w:rPr>
        <w:t>002808</w:t>
      </w:r>
      <w:r>
        <w:rPr/>
        <w:t>。 公司企业法人登记注册号：</w:t>
      </w:r>
      <w:r>
        <w:rPr>
          <w:rFonts w:ascii="Times New Roman" w:hAnsi="Times New Roman" w:cs="Times New Roman" w:eastAsia="Times New Roman" w:hint="default"/>
        </w:rPr>
        <w:t>91320500737061190F </w:t>
      </w:r>
      <w:r>
        <w:rPr/>
        <w:t>公司住所：苏州市高新区火炬路</w:t>
      </w:r>
      <w:r>
        <w:rPr>
          <w:rFonts w:ascii="Times New Roman" w:hAnsi="Times New Roman" w:cs="Times New Roman" w:eastAsia="Times New Roman" w:hint="default"/>
        </w:rPr>
        <w:t>38</w:t>
      </w:r>
      <w:r>
        <w:rPr/>
        <w:t>号</w:t>
      </w:r>
    </w:p>
    <w:p>
      <w:pPr>
        <w:pStyle w:val="BodyText"/>
        <w:spacing w:line="364" w:lineRule="auto" w:before="22"/>
        <w:ind w:left="514" w:right="6382"/>
        <w:jc w:val="left"/>
      </w:pPr>
      <w:r>
        <w:rPr/>
        <w:t>法定代表人：余荣清 本公司的控股股东、实际控制人为余荣清。 公司行业性质</w:t>
      </w:r>
      <w:r>
        <w:rPr>
          <w:rFonts w:ascii="Times New Roman" w:hAnsi="Times New Roman" w:cs="Times New Roman" w:eastAsia="Times New Roman" w:hint="default"/>
        </w:rPr>
        <w:t>:</w:t>
      </w:r>
      <w:r>
        <w:rPr/>
        <w:t>光电子器件及其他电子器件制造业。</w:t>
      </w:r>
    </w:p>
    <w:p>
      <w:pPr>
        <w:pStyle w:val="BodyText"/>
        <w:spacing w:line="364" w:lineRule="auto" w:before="6"/>
        <w:ind w:right="0" w:firstLine="360"/>
        <w:jc w:val="left"/>
      </w:pPr>
      <w:r>
        <w:rPr>
          <w:spacing w:val="-2"/>
        </w:rPr>
        <w:t>公司经营范围：有机光导鼓系列产品、墨粉、粉盒及相关衍生产品的生产、经营；研发、生产、销售：光电子器件与组</w:t>
      </w:r>
      <w:r>
        <w:rPr/>
        <w:t> 件、计算机及其周边设备；自营和代理各类商品及技术的进出口业务。</w:t>
      </w:r>
    </w:p>
    <w:p>
      <w:pPr>
        <w:pStyle w:val="BodyText"/>
        <w:spacing w:line="364" w:lineRule="auto" w:before="29"/>
        <w:ind w:left="514" w:right="5982"/>
        <w:jc w:val="left"/>
      </w:pPr>
      <w:r>
        <w:rPr/>
        <w:t>公司主要产品：有机光导鼓系列产品。 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日批准报出。</w:t>
      </w:r>
    </w:p>
    <w:p>
      <w:pPr>
        <w:spacing w:line="525" w:lineRule="auto" w:before="162"/>
        <w:ind w:left="154" w:right="5532" w:firstLine="0"/>
        <w:jc w:val="left"/>
        <w:rPr>
          <w:rFonts w:ascii="宋体" w:hAnsi="宋体" w:cs="宋体" w:eastAsia="宋体" w:hint="default"/>
          <w:sz w:val="18"/>
          <w:szCs w:val="18"/>
        </w:rPr>
      </w:pPr>
      <w:r>
        <w:rPr/>
        <w:pict>
          <v:shape style="position:absolute;margin-left:104.599998pt;margin-top:50.111694pt;width:386.45pt;height:137.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8"/>
                    <w:gridCol w:w="3147"/>
                  </w:tblGrid>
                  <w:tr>
                    <w:trPr>
                      <w:trHeight w:val="342" w:hRule="exact"/>
                    </w:trPr>
                    <w:tc>
                      <w:tcPr>
                        <w:tcW w:w="4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吴中恒久</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恒久欧洲</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恒久国际</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r>
                  <w:tr>
                    <w:trPr>
                      <w:trHeight w:val="3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环球影像</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恒久数码</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恒久保理</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4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恒久高新</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r>
                </w:tbl>
                <w:p>
                  <w:pPr/>
                </w:p>
              </w:txbxContent>
            </v:textbox>
            <w10:wrap type="none"/>
          </v:shape>
        </w:pict>
      </w: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pacing w:val="-34"/>
          <w:sz w:val="18"/>
          <w:szCs w:val="18"/>
        </w:rPr>
        <w:t> </w:t>
      </w: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6"/>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240" w:lineRule="auto"/>
        <w:jc w:val="left"/>
        <w:sectPr>
          <w:headerReference w:type="default" r:id="rId21"/>
          <w:footerReference w:type="default" r:id="rId22"/>
          <w:pgSz w:w="11910" w:h="16840"/>
          <w:pgMar w:header="877" w:footer="979" w:top="1100" w:bottom="1160" w:left="980" w:right="0"/>
          <w:pgNumType w:start="91"/>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8"/>
          <w:szCs w:val="28"/>
        </w:rPr>
      </w:pPr>
    </w:p>
    <w:p>
      <w:pPr>
        <w:pStyle w:val="BodyText"/>
        <w:spacing w:line="345" w:lineRule="auto" w:before="0"/>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7"/>
        </w:rPr>
        <w:t> </w:t>
      </w:r>
      <w:r>
        <w:rPr>
          <w:spacing w:val="-47"/>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357" w:lineRule="auto" w:before="26"/>
        <w:ind w:right="1572"/>
        <w:jc w:val="left"/>
      </w:pPr>
      <w:r>
        <w:rPr/>
        <w:t>具体会计政策和会计估计提示： 本公司下列重要会计政策、会计估计均根据企业会计准则制定、未提及的业务按企业会计准则中相关会计政策执行。</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5"/>
        <w:rPr>
          <w:rFonts w:ascii="宋体" w:hAnsi="宋体" w:cs="宋体" w:eastAsia="宋体" w:hint="default"/>
          <w:sz w:val="22"/>
          <w:szCs w:val="22"/>
        </w:rPr>
      </w:pPr>
    </w:p>
    <w:p>
      <w:pPr>
        <w:spacing w:line="547" w:lineRule="auto" w:before="0"/>
        <w:ind w:left="154" w:right="7152" w:firstLine="0"/>
        <w:jc w:val="left"/>
        <w:rPr>
          <w:rFonts w:ascii="宋体" w:hAnsi="宋体" w:cs="宋体" w:eastAsia="宋体" w:hint="default"/>
          <w:sz w:val="21"/>
          <w:szCs w:val="21"/>
        </w:rPr>
      </w:pPr>
      <w:bookmarkStart w:name="2、会计期间" w:id="170"/>
      <w:bookmarkEnd w:id="1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71"/>
      <w:bookmarkEnd w:id="17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50"/>
        <w:ind w:right="0"/>
        <w:jc w:val="left"/>
      </w:pPr>
      <w:r>
        <w:rPr/>
        <w:t>本公司营业周期为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8"/>
        <w:jc w:val="left"/>
      </w:pPr>
      <w:r>
        <w:rPr>
          <w:spacing w:val="-2"/>
        </w:rPr>
        <w:t>本公司及境内子公司采用人民币为记账本位币，境外子公司采用美元为记账本位币。本公司编制本财务报表时所采用的货币</w:t>
      </w:r>
      <w:r>
        <w:rPr>
          <w:spacing w:val="-64"/>
        </w:rPr>
        <w:t> </w:t>
      </w:r>
      <w:r>
        <w:rPr>
          <w:spacing w:val="-64"/>
        </w:rPr>
      </w:r>
      <w:r>
        <w:rPr/>
        <w:t>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right="0"/>
        <w:jc w:val="left"/>
      </w:pPr>
      <w:r>
        <w:rPr>
          <w:spacing w:val="-2"/>
        </w:rPr>
        <w:t>同一控制下企业合并：本公司在企业合并中取得的资产和负债，按照合并日被合并方资产、负债（包括最终控制方收购被合</w:t>
      </w:r>
      <w:r>
        <w:rPr>
          <w:spacing w:val="-66"/>
        </w:rPr>
        <w:t> </w:t>
      </w:r>
      <w:r>
        <w:rPr>
          <w:spacing w:val="-66"/>
        </w:rPr>
      </w:r>
      <w:r>
        <w:rPr>
          <w:spacing w:val="-2"/>
        </w:rPr>
        <w:t>并方而形成的商誉）在最终控制方合并财务报表中的账面价值计量。在合并中取得的净资产账面价值与支付的合并对价账面</w:t>
      </w:r>
      <w:r>
        <w:rPr>
          <w:spacing w:val="-64"/>
        </w:rPr>
        <w:t> </w:t>
      </w:r>
      <w:r>
        <w:rPr>
          <w:spacing w:val="-64"/>
        </w:rPr>
      </w:r>
      <w:r>
        <w:rPr/>
        <w:t>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p>
    <w:p>
      <w:pPr>
        <w:spacing w:after="0" w:line="364"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与其账面价值的差额，计入当期损益。本公司对合并成本大于合并中取得的被购买方可辨认净资产公允价值份额的差额，确</w:t>
      </w:r>
      <w:r>
        <w:rPr>
          <w:spacing w:val="-66"/>
        </w:rPr>
        <w:t> </w:t>
      </w:r>
      <w:r>
        <w:rPr>
          <w:spacing w:val="-66"/>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118"/>
        <w:jc w:val="left"/>
      </w:pPr>
      <w:r>
        <w:rPr>
          <w:rFonts w:ascii="宋体" w:hAnsi="宋体" w:cs="宋体" w:eastAsia="宋体" w:hint="default"/>
        </w:rPr>
        <w:t>1</w:t>
      </w:r>
      <w:r>
        <w:rPr/>
        <w:t>、合并范围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pStyle w:val="BodyText"/>
        <w:spacing w:line="364" w:lineRule="auto" w:before="29"/>
        <w:ind w:right="1118"/>
        <w:jc w:val="left"/>
      </w:pPr>
      <w:r>
        <w:rPr>
          <w:rFonts w:ascii="宋体" w:hAnsi="宋体" w:cs="宋体" w:eastAsia="宋体" w:hint="default"/>
        </w:rPr>
        <w:t>2</w:t>
      </w:r>
      <w:r>
        <w:rPr/>
        <w:t>、合并程序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64" w:lineRule="auto" w:before="29"/>
        <w:ind w:right="1032"/>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6"/>
        </w:rPr>
        <w:t> </w:t>
      </w:r>
      <w:r>
        <w:rPr>
          <w:spacing w:val="-66"/>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29"/>
        <w:ind w:right="0"/>
        <w:jc w:val="left"/>
      </w:pPr>
      <w:r>
        <w:rPr/>
        <w:t>（</w:t>
      </w:r>
      <w:r>
        <w:rPr>
          <w:rFonts w:ascii="Times New Roman" w:hAnsi="Times New Roman" w:cs="Times New Roman" w:eastAsia="Times New Roman" w:hint="default"/>
        </w:rPr>
        <w:t>2</w:t>
      </w:r>
      <w:r>
        <w:rPr/>
        <w:t>）处置子公司或业务</w:t>
      </w:r>
    </w:p>
    <w:p>
      <w:pPr>
        <w:pStyle w:val="BodyText"/>
        <w:spacing w:line="240" w:lineRule="auto" w:before="109"/>
        <w:ind w:right="0"/>
        <w:jc w:val="left"/>
      </w:pPr>
      <w:r>
        <w:rPr/>
        <w:t>①一般处理方法</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在报告期内，本公司处置子公司或业务，则该子公司或业务期初至处置日的收入、费用、利润纳入合并利润表；该子公司或</w:t>
      </w:r>
      <w:r>
        <w:rPr>
          <w:spacing w:val="-66"/>
        </w:rPr>
        <w:t> </w:t>
      </w:r>
      <w:r>
        <w:rPr>
          <w:spacing w:val="-66"/>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64" w:lineRule="auto" w:before="29"/>
        <w:ind w:right="0"/>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364" w:lineRule="auto" w:before="29"/>
        <w:ind w:right="4992"/>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64" w:lineRule="auto" w:before="29"/>
        <w:ind w:right="0"/>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60" w:lineRule="auto" w:before="29"/>
        <w:ind w:right="1118"/>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6"/>
        </w:rPr>
        <w:t> </w:t>
      </w:r>
      <w:r>
        <w:rPr>
          <w:spacing w:val="-66"/>
        </w:rPr>
      </w:r>
      <w:r>
        <w:rPr/>
        <w:t>益。</w:t>
      </w:r>
    </w:p>
    <w:p>
      <w:pPr>
        <w:pStyle w:val="BodyText"/>
        <w:spacing w:line="360" w:lineRule="auto" w:before="33"/>
        <w:ind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0"/>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after="0" w:line="364"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4272"/>
        <w:jc w:val="left"/>
      </w:pPr>
      <w:r>
        <w:rPr>
          <w:rFonts w:ascii="Times New Roman" w:hAnsi="Times New Roman" w:cs="Times New Roman" w:eastAsia="Times New Roman" w:hint="default"/>
        </w:rPr>
        <w:t>1</w:t>
      </w:r>
      <w:r>
        <w:rPr/>
        <w:t>、外币业务 外币业务采用交易发生当期期初汇率作为折算汇率将外币金额折合成人民币记账。</w:t>
      </w:r>
    </w:p>
    <w:p>
      <w:pPr>
        <w:pStyle w:val="BodyText"/>
        <w:spacing w:line="364" w:lineRule="auto"/>
        <w:ind w:right="0"/>
        <w:jc w:val="left"/>
      </w:pPr>
      <w:r>
        <w:rPr>
          <w:spacing w:val="-2"/>
        </w:rPr>
        <w:t>资产负债表日外币货币性项目余额按资产负债表日即期汇率折算，由此产生的汇兑差额，除属于与购建符合资本化条件的资</w:t>
      </w:r>
      <w:r>
        <w:rPr>
          <w:spacing w:val="-63"/>
        </w:rPr>
        <w:t> </w:t>
      </w:r>
      <w:r>
        <w:rPr>
          <w:spacing w:val="-63"/>
        </w:rPr>
      </w:r>
      <w:r>
        <w:rPr/>
        <w:t>产相关的外币专门借款产生的汇兑差额按照借款费用资本化的原则处理外，均计入当期损益。</w:t>
      </w:r>
    </w:p>
    <w:p>
      <w:pPr>
        <w:pStyle w:val="BodyText"/>
        <w:spacing w:line="352" w:lineRule="auto" w:before="29"/>
        <w:ind w:right="0"/>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用发生时的即期汇率折算。利润表中的收入和费用项目，采用交易发生日即期汇率近似的汇率折算。 处置境外经营时，将与该境外经营相关的外币财务报表折算差额，自所有者权益项目转入处置当期损益。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right="0"/>
        <w:jc w:val="left"/>
      </w:pPr>
      <w:r>
        <w:rPr/>
        <w:t>金融工具包括金融资产、金融负债和权益工具。</w:t>
      </w:r>
    </w:p>
    <w:p>
      <w:pPr>
        <w:pStyle w:val="BodyText"/>
        <w:spacing w:line="360" w:lineRule="auto" w:before="123"/>
        <w:ind w:right="1032"/>
        <w:jc w:val="left"/>
      </w:pPr>
      <w:r>
        <w:rPr>
          <w:rFonts w:ascii="Times New Roman" w:hAnsi="Times New Roman" w:cs="Times New Roman" w:eastAsia="Times New Roman" w:hint="default"/>
        </w:rPr>
        <w:t>1</w:t>
      </w:r>
      <w:r>
        <w:rPr/>
        <w:t>、金融工具的分类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pStyle w:val="BodyText"/>
        <w:spacing w:line="240" w:lineRule="auto" w:before="33"/>
        <w:ind w:right="0"/>
        <w:jc w:val="left"/>
      </w:pPr>
      <w:r>
        <w:rPr>
          <w:rFonts w:ascii="Times New Roman" w:hAnsi="Times New Roman" w:cs="Times New Roman" w:eastAsia="Times New Roman" w:hint="default"/>
        </w:rPr>
        <w:t>2</w:t>
      </w:r>
      <w:r>
        <w:rPr/>
        <w:t>、金融工具的确认依据和计量方法</w:t>
      </w:r>
    </w:p>
    <w:p>
      <w:pPr>
        <w:pStyle w:val="BodyText"/>
        <w:spacing w:line="355" w:lineRule="auto" w:before="109"/>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64" w:lineRule="auto" w:before="37"/>
        <w:ind w:right="319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60" w:lineRule="auto" w:before="29"/>
        <w:ind w:right="111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33"/>
        <w:ind w:right="0"/>
        <w:jc w:val="left"/>
      </w:pPr>
      <w:r>
        <w:rPr/>
        <w:t>处置时，将所取得价款与该投资账面价值之间的差额计入投资收益。</w:t>
      </w:r>
    </w:p>
    <w:p>
      <w:pPr>
        <w:pStyle w:val="BodyText"/>
        <w:spacing w:line="360" w:lineRule="auto" w:before="123"/>
        <w:ind w:right="1032"/>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33"/>
        <w:ind w:right="0"/>
        <w:jc w:val="left"/>
      </w:pPr>
      <w:r>
        <w:rPr/>
        <w:t>收回或处置时，将取得的价款与该应收款项账面价值之间的差额计入当期损益。</w:t>
      </w:r>
    </w:p>
    <w:p>
      <w:pPr>
        <w:pStyle w:val="BodyText"/>
        <w:spacing w:line="360" w:lineRule="auto" w:before="123"/>
        <w:ind w:right="1118"/>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p>
    <w:p>
      <w:pPr>
        <w:spacing w:after="0" w:line="360"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55" w:lineRule="auto" w:before="29"/>
        <w:ind w:right="409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64" w:lineRule="auto" w:before="14"/>
        <w:ind w:right="0"/>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29"/>
        <w:ind w:right="0"/>
        <w:jc w:val="left"/>
      </w:pPr>
      <w:r>
        <w:rPr/>
        <w:t>（</w:t>
      </w:r>
      <w:r>
        <w:rPr>
          <w:rFonts w:ascii="Times New Roman" w:hAnsi="Times New Roman" w:cs="Times New Roman" w:eastAsia="Times New Roman" w:hint="default"/>
        </w:rPr>
        <w:t>1</w:t>
      </w:r>
      <w:r>
        <w:rPr/>
        <w:t>）所转移金融资产的账面价值；</w:t>
      </w:r>
    </w:p>
    <w:p>
      <w:pPr>
        <w:pStyle w:val="BodyText"/>
        <w:spacing w:line="360" w:lineRule="auto" w:before="109"/>
        <w:ind w:right="112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 </w:t>
      </w: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33"/>
        <w:ind w:right="0"/>
        <w:jc w:val="left"/>
      </w:pPr>
      <w:r>
        <w:rPr/>
        <w:t>（</w:t>
      </w:r>
      <w:r>
        <w:rPr>
          <w:rFonts w:ascii="Times New Roman" w:hAnsi="Times New Roman" w:cs="Times New Roman" w:eastAsia="Times New Roman" w:hint="default"/>
        </w:rPr>
        <w:t>1</w:t>
      </w:r>
      <w:r>
        <w:rPr/>
        <w:t>）终止确认部分的账面价值；</w:t>
      </w:r>
    </w:p>
    <w:p>
      <w:pPr>
        <w:pStyle w:val="BodyText"/>
        <w:spacing w:line="362" w:lineRule="auto" w:before="109"/>
        <w:ind w:right="103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pStyle w:val="BodyText"/>
        <w:spacing w:line="360" w:lineRule="auto" w:before="31"/>
        <w:ind w:right="1118"/>
        <w:jc w:val="left"/>
      </w:pP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 </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240" w:lineRule="auto" w:before="33"/>
        <w:ind w:right="0"/>
        <w:jc w:val="left"/>
      </w:pPr>
      <w:r>
        <w:rPr/>
        <w:t>（</w:t>
      </w:r>
      <w:r>
        <w:rPr>
          <w:rFonts w:ascii="Times New Roman" w:hAnsi="Times New Roman" w:cs="Times New Roman" w:eastAsia="Times New Roman" w:hint="default"/>
        </w:rPr>
        <w:t>1</w:t>
      </w:r>
      <w:r>
        <w:rPr/>
        <w:t>）可供出售金融资产的减值准备：</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1032"/>
        <w:jc w:val="left"/>
      </w:pPr>
      <w:r>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30"/>
        <w:ind w:right="0"/>
        <w:jc w:val="left"/>
      </w:pPr>
      <w:r>
        <w:rPr/>
        <w:t>可供出售权益工具投资发生的减值损失，不通过损益转回。</w:t>
      </w:r>
    </w:p>
    <w:p>
      <w:pPr>
        <w:pStyle w:val="BodyText"/>
        <w:spacing w:line="345" w:lineRule="auto" w:before="123"/>
        <w:ind w:right="517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1、应收票据及应收账款" w:id="179"/>
      <w:bookmarkEnd w:id="179"/>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本公司将期末单项账面余额超过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万元（含）以上的应收账</w:t>
            </w:r>
            <w:r>
              <w:rPr>
                <w:rFonts w:ascii="宋体" w:hAnsi="宋体" w:cs="宋体" w:eastAsia="宋体" w:hint="default"/>
                <w:sz w:val="18"/>
                <w:szCs w:val="18"/>
              </w:rPr>
              <w:t> 款和其他应收款确定为单项金额重大的应收款项。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风险类别分析法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合并范围内关联方货款、往来款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一般不计提</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风险类别分析法（保理款）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正常类（未逾期）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关注类（逾期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次级类（逾期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可疑类（逾期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损失类（逾期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单项金额不重大但有证据表明其未来现金流量现值低于账面 价值</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按其低于账面价值的差额单项计提坏账准备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55" w:lineRule="auto" w:before="49"/>
        <w:ind w:right="5892"/>
        <w:jc w:val="left"/>
      </w:pPr>
      <w:r>
        <w:rPr>
          <w:rFonts w:ascii="Times New Roman" w:hAnsi="Times New Roman" w:cs="Times New Roman" w:eastAsia="Times New Roman" w:hint="default"/>
        </w:rPr>
        <w:t>1</w:t>
      </w:r>
      <w:r>
        <w:rPr/>
        <w:t>、存货的分类 存货分类为：原材料、库存商品、在产品、委托加工物资等。 </w:t>
      </w:r>
      <w:r>
        <w:rPr>
          <w:rFonts w:ascii="Times New Roman" w:hAnsi="Times New Roman" w:cs="Times New Roman" w:eastAsia="Times New Roman" w:hint="default"/>
        </w:rPr>
        <w:t>2</w:t>
      </w:r>
      <w:r>
        <w:rPr/>
        <w:t>、发出存货的计价方法</w:t>
      </w:r>
    </w:p>
    <w:p>
      <w:pPr>
        <w:pStyle w:val="BodyText"/>
        <w:spacing w:line="240" w:lineRule="auto" w:before="14"/>
        <w:ind w:right="0"/>
        <w:jc w:val="left"/>
      </w:pPr>
      <w:r>
        <w:rPr/>
        <w:t>存货发出时按加权平均法计价。</w:t>
      </w:r>
    </w:p>
    <w:p>
      <w:pPr>
        <w:pStyle w:val="BodyText"/>
        <w:spacing w:line="362" w:lineRule="auto" w:before="123"/>
        <w:ind w:right="1118"/>
        <w:jc w:val="left"/>
      </w:pPr>
      <w:r>
        <w:rPr>
          <w:rFonts w:ascii="Times New Roman" w:hAnsi="Times New Roman" w:cs="Times New Roman" w:eastAsia="Times New Roman" w:hint="default"/>
        </w:rPr>
        <w:t>3</w:t>
      </w:r>
      <w:r>
        <w:rPr/>
        <w:t>、不同类别存货可变现净值的确定依据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5"/>
        </w:rPr>
        <w:t> </w:t>
      </w:r>
      <w:r>
        <w:rPr>
          <w:spacing w:val="-65"/>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64" w:lineRule="auto" w:before="31"/>
        <w:ind w:right="193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45" w:lineRule="auto" w:before="29"/>
        <w:ind w:right="9222"/>
        <w:jc w:val="left"/>
      </w:pPr>
      <w:r>
        <w:rPr>
          <w:rFonts w:ascii="Times New Roman" w:hAnsi="Times New Roman" w:cs="Times New Roman" w:eastAsia="Times New Roman" w:hint="default"/>
        </w:rPr>
        <w:t>4</w:t>
      </w:r>
      <w:r>
        <w:rPr/>
        <w:t>、存货的盘存制度 采用永续盘存制</w:t>
      </w:r>
    </w:p>
    <w:p>
      <w:pPr>
        <w:pStyle w:val="BodyText"/>
        <w:spacing w:line="240" w:lineRule="auto"/>
        <w:ind w:right="0"/>
        <w:jc w:val="left"/>
      </w:pPr>
      <w:r>
        <w:rPr>
          <w:rFonts w:ascii="Times New Roman" w:hAnsi="Times New Roman" w:cs="Times New Roman" w:eastAsia="Times New Roman" w:hint="default"/>
        </w:rPr>
        <w:t>5</w:t>
      </w:r>
      <w:r>
        <w:rPr/>
        <w:t>、低值易耗品和包装物的摊销方法</w:t>
      </w:r>
    </w:p>
    <w:p>
      <w:pPr>
        <w:pStyle w:val="BodyText"/>
        <w:spacing w:line="240" w:lineRule="auto" w:before="110"/>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9"/>
        <w:ind w:right="0"/>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8"/>
          <w:szCs w:val="28"/>
        </w:rPr>
      </w:pPr>
    </w:p>
    <w:p>
      <w:pPr>
        <w:pStyle w:val="BodyText"/>
        <w:spacing w:line="362" w:lineRule="auto" w:before="0"/>
        <w:ind w:right="1118"/>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pStyle w:val="BodyText"/>
        <w:spacing w:line="240" w:lineRule="auto" w:before="31"/>
        <w:ind w:right="0"/>
        <w:jc w:val="left"/>
      </w:pPr>
      <w:r>
        <w:rPr>
          <w:rFonts w:ascii="Times New Roman" w:hAnsi="Times New Roman" w:cs="Times New Roman" w:eastAsia="Times New Roman" w:hint="default"/>
        </w:rPr>
        <w:t>2</w:t>
      </w:r>
      <w:r>
        <w:rPr/>
        <w:t>、初始投资成本的确定</w:t>
      </w:r>
    </w:p>
    <w:p>
      <w:pPr>
        <w:pStyle w:val="BodyText"/>
        <w:spacing w:line="362" w:lineRule="auto" w:before="109"/>
        <w:ind w:right="1118"/>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6"/>
        </w:rPr>
        <w:t> </w:t>
      </w:r>
      <w:r>
        <w:rPr>
          <w:spacing w:val="-66"/>
        </w:rPr>
      </w:r>
      <w:r>
        <w:rPr>
          <w:spacing w:val="-2"/>
        </w:rPr>
        <w:t>股权投资账面价值加上合并日进一步取得股份新支付对价的账面价值之和的差额，调整股本溢价，股本溢价不足冲减的，冲</w:t>
      </w:r>
      <w:r>
        <w:rPr>
          <w:spacing w:val="-66"/>
        </w:rPr>
        <w:t> </w:t>
      </w:r>
      <w:r>
        <w:rPr>
          <w:spacing w:val="-66"/>
        </w:rPr>
      </w:r>
      <w:r>
        <w:rPr/>
        <w:t>减留存收益。 </w:t>
      </w: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55" w:lineRule="auto" w:before="31"/>
        <w:ind w:right="337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64" w:lineRule="auto" w:before="37"/>
        <w:ind w:right="1130"/>
        <w:jc w:val="both"/>
      </w:pPr>
      <w:r>
        <w:rPr>
          <w:spacing w:val="-2"/>
        </w:rPr>
        <w:t>在非货币性资产交换具备商业实质和换入资产或换出资产的公允价值能够可靠计量的前提下，非货币性资产交换换入的长期</w:t>
      </w:r>
      <w:r>
        <w:rPr>
          <w:spacing w:val="-63"/>
        </w:rPr>
        <w:t> </w:t>
      </w:r>
      <w:r>
        <w:rPr>
          <w:spacing w:val="-63"/>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29"/>
        <w:ind w:right="0"/>
        <w:jc w:val="left"/>
      </w:pPr>
      <w:r>
        <w:rPr/>
        <w:t>通过债务重组取得的长期股权投资，其初始投资成本按照公允价值为基础确定。</w:t>
      </w:r>
    </w:p>
    <w:p>
      <w:pPr>
        <w:pStyle w:val="BodyText"/>
        <w:spacing w:line="240" w:lineRule="auto" w:before="123"/>
        <w:ind w:right="0"/>
        <w:jc w:val="left"/>
      </w:pPr>
      <w:r>
        <w:rPr>
          <w:rFonts w:ascii="Times New Roman" w:hAnsi="Times New Roman" w:cs="Times New Roman" w:eastAsia="Times New Roman" w:hint="default"/>
        </w:rPr>
        <w:t>3</w:t>
      </w:r>
      <w:r>
        <w:rPr/>
        <w:t>、后续计量及损益确认方法</w:t>
      </w:r>
    </w:p>
    <w:p>
      <w:pPr>
        <w:pStyle w:val="BodyText"/>
        <w:spacing w:line="355" w:lineRule="auto" w:before="109"/>
        <w:ind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60" w:lineRule="auto" w:before="37"/>
        <w:ind w:right="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w:t>
      </w:r>
    </w:p>
    <w:p>
      <w:pPr>
        <w:spacing w:after="0" w:line="360"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1118"/>
        <w:jc w:val="left"/>
      </w:pP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3"/>
        </w:rPr>
        <w:t> </w:t>
      </w:r>
      <w:r>
        <w:rPr>
          <w:spacing w:val="-63"/>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6"/>
        </w:rPr>
        <w:t> </w:t>
      </w:r>
      <w:r>
        <w:rPr>
          <w:spacing w:val="-66"/>
        </w:rPr>
      </w:r>
      <w:r>
        <w:rPr/>
        <w:t>表中的净利润、其他综合收益和其他所有者权益变动中归属于被投资单位的金额为基础进行核算。 </w:t>
      </w:r>
      <w:r>
        <w:rPr>
          <w:spacing w:val="-2"/>
        </w:rPr>
        <w:t>公司与联营企业、合营企业之间发生的未实现内部交易损益按照应享有的比例计算归属于公司的部分，予以抵销，在此基础</w:t>
      </w:r>
      <w:r>
        <w:rPr>
          <w:spacing w:val="-66"/>
        </w:rPr>
        <w:t> </w:t>
      </w:r>
      <w:r>
        <w:rPr>
          <w:spacing w:val="-66"/>
        </w:rPr>
      </w:r>
      <w:r>
        <w:rPr>
          <w:spacing w:val="-2"/>
        </w:rPr>
        <w:t>上确认投资收益。与被投资单位发生的未实现内部交易损失，属于资产减值损失的，全额确认。公司与联营企业、合营企业</w:t>
      </w:r>
      <w:r>
        <w:rPr>
          <w:spacing w:val="-66"/>
        </w:rPr>
        <w:t> </w:t>
      </w:r>
      <w:r>
        <w:rPr>
          <w:spacing w:val="-66"/>
        </w:rPr>
      </w:r>
      <w:r>
        <w:rPr/>
        <w:t>之间发生投出或出售资产的交易，该资产构成业务的，按照企业合并和合并财务报表的相关政策进行会计处理。 </w:t>
      </w: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6"/>
        </w:rPr>
        <w:t> </w:t>
      </w:r>
      <w:r>
        <w:rPr>
          <w:spacing w:val="-66"/>
        </w:rPr>
      </w:r>
      <w:r>
        <w:rPr/>
        <w:t>认预计负债，计入当期投资损失。</w:t>
      </w:r>
    </w:p>
    <w:p>
      <w:pPr>
        <w:pStyle w:val="BodyText"/>
        <w:spacing w:line="345" w:lineRule="auto" w:before="29"/>
        <w:ind w:right="49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64" w:lineRule="auto"/>
        <w:ind w:right="1118"/>
        <w:jc w:val="left"/>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 </w:t>
      </w:r>
      <w:r>
        <w:rPr>
          <w:spacing w:val="-2"/>
        </w:rPr>
        <w:t>因处置部分股权投资、因其他投资方对子公司增资而导致本公司持股比例下降等原因丧失了对被投资单位控制权的，在编制</w:t>
      </w:r>
      <w:r>
        <w:rPr>
          <w:spacing w:val="-64"/>
        </w:rPr>
        <w:t> </w:t>
      </w:r>
      <w:r>
        <w:rPr>
          <w:spacing w:val="-64"/>
        </w:rPr>
      </w:r>
      <w:r>
        <w:rPr>
          <w:spacing w:val="-2"/>
        </w:rPr>
        <w:t>个别财务报表时，剩余股权能够对被投资单位实施共同控制或重大影响的，改按权益法核算，并对该剩余股权视同自取得时</w:t>
      </w:r>
      <w:r>
        <w:rPr>
          <w:spacing w:val="-66"/>
        </w:rPr>
        <w:t> </w:t>
      </w:r>
      <w:r>
        <w:rPr>
          <w:spacing w:val="-66"/>
        </w:rPr>
      </w:r>
      <w:r>
        <w:rPr>
          <w:spacing w:val="-2"/>
        </w:rPr>
        <w:t>即采用权益法核算进行调整；剩余股权不能对被投资单位实施共同控制或施加重大影响的，改按金融工具确认和计量准则的</w:t>
      </w:r>
      <w:r>
        <w:rPr>
          <w:spacing w:val="-64"/>
        </w:rPr>
        <w:t> </w:t>
      </w:r>
      <w:r>
        <w:rPr>
          <w:spacing w:val="-64"/>
        </w:rPr>
      </w:r>
      <w:r>
        <w:rPr/>
        <w:t>有关规定进行会计处理，其在丧失控制之日的公允价值与账面价值间的差额计入当期损益。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952"/>
        <w:jc w:val="left"/>
      </w:pPr>
      <w:r>
        <w:rPr/>
        <w:t>投资性房地产计量模式 不适用</w:t>
      </w:r>
    </w:p>
    <w:p>
      <w:pPr>
        <w:spacing w:after="0" w:line="357" w:lineRule="auto"/>
        <w:jc w:val="left"/>
        <w:sectPr>
          <w:footerReference w:type="default" r:id="rId23"/>
          <w:pgSz w:w="11910" w:h="16840"/>
          <w:pgMar w:footer="979" w:header="877"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w:t>
      </w:r>
    </w:p>
    <w:p>
      <w:pPr>
        <w:pStyle w:val="BodyText"/>
        <w:spacing w:line="240" w:lineRule="auto" w:before="56"/>
        <w:ind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3"/>
        <w:ind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8"/>
          <w:szCs w:val="28"/>
        </w:rPr>
      </w:pPr>
    </w:p>
    <w:p>
      <w:pPr>
        <w:pStyle w:val="BodyText"/>
        <w:spacing w:line="240" w:lineRule="auto" w:before="0"/>
        <w:ind w:right="0"/>
        <w:jc w:val="left"/>
      </w:pPr>
      <w:r>
        <w:rPr/>
        <w:t>公司与租赁方所签订的租赁协议条款中规定了下列条件之一的，确认为融资租入资产：</w:t>
      </w:r>
    </w:p>
    <w:p>
      <w:pPr>
        <w:spacing w:line="240" w:lineRule="auto" w:before="7"/>
        <w:rPr>
          <w:rFonts w:ascii="宋体" w:hAnsi="宋体" w:cs="宋体" w:eastAsia="宋体" w:hint="default"/>
          <w:sz w:val="12"/>
          <w:szCs w:val="12"/>
        </w:rPr>
      </w:pPr>
    </w:p>
    <w:p>
      <w:pPr>
        <w:pStyle w:val="BodyText"/>
        <w:spacing w:line="240" w:lineRule="auto" w:before="0"/>
        <w:ind w:right="0"/>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49"/>
        <w:ind w:right="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49"/>
        <w:ind w:right="0"/>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74" w:lineRule="auto" w:before="150"/>
        <w:ind w:right="0"/>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公司在承租开始日，将租赁资产公允价值与最低租赁付款额现值两者中较低者作为租入资产的入账价值，将最低租赁付款额</w:t>
      </w:r>
      <w:r>
        <w:rPr>
          <w:spacing w:val="-64"/>
        </w:rPr>
        <w:t> </w:t>
      </w:r>
      <w:r>
        <w:rPr>
          <w:spacing w:val="-64"/>
        </w:rPr>
      </w:r>
      <w:r>
        <w:rPr/>
        <w:t>作为长期应付款的入账价值，其差额作为未确认的融资费。</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否</w:t>
      </w:r>
    </w:p>
    <w:p>
      <w:pPr>
        <w:pStyle w:val="BodyText"/>
        <w:spacing w:line="364" w:lineRule="auto" w:before="50"/>
        <w:ind w:right="113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3012"/>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w:t>
      </w:r>
    </w:p>
    <w:p>
      <w:pPr>
        <w:spacing w:after="0" w:line="345" w:lineRule="auto"/>
        <w:jc w:val="left"/>
        <w:sectPr>
          <w:footerReference w:type="default" r:id="rId24"/>
          <w:pgSz w:w="11910" w:h="16840"/>
          <w:pgMar w:footer="979" w:header="877" w:top="1100" w:bottom="1160" w:left="980" w:right="0"/>
          <w:pgNumType w:start="101"/>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3"/>
        </w:rPr>
        <w:t> </w:t>
      </w:r>
      <w:r>
        <w:rPr>
          <w:spacing w:val="-63"/>
        </w:rPr>
      </w:r>
      <w:r>
        <w:rPr/>
        <w:t>资性房地产和存货等资产。</w:t>
      </w:r>
    </w:p>
    <w:p>
      <w:pPr>
        <w:pStyle w:val="BodyText"/>
        <w:spacing w:line="240" w:lineRule="auto" w:before="30"/>
        <w:ind w:right="0"/>
        <w:jc w:val="left"/>
      </w:pPr>
      <w:r>
        <w:rPr/>
        <w:t>借款费用同时满足下列条件时开始资本化：</w:t>
      </w:r>
    </w:p>
    <w:p>
      <w:pPr>
        <w:pStyle w:val="BodyText"/>
        <w:spacing w:line="345" w:lineRule="auto" w:before="123"/>
        <w:ind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9"/>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62" w:lineRule="auto" w:before="109"/>
        <w:ind w:right="1118"/>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pStyle w:val="BodyText"/>
        <w:spacing w:line="360" w:lineRule="auto" w:before="31"/>
        <w:ind w:right="1122"/>
        <w:jc w:val="left"/>
      </w:pP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 </w:t>
      </w: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3"/>
        </w:rPr>
        <w:t> </w:t>
      </w:r>
      <w:r>
        <w:rPr>
          <w:spacing w:val="-63"/>
        </w:rPr>
      </w:r>
      <w:r>
        <w:rPr/>
        <w:t>确定。</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8"/>
          <w:szCs w:val="28"/>
        </w:rPr>
      </w:pPr>
    </w:p>
    <w:p>
      <w:pPr>
        <w:pStyle w:val="BodyText"/>
        <w:spacing w:line="240" w:lineRule="auto" w:before="0"/>
        <w:ind w:right="0"/>
        <w:jc w:val="left"/>
      </w:pPr>
      <w:r>
        <w:rPr>
          <w:rFonts w:ascii="Times New Roman" w:hAnsi="Times New Roman" w:cs="Times New Roman" w:eastAsia="Times New Roman" w:hint="default"/>
        </w:rPr>
        <w:t>1</w:t>
      </w:r>
      <w:r>
        <w:rPr/>
        <w:t>、无形资产的计价方法</w:t>
      </w:r>
    </w:p>
    <w:p>
      <w:pPr>
        <w:pStyle w:val="BodyText"/>
        <w:spacing w:line="240" w:lineRule="auto" w:before="109"/>
        <w:ind w:right="0"/>
        <w:jc w:val="left"/>
      </w:pPr>
      <w:r>
        <w:rPr/>
        <w:t>（</w:t>
      </w:r>
      <w:r>
        <w:rPr>
          <w:rFonts w:ascii="Times New Roman" w:hAnsi="Times New Roman" w:cs="Times New Roman" w:eastAsia="Times New Roman" w:hint="default"/>
        </w:rPr>
        <w:t>1</w:t>
      </w:r>
      <w:r>
        <w:rPr/>
        <w:t>）公司取得无形资产时按成本进行初始计量；</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45" w:lineRule="auto" w:before="29"/>
        <w:ind w:right="751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64" w:lineRule="auto"/>
        <w:ind w:right="0"/>
        <w:jc w:val="left"/>
      </w:pPr>
      <w:r>
        <w:rPr>
          <w:spacing w:val="-2"/>
        </w:rPr>
        <w:t>对于使用寿命有限的无形资产，在为企业带来经济利益的期限内按直线法摊销；无法预见无形资产为企业带来经济利益期限</w:t>
      </w:r>
      <w:r>
        <w:rPr>
          <w:spacing w:val="-63"/>
        </w:rPr>
        <w:t> </w:t>
      </w:r>
      <w:r>
        <w:rPr>
          <w:spacing w:val="-63"/>
        </w:rPr>
      </w:r>
      <w:r>
        <w:rPr/>
        <w:t>的，视为使用寿命不确定的无形资产，不予摊销。</w:t>
      </w:r>
    </w:p>
    <w:p>
      <w:pPr>
        <w:pStyle w:val="BodyText"/>
        <w:spacing w:line="240" w:lineRule="auto" w:before="29"/>
        <w:ind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11"/>
        <w:rPr>
          <w:rFonts w:ascii="宋体" w:hAnsi="宋体" w:cs="宋体" w:eastAsia="宋体" w:hint="default"/>
          <w:sz w:val="5"/>
          <w:szCs w:val="5"/>
        </w:rPr>
      </w:pPr>
    </w:p>
    <w:tbl>
      <w:tblPr>
        <w:tblW w:w="0" w:type="auto"/>
        <w:jc w:val="left"/>
        <w:tblInd w:w="1061" w:type="dxa"/>
        <w:tblLayout w:type="fixed"/>
        <w:tblCellMar>
          <w:top w:w="0" w:type="dxa"/>
          <w:left w:w="0" w:type="dxa"/>
          <w:bottom w:w="0" w:type="dxa"/>
          <w:right w:w="0" w:type="dxa"/>
        </w:tblCellMar>
        <w:tblLook w:val="01E0"/>
      </w:tblPr>
      <w:tblGrid>
        <w:gridCol w:w="3056"/>
        <w:gridCol w:w="1913"/>
        <w:gridCol w:w="2846"/>
      </w:tblGrid>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预计使用寿命（月）</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484~600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土地出让期限</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60~120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专利技术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生产技术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受益期限</w:t>
            </w:r>
          </w:p>
        </w:tc>
      </w:tr>
    </w:tbl>
    <w:p>
      <w:pPr>
        <w:pStyle w:val="BodyText"/>
        <w:spacing w:line="240" w:lineRule="auto" w:before="10"/>
        <w:ind w:right="0"/>
        <w:jc w:val="left"/>
      </w:pPr>
      <w:r>
        <w:rPr/>
        <w:t>每年度终了，对使用寿命有限的无形资产的使用寿命及摊销方法进行复核。</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8"/>
          <w:szCs w:val="28"/>
        </w:rPr>
      </w:pPr>
    </w:p>
    <w:p>
      <w:pPr>
        <w:pStyle w:val="BodyText"/>
        <w:spacing w:line="355" w:lineRule="auto" w:before="0"/>
        <w:ind w:right="3012"/>
        <w:jc w:val="left"/>
      </w:pPr>
      <w:r>
        <w:rPr>
          <w:rFonts w:ascii="Times New Roman" w:hAnsi="Times New Roman" w:cs="Times New Roman" w:eastAsia="Times New Roman" w:hint="default"/>
        </w:rPr>
        <w:t>1</w:t>
      </w: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64" w:lineRule="auto" w:before="37"/>
        <w:ind w:right="0"/>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pStyle w:val="BodyText"/>
        <w:spacing w:line="345" w:lineRule="auto" w:before="29"/>
        <w:ind w:right="4812"/>
        <w:jc w:val="left"/>
      </w:pPr>
      <w:r>
        <w:rPr>
          <w:rFonts w:ascii="Times New Roman" w:hAnsi="Times New Roman" w:cs="Times New Roman" w:eastAsia="Times New Roman" w:hint="default"/>
        </w:rPr>
        <w:t>2</w:t>
      </w:r>
      <w:r>
        <w:rPr/>
        <w:t>、开发阶段支出资本化的具体条件 内部研究开发项目开发阶段的支出，同时满足下列条件时确认为无形资产：</w:t>
      </w:r>
    </w:p>
    <w:p>
      <w:pPr>
        <w:pStyle w:val="BodyText"/>
        <w:spacing w:line="240" w:lineRule="auto"/>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9"/>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45" w:lineRule="auto" w:before="109"/>
        <w:ind w:right="1122"/>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5" w:lineRule="auto" w:before="109"/>
        <w:ind w:right="2112"/>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0"/>
        <w:jc w:val="left"/>
      </w:pPr>
      <w:r>
        <w:rPr>
          <w:spacing w:val="-2"/>
        </w:rPr>
        <w:t>长期股权投资、固定资产、在建工程、使用寿命有限的无形资产等长期资产，于资产负债表日存在减值迹象的，进行减值测</w:t>
      </w:r>
      <w:r>
        <w:rPr>
          <w:spacing w:val="-66"/>
        </w:rPr>
        <w:t> </w:t>
      </w:r>
      <w:r>
        <w:rPr>
          <w:spacing w:val="-66"/>
        </w:rPr>
      </w:r>
      <w:r>
        <w:rPr>
          <w:spacing w:val="-2"/>
        </w:rPr>
        <w:t>试。减值测试结果表明资产的可收回金额低于其账面价值的，按其差额计提减值准备并计入减值损失。可收回金额为资产的</w:t>
      </w:r>
    </w:p>
    <w:p>
      <w:pPr>
        <w:spacing w:after="0" w:line="364"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1131"/>
        <w:jc w:val="both"/>
      </w:pPr>
      <w:r>
        <w:rPr>
          <w:spacing w:val="-2"/>
        </w:rPr>
        <w:t>公允价值减去处置费用后的净额与资产预计未来现金流量的现值两者之间的较高者。资产减值准备按单项资产为基础计算并</w:t>
      </w:r>
      <w:r>
        <w:rPr>
          <w:spacing w:val="-64"/>
        </w:rPr>
        <w:t> </w:t>
      </w:r>
      <w:r>
        <w:rPr>
          <w:spacing w:val="-64"/>
        </w:rPr>
      </w:r>
      <w:r>
        <w:rPr>
          <w:spacing w:val="-2"/>
        </w:rPr>
        <w:t>确认，如果难以对单项资产的可收回金额进行估计的，以该资产所属的资产组确定资产组的可收回金额。资产组是能够独立</w:t>
      </w:r>
      <w:r>
        <w:rPr>
          <w:spacing w:val="-66"/>
        </w:rPr>
        <w:t> </w:t>
      </w:r>
      <w:r>
        <w:rPr>
          <w:spacing w:val="-66"/>
        </w:rPr>
      </w:r>
      <w:r>
        <w:rPr/>
        <w:t>产生现金流入的最小资产组合。</w:t>
      </w:r>
    </w:p>
    <w:p>
      <w:pPr>
        <w:pStyle w:val="BodyText"/>
        <w:spacing w:line="364" w:lineRule="auto" w:before="29"/>
        <w:ind w:right="1118"/>
        <w:jc w:val="left"/>
      </w:pPr>
      <w:r>
        <w:rPr/>
        <w:t>商誉和使用寿命不确定的无形资产至少在每年年度终了进行减值测试。 </w:t>
      </w:r>
      <w:r>
        <w:rPr>
          <w:spacing w:val="-2"/>
        </w:rPr>
        <w:t>本公司进行商誉减值测试，对于因企业合并形成的商誉的账面价值，自购买日起按照合理的方法分摊至相关的资产组；难以</w:t>
      </w:r>
      <w:r>
        <w:rPr>
          <w:spacing w:val="-66"/>
        </w:rPr>
        <w:t> </w:t>
      </w:r>
      <w:r>
        <w:rPr>
          <w:spacing w:val="-66"/>
        </w:rPr>
      </w:r>
      <w:r>
        <w:rPr>
          <w:spacing w:val="-2"/>
        </w:rPr>
        <w:t>分摊至相关的资产组的，将其分摊至相关的资产组组合。在将商誉的账面价值分摊至相关的资产组或者资产组组合时，按照</w:t>
      </w:r>
      <w:r>
        <w:rPr>
          <w:spacing w:val="-65"/>
        </w:rPr>
        <w:t> </w:t>
      </w:r>
      <w:r>
        <w:rPr>
          <w:spacing w:val="-65"/>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4"/>
        </w:rPr>
        <w:t>账面价值部分）与其可收回金额，如相关资产组或者资产组组合的可收回金额低于其账面价值的，确认商誉的减值损失。</w:t>
      </w:r>
      <w:r>
        <w:rPr>
          <w:spacing w:val="36"/>
        </w:rPr>
        <w:t> </w:t>
      </w:r>
      <w:r>
        <w:rPr/>
        <w:t>上</w:t>
      </w:r>
      <w:r>
        <w:rPr>
          <w:spacing w:val="-87"/>
        </w:rPr>
        <w:t> </w:t>
      </w:r>
      <w:r>
        <w:rPr>
          <w:spacing w:val="-87"/>
        </w:rPr>
      </w:r>
      <w:r>
        <w:rPr/>
        <w:t>述资产减值损失一经确认，在以后会计期间不予转回。</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118"/>
        <w:jc w:val="left"/>
      </w:pPr>
      <w:r>
        <w:rPr>
          <w:spacing w:val="-2"/>
        </w:rPr>
        <w:t>长期待摊费用为已经发生但应由本期和以后各期负担的分摊期限在一年以上的各项费用。本公司的长期待摊费用主要包括厂</w:t>
      </w:r>
      <w:r>
        <w:rPr>
          <w:spacing w:val="-64"/>
        </w:rPr>
        <w:t> </w:t>
      </w:r>
      <w:r>
        <w:rPr>
          <w:spacing w:val="-64"/>
        </w:rPr>
      </w:r>
      <w:r>
        <w:rPr/>
        <w:t>房改造费等。</w:t>
      </w:r>
    </w:p>
    <w:p>
      <w:pPr>
        <w:pStyle w:val="BodyText"/>
        <w:spacing w:line="355" w:lineRule="auto" w:before="29"/>
        <w:ind w:right="7872"/>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p>
      <w:pPr>
        <w:spacing w:line="240" w:lineRule="auto" w:before="12"/>
        <w:rPr>
          <w:rFonts w:ascii="宋体" w:hAnsi="宋体" w:cs="宋体" w:eastAsia="宋体" w:hint="default"/>
          <w:sz w:val="25"/>
          <w:szCs w:val="25"/>
        </w:rPr>
      </w:pPr>
    </w:p>
    <w:tbl>
      <w:tblPr>
        <w:tblW w:w="0" w:type="auto"/>
        <w:jc w:val="left"/>
        <w:tblInd w:w="755" w:type="dxa"/>
        <w:tblLayout w:type="fixed"/>
        <w:tblCellMar>
          <w:top w:w="0" w:type="dxa"/>
          <w:left w:w="0" w:type="dxa"/>
          <w:bottom w:w="0" w:type="dxa"/>
          <w:right w:w="0" w:type="dxa"/>
        </w:tblCellMar>
        <w:tblLook w:val="01E0"/>
      </w:tblPr>
      <w:tblGrid>
        <w:gridCol w:w="1873"/>
        <w:gridCol w:w="1845"/>
        <w:gridCol w:w="1924"/>
        <w:gridCol w:w="2172"/>
      </w:tblGrid>
      <w:tr>
        <w:trPr>
          <w:trHeight w:val="34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厂房改造费</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受益期限</w:t>
            </w:r>
          </w:p>
        </w:tc>
        <w:tc>
          <w:tcPr>
            <w:tcW w:w="21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8"/>
          <w:szCs w:val="28"/>
        </w:rPr>
      </w:pPr>
    </w:p>
    <w:p>
      <w:pPr>
        <w:pStyle w:val="BodyText"/>
        <w:spacing w:line="364" w:lineRule="auto" w:before="0"/>
        <w:ind w:right="0"/>
        <w:jc w:val="left"/>
      </w:pPr>
      <w:r>
        <w:rPr/>
        <w:t>（</w:t>
      </w: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本公司按当地政府的相关规定为职工缴纳基本养老保险和失业保险，在职工为本公司提供服务的会计期间，按以当地规定的</w:t>
      </w:r>
      <w:r>
        <w:rPr>
          <w:spacing w:val="-63"/>
        </w:rPr>
        <w:t> </w:t>
      </w:r>
      <w:r>
        <w:rPr>
          <w:spacing w:val="-63"/>
        </w:rPr>
      </w:r>
      <w:r>
        <w:rPr/>
        <w:t>缴纳基数和比例计算应缴纳金额，确认为负债，并计入当期损益或相关资产成本。</w:t>
      </w:r>
    </w:p>
    <w:p>
      <w:pPr>
        <w:spacing w:after="0" w:line="364"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除基本养老保险外，本公司还依据国家企业年金制度的相关政策建立了企业年金缴费制度（补充养老保险）</w:t>
      </w:r>
      <w:r>
        <w:rPr>
          <w:rFonts w:ascii="宋体" w:hAnsi="宋体" w:cs="宋体" w:eastAsia="宋体" w:hint="default"/>
          <w:spacing w:val="-2"/>
        </w:rPr>
        <w:t>/</w:t>
      </w:r>
      <w:r>
        <w:rPr>
          <w:spacing w:val="-2"/>
        </w:rPr>
        <w:t>企业年金计划。</w:t>
      </w:r>
      <w:r>
        <w:rPr>
          <w:spacing w:val="-63"/>
        </w:rPr>
        <w:t> </w:t>
      </w:r>
      <w:r>
        <w:rPr/>
        <w:t>本公司按职工工资总额的一定比例向当地社会保险机构缴费</w:t>
      </w:r>
      <w:r>
        <w:rPr>
          <w:rFonts w:ascii="宋体" w:hAnsi="宋体" w:cs="宋体" w:eastAsia="宋体" w:hint="default"/>
        </w:rPr>
        <w:t>/</w:t>
      </w:r>
      <w:r>
        <w:rPr/>
        <w:t>年金计划缴费，相应支出计入当期损益或相关资产成本。</w:t>
      </w:r>
    </w:p>
    <w:p>
      <w:pPr>
        <w:pStyle w:val="BodyText"/>
        <w:spacing w:line="364" w:lineRule="auto" w:before="29"/>
        <w:ind w:right="0"/>
        <w:jc w:val="left"/>
      </w:pPr>
      <w:r>
        <w:rPr/>
        <w:t>（</w:t>
      </w: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r>
        <w:rPr>
          <w:spacing w:val="-64"/>
        </w:rPr>
        <w:t> </w:t>
      </w:r>
      <w:r>
        <w:rPr>
          <w:spacing w:val="-64"/>
        </w:rPr>
      </w:r>
      <w:r>
        <w:rPr>
          <w:spacing w:val="-2"/>
        </w:rPr>
        <w:t>计划净负债或净资产所产生的变动计入其他综合收益，并且在后续会计期间不转回至损益，在原设定受益计划终止时在权益</w:t>
      </w:r>
      <w:r>
        <w:rPr>
          <w:spacing w:val="-63"/>
        </w:rPr>
        <w:t> </w:t>
      </w:r>
      <w:r>
        <w:rPr>
          <w:spacing w:val="-63"/>
        </w:rPr>
      </w:r>
      <w:r>
        <w:rPr/>
        <w:t>范围内将原计入其他综合收益的部分全部结转至未分配利润。 在设定受益计划结算时，按在结算日确定的设定受益计划义务现值和结算价格两者的差额，确认结算利得或损失。</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0"/>
        <w:jc w:val="left"/>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t>本或费用时（两者孰早），确认辞退福利产生的职工薪酬负债，并计入当期损益。</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right="0"/>
        <w:jc w:val="left"/>
      </w:pPr>
      <w:r>
        <w:rPr>
          <w:spacing w:val="-2"/>
        </w:rPr>
        <w:t>本公司向职工提供的其他长期职工福利，符合设定提存计划的，按照设定提存计划进行会计处理，除此之外按照设定受益计</w:t>
      </w:r>
      <w:r>
        <w:rPr>
          <w:spacing w:val="-66"/>
        </w:rPr>
        <w:t> </w:t>
      </w:r>
      <w:r>
        <w:rPr>
          <w:spacing w:val="-66"/>
        </w:rPr>
      </w:r>
      <w:r>
        <w:rPr/>
        <w:t>划进行会计处理。</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1932"/>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9"/>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09"/>
        <w:ind w:right="0"/>
        <w:jc w:val="left"/>
      </w:pPr>
      <w:r>
        <w:rPr/>
        <w:t>（</w:t>
      </w:r>
      <w:r>
        <w:rPr>
          <w:rFonts w:ascii="Times New Roman" w:hAnsi="Times New Roman" w:cs="Times New Roman" w:eastAsia="Times New Roman" w:hint="default"/>
        </w:rPr>
        <w:t>3</w:t>
      </w:r>
      <w:r>
        <w:rPr/>
        <w:t>）该义务的金额能够可靠地计量。</w:t>
      </w:r>
    </w:p>
    <w:p>
      <w:pPr>
        <w:pStyle w:val="BodyText"/>
        <w:spacing w:line="345" w:lineRule="auto" w:before="109"/>
        <w:ind w:right="4632"/>
        <w:jc w:val="left"/>
      </w:pP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64" w:lineRule="auto"/>
        <w:ind w:right="0"/>
        <w:jc w:val="left"/>
      </w:pPr>
      <w:r>
        <w:rPr>
          <w:spacing w:val="-2"/>
        </w:rPr>
        <w:t>本公司在确定最佳估计数时，综合考虑与或有事项有关的风险、不确定性和货币时间价值等因素。对于货币时间价值影响重</w:t>
      </w:r>
      <w:r>
        <w:rPr>
          <w:spacing w:val="-65"/>
        </w:rPr>
        <w:t> </w:t>
      </w:r>
      <w:r>
        <w:rPr>
          <w:spacing w:val="-65"/>
        </w:rPr>
      </w:r>
      <w:r>
        <w:rPr/>
        <w:t>大的，通过对相关未来现金流出进行折现后确定最佳估计数。</w:t>
      </w:r>
    </w:p>
    <w:p>
      <w:pPr>
        <w:pStyle w:val="BodyText"/>
        <w:spacing w:line="364" w:lineRule="auto" w:before="29"/>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p>
    <w:p>
      <w:pPr>
        <w:spacing w:after="0" w:line="364"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t>相关概率计算确定。 </w:t>
      </w: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否</w:t>
      </w:r>
    </w:p>
    <w:p>
      <w:pPr>
        <w:pStyle w:val="BodyText"/>
        <w:spacing w:line="240" w:lineRule="auto" w:before="47"/>
        <w:ind w:right="0"/>
        <w:jc w:val="left"/>
      </w:pPr>
      <w:r>
        <w:rPr>
          <w:rFonts w:ascii="Times New Roman" w:hAnsi="Times New Roman" w:cs="Times New Roman" w:eastAsia="Times New Roman" w:hint="default"/>
        </w:rPr>
        <w:t>1</w:t>
      </w:r>
      <w:r>
        <w:rPr/>
        <w:t>、销售商品收入确认确认原则和计量方法：</w:t>
      </w:r>
    </w:p>
    <w:p>
      <w:pPr>
        <w:pStyle w:val="BodyText"/>
        <w:spacing w:line="360" w:lineRule="auto" w:before="109"/>
        <w:ind w:right="0"/>
        <w:jc w:val="left"/>
      </w:pPr>
      <w:r>
        <w:rPr/>
        <w:t>（</w:t>
      </w:r>
      <w:r>
        <w:rPr>
          <w:rFonts w:ascii="Times New Roman" w:hAnsi="Times New Roman" w:cs="Times New Roman" w:eastAsia="Times New Roman" w:hint="default"/>
        </w:rPr>
        <w:t>1</w:t>
      </w:r>
      <w:r>
        <w:rPr/>
        <w:t>）销售商品收入确认和计量的总体原则 </w:t>
      </w:r>
      <w:r>
        <w:rPr>
          <w:spacing w:val="-2"/>
        </w:rPr>
        <w:t>本公司已将商品所有权上的主要风险和报酬转移给购货方；本公司既没有保留通常与所有权相联系的继续管理权，也没有对</w:t>
      </w:r>
      <w:r>
        <w:rPr>
          <w:spacing w:val="-64"/>
        </w:rPr>
        <w:t> </w:t>
      </w:r>
      <w:r>
        <w:rPr>
          <w:spacing w:val="-64"/>
        </w:rPr>
      </w:r>
      <w:r>
        <w:rPr>
          <w:spacing w:val="-2"/>
        </w:rPr>
        <w:t>已售出的商品实施有效控制；收入的金额能够可靠地计量；相关的经济利益很可能流入本公司；相关的、已发生或将发生的</w:t>
      </w:r>
      <w:r>
        <w:rPr>
          <w:spacing w:val="-66"/>
        </w:rPr>
        <w:t> </w:t>
      </w:r>
      <w:r>
        <w:rPr>
          <w:spacing w:val="-66"/>
        </w:rPr>
      </w:r>
      <w:r>
        <w:rPr/>
        <w:t>成本能够可靠地计量。</w:t>
      </w:r>
    </w:p>
    <w:p>
      <w:pPr>
        <w:pStyle w:val="BodyText"/>
        <w:spacing w:line="355" w:lineRule="auto" w:before="33"/>
        <w:ind w:right="5532" w:firstLine="73"/>
        <w:jc w:val="left"/>
      </w:pPr>
      <w:r>
        <w:rPr/>
        <w:t>（</w:t>
      </w:r>
      <w:r>
        <w:rPr>
          <w:rFonts w:ascii="Times New Roman" w:hAnsi="Times New Roman" w:cs="Times New Roman" w:eastAsia="Times New Roman" w:hint="default"/>
        </w:rPr>
        <w:t>2</w:t>
      </w:r>
      <w:r>
        <w:rPr/>
        <w:t>）本公司销售商品收入确认的具体标准 结合公司的销售模式及运输模式，公司销售商品收入确认方法为： 国内销售收入：</w:t>
      </w:r>
    </w:p>
    <w:p>
      <w:pPr>
        <w:pStyle w:val="BodyText"/>
        <w:spacing w:line="364" w:lineRule="auto" w:before="37"/>
        <w:ind w:right="1034"/>
        <w:jc w:val="left"/>
      </w:pPr>
      <w:r>
        <w:rPr/>
        <w:t>①</w:t>
      </w:r>
      <w:r>
        <w:rPr>
          <w:spacing w:val="14"/>
        </w:rPr>
        <w:t> </w:t>
      </w:r>
      <w:r>
        <w:rPr>
          <w:spacing w:val="-2"/>
        </w:rPr>
        <w:t>现款销售：客户自行提货的，在客户付款后，公司开出发货单，仓库发出货物当日确认销售收入；通过物流公司发货的，</w:t>
      </w:r>
      <w:r>
        <w:rPr>
          <w:spacing w:val="-86"/>
        </w:rPr>
        <w:t> </w:t>
      </w:r>
      <w:r>
        <w:rPr>
          <w:spacing w:val="-86"/>
        </w:rPr>
      </w:r>
      <w:r>
        <w:rPr/>
        <w:t>在收到货款后，公司开出发货单，仓库发出货物交由物流公司对外发货时确认销售收入。</w:t>
      </w:r>
    </w:p>
    <w:p>
      <w:pPr>
        <w:pStyle w:val="BodyText"/>
        <w:spacing w:line="364" w:lineRule="auto" w:before="29"/>
        <w:ind w:right="1132"/>
        <w:jc w:val="both"/>
      </w:pPr>
      <w:r>
        <w:rPr/>
        <w:t>②</w:t>
      </w:r>
      <w:r>
        <w:rPr>
          <w:spacing w:val="-19"/>
        </w:rPr>
        <w:t> </w:t>
      </w:r>
      <w:r>
        <w:rPr/>
        <w:t>信用销售：客户自行提货，在合同签订后，约定收款期限，公司开出发货单，仓库发出货物当日确认销售收入；通过物</w:t>
      </w:r>
      <w:r>
        <w:rPr/>
        <w:t> </w:t>
      </w:r>
      <w:r>
        <w:rPr>
          <w:spacing w:val="-2"/>
        </w:rPr>
        <w:t>流公司发货，公司根据已经签订的合同，约定收款期限，开出发货单，仓库发出货物交由物流公司对外发货，客户确认收到</w:t>
      </w:r>
      <w:r>
        <w:rPr>
          <w:spacing w:val="-66"/>
        </w:rPr>
        <w:t> </w:t>
      </w:r>
      <w:r>
        <w:rPr>
          <w:spacing w:val="-66"/>
        </w:rPr>
      </w:r>
      <w:r>
        <w:rPr/>
        <w:t>货物后确认销售收入。</w:t>
      </w:r>
    </w:p>
    <w:p>
      <w:pPr>
        <w:pStyle w:val="BodyText"/>
        <w:spacing w:line="364" w:lineRule="auto" w:before="29"/>
        <w:ind w:right="1118"/>
        <w:jc w:val="left"/>
      </w:pPr>
      <w:r>
        <w:rPr/>
        <w:t>出口销售收入： </w:t>
      </w:r>
      <w:r>
        <w:rPr>
          <w:spacing w:val="-2"/>
        </w:rPr>
        <w:t>公司与客户订立的合同以离岸价为报价基础，货物离岸时确认风险的转移，在取得海关出口货物报关单和提单时确认销售收</w:t>
      </w:r>
      <w:r>
        <w:rPr>
          <w:spacing w:val="-64"/>
        </w:rPr>
        <w:t> </w:t>
      </w:r>
      <w:r>
        <w:rPr>
          <w:spacing w:val="-64"/>
        </w:rPr>
      </w:r>
      <w:r>
        <w:rPr/>
        <w:t>入。</w:t>
      </w:r>
    </w:p>
    <w:p>
      <w:pPr>
        <w:pStyle w:val="BodyText"/>
        <w:spacing w:line="355" w:lineRule="auto" w:before="29"/>
        <w:ind w:right="1392"/>
        <w:jc w:val="left"/>
      </w:pPr>
      <w:r>
        <w:rPr>
          <w:rFonts w:ascii="Times New Roman" w:hAnsi="Times New Roman" w:cs="Times New Roman" w:eastAsia="Times New Roman" w:hint="default"/>
        </w:rPr>
        <w:t>2</w:t>
      </w:r>
      <w:r>
        <w:rPr/>
        <w:t>、让渡资产使用权收入的确认原则和计量方法 与交易相关的经济利益很可能流入公司，收入的金额能够可靠地计量时。分别下列情况确定让渡资产使用权收入金额： 公司商业保理业务收入确认方法为：</w:t>
      </w:r>
    </w:p>
    <w:p>
      <w:pPr>
        <w:pStyle w:val="BodyText"/>
        <w:spacing w:line="240" w:lineRule="auto" w:before="37"/>
        <w:ind w:right="0"/>
        <w:jc w:val="left"/>
      </w:pPr>
      <w:r>
        <w:rPr/>
        <w:t>①利息收入金额，按照他人使用本公司货币资金的时间和实际利率计算确定。</w:t>
      </w:r>
    </w:p>
    <w:p>
      <w:pPr>
        <w:pStyle w:val="BodyText"/>
        <w:spacing w:line="360" w:lineRule="auto" w:before="123"/>
        <w:ind w:right="0"/>
        <w:jc w:val="left"/>
      </w:pPr>
      <w:r>
        <w:rPr/>
        <w:t>②管理费收入金额，按照有关合同或协议约定的收费时间和方法计算确定。 </w:t>
      </w:r>
      <w:r>
        <w:rPr>
          <w:rFonts w:ascii="Times New Roman" w:hAnsi="Times New Roman" w:cs="Times New Roman" w:eastAsia="Times New Roman" w:hint="default"/>
        </w:rPr>
        <w:t>3</w:t>
      </w:r>
      <w:r>
        <w:rPr/>
        <w:t>、按完工百分比法确认提供劳务的收入和建造合同收入时，确定合同完工进度的依据和方法 </w:t>
      </w:r>
      <w:r>
        <w:rPr>
          <w:spacing w:val="-2"/>
        </w:rPr>
        <w:t>在资产负债表日提供劳务交易的结果能够可靠估计的，采用完工百分比法确认提供劳务收入。提供劳务交易的完工进度，依</w:t>
      </w:r>
      <w:r>
        <w:rPr>
          <w:spacing w:val="-66"/>
        </w:rPr>
        <w:t> </w:t>
      </w:r>
      <w:r>
        <w:rPr>
          <w:spacing w:val="-66"/>
        </w:rPr>
      </w:r>
      <w:r>
        <w:rPr/>
        <w:t>据已完工作的测量确定。</w:t>
      </w:r>
    </w:p>
    <w:p>
      <w:pPr>
        <w:spacing w:after="0" w:line="360"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6"/>
        </w:rPr>
        <w:t> </w:t>
      </w:r>
      <w:r>
        <w:rPr>
          <w:spacing w:val="-66"/>
        </w:rPr>
      </w:r>
      <w:r>
        <w:rPr/>
        <w:t>照提供劳务估计总成本乘以完工进度扣除以前会计期间累计已确认劳务成本后的金额，结转当期劳务成本。</w:t>
      </w:r>
      <w:r>
        <w:rPr/>
        <w:t> 在资产负债表日提供劳务交易结果不能够可靠估计的，分别下列情况处理：</w:t>
      </w:r>
    </w:p>
    <w:p>
      <w:pPr>
        <w:pStyle w:val="BodyText"/>
        <w:spacing w:line="240" w:lineRule="auto" w:before="30"/>
        <w:ind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pStyle w:val="BodyText"/>
        <w:spacing w:line="240" w:lineRule="auto" w:before="123"/>
        <w:ind w:right="0"/>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pStyle w:val="Heading3"/>
        <w:spacing w:line="240" w:lineRule="auto" w:before="140"/>
        <w:ind w:right="0"/>
        <w:jc w:val="left"/>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3"/>
        <w:rPr>
          <w:rFonts w:ascii="宋体" w:hAnsi="宋体" w:cs="宋体" w:eastAsia="宋体" w:hint="default"/>
          <w:b/>
          <w:bCs/>
          <w:sz w:val="28"/>
          <w:szCs w:val="28"/>
        </w:rPr>
      </w:pPr>
    </w:p>
    <w:p>
      <w:pPr>
        <w:pStyle w:val="BodyText"/>
        <w:spacing w:line="362" w:lineRule="auto" w:before="0"/>
        <w:ind w:right="1032"/>
        <w:jc w:val="left"/>
      </w:pPr>
      <w:r>
        <w:rPr>
          <w:rFonts w:ascii="Times New Roman" w:hAnsi="Times New Roman" w:cs="Times New Roman" w:eastAsia="Times New Roman" w:hint="default"/>
        </w:rPr>
        <w:t>1</w:t>
      </w:r>
      <w:r>
        <w:rPr/>
        <w:t>、类型 政府补助，是本公司从政府无偿取得的货币性资产与非货币性资产。分为与资产相关的政府补助和与收益相关的政府补助。 </w:t>
      </w:r>
      <w:r>
        <w:rPr>
          <w:spacing w:val="-2"/>
        </w:rPr>
        <w:t>与资产相关的政府补助，是指本公司取得的、用于购建或以其他方式形成长期资产的政府补助。与收益相关的政府补助，是</w:t>
      </w:r>
      <w:r>
        <w:rPr>
          <w:spacing w:val="-65"/>
        </w:rPr>
        <w:t> </w:t>
      </w:r>
      <w:r>
        <w:rPr>
          <w:spacing w:val="-65"/>
        </w:rPr>
      </w:r>
      <w:r>
        <w:rPr/>
        <w:t>指除与资产相关的政府补助之外的政府补助。 本公司将政府补助划分为与资产相关的具体标准为：本公司取得的，用于购建或以其他方式形成长期资产的政府补助； 本公司将政府补助划分为与收益相关的具体标准为：除与资产相关的政府补助之外的政府补助； </w:t>
      </w:r>
      <w:r>
        <w:rPr>
          <w:spacing w:val="-2"/>
        </w:rPr>
        <w:t>对于政府文件未明确规定补助对象的，本公司将该政府补助划分为与资产相关或与收益相关的判断依据为：是否用于购建或</w:t>
      </w:r>
      <w:r>
        <w:rPr>
          <w:spacing w:val="-64"/>
        </w:rPr>
        <w:t> </w:t>
      </w:r>
      <w:r>
        <w:rPr>
          <w:spacing w:val="-64"/>
        </w:rPr>
      </w:r>
      <w:r>
        <w:rPr/>
        <w:t>以其他方式形成长期资产。</w:t>
      </w:r>
    </w:p>
    <w:p>
      <w:pPr>
        <w:pStyle w:val="BodyText"/>
        <w:spacing w:line="355" w:lineRule="auto" w:before="31"/>
        <w:ind w:right="7332"/>
        <w:jc w:val="left"/>
      </w:pPr>
      <w:r>
        <w:rPr>
          <w:rFonts w:ascii="Times New Roman" w:hAnsi="Times New Roman" w:cs="Times New Roman" w:eastAsia="Times New Roman" w:hint="default"/>
        </w:rPr>
        <w:t>2</w:t>
      </w:r>
      <w:r>
        <w:rPr/>
        <w:t>、确认时点 企业实际取得政府补助款项作为确认时点。 </w:t>
      </w:r>
      <w:r>
        <w:rPr>
          <w:rFonts w:ascii="Times New Roman" w:hAnsi="Times New Roman" w:cs="Times New Roman" w:eastAsia="Times New Roman" w:hint="default"/>
        </w:rPr>
        <w:t>3</w:t>
      </w:r>
      <w:r>
        <w:rPr/>
        <w:t>、会计处理</w:t>
      </w:r>
    </w:p>
    <w:p>
      <w:pPr>
        <w:pStyle w:val="BodyText"/>
        <w:spacing w:line="364" w:lineRule="auto" w:before="14"/>
        <w:ind w:right="1032"/>
        <w:jc w:val="left"/>
      </w:pPr>
      <w:r>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w:t>
      </w:r>
      <w:r>
        <w:rPr>
          <w:spacing w:val="-2"/>
        </w:rPr>
        <w:t>与收益相关的政府补助，用于补偿本公司以后期间的相关成本费用或损失的，确认为递延收益，并在确认相关成本费用或损</w:t>
      </w:r>
      <w:r>
        <w:rPr>
          <w:spacing w:val="-66"/>
        </w:rPr>
        <w:t> </w:t>
      </w:r>
      <w:r>
        <w:rPr>
          <w:spacing w:val="-66"/>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6"/>
        </w:rPr>
        <w:t> </w:t>
      </w:r>
      <w:r>
        <w:rPr>
          <w:spacing w:val="-66"/>
        </w:rPr>
      </w:r>
      <w:r>
        <w:rPr/>
        <w:t>入其他收益；与本公司日常活动无关的，计入营业外收入）或冲减相关成本费用或损失。 本公司取得的政策性优惠贷款贴息，区分以下两种情况，分别进行会计处理：</w:t>
      </w:r>
    </w:p>
    <w:p>
      <w:pPr>
        <w:pStyle w:val="BodyText"/>
        <w:spacing w:line="345" w:lineRule="auto" w:before="29"/>
        <w:ind w:right="1122"/>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）财政将贴息资金拨付给贷款银行，由贷款银行以政策性优惠利率向本公司提供贷款的，本公司以实际收到的借款金额 作为借款的入账价值，按照借款本金和该政策性优惠利率计算相关借款费用。</w:t>
      </w:r>
    </w:p>
    <w:p>
      <w:pPr>
        <w:pStyle w:val="BodyText"/>
        <w:spacing w:line="240" w:lineRule="auto"/>
        <w:ind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130"/>
        <w:jc w:val="both"/>
      </w:pPr>
      <w:r>
        <w:rPr>
          <w:spacing w:val="-2"/>
        </w:rPr>
        <w:t>对于可抵扣暂时性差异确认递延所得税资产，以未来期间很可能取得的用来抵扣可抵扣暂时性差异的应纳税所得额为限。对</w:t>
      </w:r>
      <w:r>
        <w:rPr>
          <w:spacing w:val="-63"/>
        </w:rPr>
        <w:t> </w:t>
      </w:r>
      <w:r>
        <w:rPr>
          <w:spacing w:val="-63"/>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64" w:lineRule="auto" w:before="30"/>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p>
    <w:p>
      <w:pPr>
        <w:spacing w:after="0" w:line="364"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0"/>
        <w:jc w:val="left"/>
      </w:pP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0" w:lineRule="auto" w:before="0"/>
        <w:ind w:right="1122"/>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60" w:lineRule="auto" w:before="33"/>
        <w:ind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 </w:t>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 </w:t>
      </w:r>
      <w:r>
        <w:rPr>
          <w:spacing w:val="-2"/>
        </w:rPr>
        <w:t>公司承担了应由承租方承担的与租赁相关的费用时，公司将该部分费用从租金收入总额中扣除，按扣除后的租金费用在租赁</w:t>
      </w:r>
      <w:r>
        <w:rPr>
          <w:spacing w:val="-63"/>
        </w:rPr>
        <w:t> </w:t>
      </w:r>
      <w:r>
        <w:rPr>
          <w:spacing w:val="-63"/>
        </w:rPr>
      </w:r>
      <w:r>
        <w:rPr/>
        <w:t>期内分配。</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55" w:lineRule="auto" w:before="0"/>
        <w:ind w:right="1133"/>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用，在资产租赁期间内摊销，计入财务费用。公司发生的初始直接费用，计入租入资产价值。</w:t>
      </w:r>
    </w:p>
    <w:p>
      <w:pPr>
        <w:pStyle w:val="BodyText"/>
        <w:spacing w:line="355" w:lineRule="auto" w:before="37"/>
        <w:ind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1024"/>
        <w:jc w:val="left"/>
      </w:pPr>
      <w:r>
        <w:rPr/>
        <w:t>终止经营 </w:t>
      </w:r>
      <w:r>
        <w:rPr>
          <w:spacing w:val="-4"/>
        </w:rPr>
        <w:t>终止经营是满足下列条件之一的、能够单独区分的组成部分，且该组成部分已被本公司处置或被本公司划归为持有待售类别：</w:t>
      </w:r>
    </w:p>
    <w:p>
      <w:pPr>
        <w:pStyle w:val="BodyText"/>
        <w:spacing w:line="240" w:lineRule="auto" w:before="47"/>
        <w:ind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109"/>
        <w:ind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109"/>
        <w:ind w:right="0"/>
        <w:jc w:val="left"/>
      </w:pPr>
      <w:r>
        <w:rPr/>
        <w:t>（</w:t>
      </w:r>
      <w:r>
        <w:rPr>
          <w:rFonts w:ascii="Times New Roman" w:hAnsi="Times New Roman" w:cs="Times New Roman" w:eastAsia="Times New Roman" w:hint="default"/>
        </w:rPr>
        <w:t>3</w:t>
      </w:r>
      <w:r>
        <w:rPr/>
        <w:t>）该组成部分是专为转售而取得的子公司。</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388"/>
        <w:gridCol w:w="2411"/>
        <w:gridCol w:w="1771"/>
      </w:tblGrid>
      <w:tr>
        <w:trPr>
          <w:trHeight w:val="401"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7"/>
                <w:sz w:val="18"/>
                <w:szCs w:val="18"/>
              </w:rPr>
              <w:t>月发布了《关于修订印发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w:t>
            </w:r>
          </w:p>
          <w:p>
            <w:pPr>
              <w:pStyle w:val="TableParagraph"/>
              <w:spacing w:line="309" w:lineRule="auto" w:before="61"/>
              <w:ind w:left="22" w:right="43"/>
              <w:jc w:val="both"/>
              <w:rPr>
                <w:rFonts w:ascii="宋体" w:hAnsi="宋体" w:cs="宋体" w:eastAsia="宋体" w:hint="default"/>
                <w:sz w:val="18"/>
                <w:szCs w:val="18"/>
              </w:rPr>
            </w:pPr>
            <w:r>
              <w:rPr>
                <w:rFonts w:ascii="宋体" w:hAnsi="宋体" w:cs="宋体" w:eastAsia="宋体" w:hint="default"/>
                <w:spacing w:val="-9"/>
                <w:sz w:val="18"/>
                <w:szCs w:val="18"/>
              </w:rPr>
              <w:t>报表格式的通知》，并于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日发布了《关于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 </w:t>
            </w:r>
            <w:r>
              <w:rPr>
                <w:rFonts w:ascii="宋体" w:hAnsi="宋体" w:cs="宋体" w:eastAsia="宋体" w:hint="default"/>
                <w:spacing w:val="-3"/>
                <w:sz w:val="18"/>
                <w:szCs w:val="18"/>
              </w:rPr>
              <w:t>般企业财务报表格式有关问题的解读》，对一般企业财务报表格式进</w:t>
            </w:r>
            <w:r>
              <w:rPr>
                <w:rFonts w:ascii="宋体" w:hAnsi="宋体" w:cs="宋体" w:eastAsia="宋体" w:hint="default"/>
                <w:sz w:val="18"/>
                <w:szCs w:val="18"/>
              </w:rPr>
              <w:t> 行了修订，适用于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60"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0"/>
        <w:ind w:left="0" w:right="2326"/>
        <w:jc w:val="right"/>
      </w:pPr>
      <w:r>
        <w:rPr/>
        <w:pict>
          <v:shape style="position:absolute;margin-left:86.779999pt;margin-top:-176.108246pt;width:388.7pt;height:366.8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5"/>
                    <w:gridCol w:w="1614"/>
                    <w:gridCol w:w="3119"/>
                  </w:tblGrid>
                  <w:tr>
                    <w:trPr>
                      <w:trHeight w:val="342"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526"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4" w:right="-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）应收票据、应收账款项目合并列 示为应收票据及应收账款；应付票据、 应付账款项目合并列示为应付票据及 应付账款。</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26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合并列报为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116,570,303.92</w:t>
                        </w:r>
                        <w:r>
                          <w:rPr>
                            <w:rFonts w:ascii="宋体" w:hAnsi="宋体" w:cs="宋体" w:eastAsia="宋体" w:hint="default"/>
                            <w:sz w:val="18"/>
                            <w:szCs w:val="18"/>
                          </w:rPr>
                          <w:t>元，年初余额</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74,653,817.34</w:t>
                        </w:r>
                        <w:r>
                          <w:rPr>
                            <w:rFonts w:ascii="宋体" w:hAnsi="宋体" w:cs="宋体" w:eastAsia="宋体" w:hint="default"/>
                            <w:sz w:val="18"/>
                            <w:szCs w:val="18"/>
                          </w:rPr>
                          <w:t>元。</w:t>
                        </w:r>
                      </w:p>
                      <w:p>
                        <w:pPr>
                          <w:pStyle w:val="TableParagraph"/>
                          <w:spacing w:line="300" w:lineRule="auto" w:before="63"/>
                          <w:ind w:left="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合并列报为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 </w:t>
                        </w:r>
                        <w:r>
                          <w:rPr>
                            <w:rFonts w:ascii="Times New Roman" w:hAnsi="Times New Roman" w:cs="Times New Roman" w:eastAsia="Times New Roman" w:hint="default"/>
                            <w:spacing w:val="-2"/>
                            <w:sz w:val="18"/>
                            <w:szCs w:val="18"/>
                          </w:rPr>
                          <w:t>49,709,548.09</w:t>
                        </w:r>
                        <w:r>
                          <w:rPr>
                            <w:rFonts w:ascii="宋体" w:hAnsi="宋体" w:cs="宋体" w:eastAsia="宋体" w:hint="default"/>
                            <w:spacing w:val="-2"/>
                            <w:sz w:val="18"/>
                            <w:szCs w:val="18"/>
                          </w:rPr>
                          <w:t>元，年初余额</w:t>
                        </w:r>
                        <w:r>
                          <w:rPr>
                            <w:rFonts w:ascii="Times New Roman" w:hAnsi="Times New Roman" w:cs="Times New Roman" w:eastAsia="Times New Roman" w:hint="default"/>
                            <w:spacing w:val="-2"/>
                            <w:sz w:val="18"/>
                            <w:szCs w:val="18"/>
                          </w:rPr>
                          <w:t>73,423,061.66</w:t>
                        </w:r>
                      </w:p>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902"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）应收利息、应收股利、其他应收 </w:t>
                        </w:r>
                        <w:r>
                          <w:rPr>
                            <w:rFonts w:ascii="宋体" w:hAnsi="宋体" w:cs="宋体" w:eastAsia="宋体" w:hint="default"/>
                            <w:spacing w:val="-4"/>
                            <w:sz w:val="18"/>
                            <w:szCs w:val="18"/>
                          </w:rPr>
                          <w:t>款项目合并列示为其他应收款；应付利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息、应付股利、其他应付款项目合并列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示为其他应付款。</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应收利息</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应收股利</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其他应收款</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合并列报为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1,226,940.39</w:t>
                        </w:r>
                        <w:r>
                          <w:rPr>
                            <w:rFonts w:ascii="宋体" w:hAnsi="宋体" w:cs="宋体" w:eastAsia="宋体" w:hint="default"/>
                            <w:sz w:val="18"/>
                            <w:szCs w:val="18"/>
                          </w:rPr>
                          <w:t>元，年初余额</w:t>
                        </w:r>
                        <w:r>
                          <w:rPr>
                            <w:rFonts w:ascii="Times New Roman" w:hAnsi="Times New Roman" w:cs="Times New Roman" w:eastAsia="Times New Roman" w:hint="default"/>
                            <w:sz w:val="18"/>
                            <w:szCs w:val="18"/>
                          </w:rPr>
                          <w:t>573,159.95</w:t>
                        </w:r>
                        <w:r>
                          <w:rPr>
                            <w:rFonts w:ascii="宋体" w:hAnsi="宋体" w:cs="宋体" w:eastAsia="宋体" w:hint="default"/>
                            <w:sz w:val="18"/>
                            <w:szCs w:val="18"/>
                          </w:rPr>
                          <w:t>元</w:t>
                        </w:r>
                      </w:p>
                      <w:p>
                        <w:pPr>
                          <w:pStyle w:val="TableParagraph"/>
                          <w:spacing w:line="300" w:lineRule="auto" w:before="13"/>
                          <w:ind w:left="4" w:right="3"/>
                          <w:jc w:val="left"/>
                          <w:rPr>
                            <w:rFonts w:ascii="宋体" w:hAnsi="宋体" w:cs="宋体" w:eastAsia="宋体" w:hint="default"/>
                            <w:sz w:val="18"/>
                            <w:szCs w:val="18"/>
                          </w:rPr>
                        </w:pP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应付利息</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应付股利</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其他应付款</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合并列报为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1,125,321.94</w:t>
                        </w:r>
                        <w:r>
                          <w:rPr>
                            <w:rFonts w:ascii="宋体" w:hAnsi="宋体" w:cs="宋体" w:eastAsia="宋体" w:hint="default"/>
                            <w:sz w:val="18"/>
                            <w:szCs w:val="18"/>
                          </w:rPr>
                          <w:t>元，年初余额</w:t>
                        </w:r>
                        <w:r>
                          <w:rPr>
                            <w:rFonts w:ascii="Times New Roman" w:hAnsi="Times New Roman" w:cs="Times New Roman" w:eastAsia="Times New Roman" w:hint="default"/>
                            <w:sz w:val="18"/>
                            <w:szCs w:val="18"/>
                          </w:rPr>
                          <w:t>541,149.06</w:t>
                        </w:r>
                        <w:r>
                          <w:rPr>
                            <w:rFonts w:ascii="宋体" w:hAnsi="宋体" w:cs="宋体" w:eastAsia="宋体" w:hint="default"/>
                            <w:sz w:val="18"/>
                            <w:szCs w:val="18"/>
                          </w:rPr>
                          <w:t>元</w:t>
                        </w:r>
                      </w:p>
                    </w:tc>
                  </w:tr>
                  <w:tr>
                    <w:trPr>
                      <w:trHeight w:val="966"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）利润表中新增研发费用项目，将 管理费用中的研发费用重分类至该项 目。</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87"/>
                          <w:jc w:val="both"/>
                          <w:rPr>
                            <w:rFonts w:ascii="宋体" w:hAnsi="宋体" w:cs="宋体" w:eastAsia="宋体" w:hint="default"/>
                            <w:sz w:val="18"/>
                            <w:szCs w:val="18"/>
                          </w:rPr>
                        </w:pPr>
                        <w:r>
                          <w:rPr>
                            <w:rFonts w:ascii="宋体" w:hAnsi="宋体" w:cs="宋体" w:eastAsia="宋体" w:hint="default"/>
                            <w:sz w:val="18"/>
                            <w:szCs w:val="18"/>
                          </w:rPr>
                          <w:t>调减管理费用本期发生额</w:t>
                        </w:r>
                        <w:r>
                          <w:rPr>
                            <w:rFonts w:ascii="Times New Roman" w:hAnsi="Times New Roman" w:cs="Times New Roman" w:eastAsia="Times New Roman" w:hint="default"/>
                            <w:sz w:val="18"/>
                            <w:szCs w:val="18"/>
                          </w:rPr>
                          <w:t>14,719,202.15 </w:t>
                        </w:r>
                        <w:r>
                          <w:rPr>
                            <w:rFonts w:ascii="宋体" w:hAnsi="宋体" w:cs="宋体" w:eastAsia="宋体" w:hint="default"/>
                            <w:sz w:val="18"/>
                            <w:szCs w:val="18"/>
                          </w:rPr>
                          <w:t>元，上期发生额</w:t>
                        </w:r>
                        <w:r>
                          <w:rPr>
                            <w:rFonts w:ascii="Times New Roman" w:hAnsi="Times New Roman" w:cs="Times New Roman" w:eastAsia="Times New Roman" w:hint="default"/>
                            <w:sz w:val="18"/>
                            <w:szCs w:val="18"/>
                          </w:rPr>
                          <w:t>17,569,878.17</w:t>
                        </w:r>
                        <w:r>
                          <w:rPr>
                            <w:rFonts w:ascii="宋体" w:hAnsi="宋体" w:cs="宋体" w:eastAsia="宋体" w:hint="default"/>
                            <w:sz w:val="18"/>
                            <w:szCs w:val="18"/>
                          </w:rPr>
                          <w:t>元，重分 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590"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）利润表中在财务费用科目下新增</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97"/>
                          <w:jc w:val="both"/>
                          <w:rPr>
                            <w:rFonts w:ascii="宋体" w:hAnsi="宋体" w:cs="宋体" w:eastAsia="宋体" w:hint="default"/>
                            <w:sz w:val="18"/>
                            <w:szCs w:val="18"/>
                          </w:rPr>
                        </w:pPr>
                        <w:r>
                          <w:rPr>
                            <w:rFonts w:ascii="宋体" w:hAnsi="宋体" w:cs="宋体" w:eastAsia="宋体" w:hint="default"/>
                            <w:sz w:val="18"/>
                            <w:szCs w:val="18"/>
                          </w:rPr>
                          <w:t>在财务费用科目下新增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 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1,337,670.91</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83,983.33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本期进行</w:t>
                        </w:r>
                      </w:p>
                      <w:p>
                        <w:pPr>
                          <w:pStyle w:val="TableParagraph"/>
                          <w:spacing w:line="240" w:lineRule="auto" w:before="13"/>
                          <w:ind w:left="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3,714,807.25</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2,591,137.42</w:t>
                        </w:r>
                      </w:p>
                      <w:p>
                        <w:pPr>
                          <w:pStyle w:val="TableParagraph"/>
                          <w:spacing w:line="240" w:lineRule="auto" w:before="63"/>
                          <w:ind w:left="4" w:right="0"/>
                          <w:jc w:val="both"/>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before="0"/>
        <w:ind w:left="0" w:right="23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240" w:lineRule="auto" w:before="35"/>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9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其他" w:id="218"/>
      <w:bookmarkEnd w:id="218"/>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18"/>
          <w:szCs w:val="18"/>
        </w:rPr>
        <w:t>关联方</w:t>
      </w:r>
    </w:p>
    <w:p>
      <w:pPr>
        <w:spacing w:after="0" w:line="54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4" w:lineRule="auto"/>
        <w:ind w:right="1118"/>
        <w:jc w:val="left"/>
      </w:pPr>
      <w:r>
        <w:rPr>
          <w:spacing w:val="-2"/>
        </w:rPr>
        <w:t>一方控制、共同控制另一方或对另一方施加重大影响，以及两方或两方以上同受一方控制、共同控制的，构成关联方。关联</w:t>
      </w:r>
      <w:r>
        <w:rPr>
          <w:spacing w:val="-66"/>
        </w:rPr>
        <w:t> </w:t>
      </w:r>
      <w:r>
        <w:rPr>
          <w:spacing w:val="-66"/>
        </w:rPr>
      </w:r>
      <w:r>
        <w:rPr/>
        <w:t>方可为个人或企业。仅仅同受国家控制而不存在其他关联方关系的企业，不构成本公司的关联方。 本公司的关联方包括但不限于：</w:t>
      </w:r>
    </w:p>
    <w:p>
      <w:pPr>
        <w:pStyle w:val="BodyText"/>
        <w:spacing w:line="240" w:lineRule="auto" w:before="29"/>
        <w:ind w:right="0"/>
        <w:jc w:val="left"/>
      </w:pPr>
      <w:r>
        <w:rPr/>
        <w:t>（</w:t>
      </w:r>
      <w:r>
        <w:rPr>
          <w:rFonts w:ascii="Times New Roman" w:hAnsi="Times New Roman" w:cs="Times New Roman" w:eastAsia="Times New Roman" w:hint="default"/>
        </w:rPr>
        <w:t>1</w:t>
      </w:r>
      <w:r>
        <w:rPr/>
        <w:t>）本公司的母公司；</w:t>
      </w:r>
    </w:p>
    <w:p>
      <w:pPr>
        <w:pStyle w:val="BodyText"/>
        <w:spacing w:line="240" w:lineRule="auto" w:before="110"/>
        <w:ind w:right="0"/>
        <w:jc w:val="left"/>
      </w:pPr>
      <w:r>
        <w:rPr/>
        <w:t>（</w:t>
      </w:r>
      <w:r>
        <w:rPr>
          <w:rFonts w:ascii="Times New Roman" w:hAnsi="Times New Roman" w:cs="Times New Roman" w:eastAsia="Times New Roman" w:hint="default"/>
        </w:rPr>
        <w:t>2</w:t>
      </w:r>
      <w:r>
        <w:rPr/>
        <w:t>）本公司的子公司；</w:t>
      </w:r>
    </w:p>
    <w:p>
      <w:pPr>
        <w:pStyle w:val="BodyText"/>
        <w:spacing w:line="240" w:lineRule="auto" w:before="109"/>
        <w:ind w:right="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109"/>
        <w:ind w:right="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109"/>
        <w:ind w:right="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109"/>
        <w:ind w:right="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109"/>
        <w:ind w:right="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109"/>
        <w:ind w:right="0"/>
        <w:jc w:val="left"/>
      </w:pPr>
      <w:r>
        <w:rPr/>
        <w:t>（</w:t>
      </w:r>
      <w:r>
        <w:rPr>
          <w:rFonts w:ascii="Times New Roman" w:hAnsi="Times New Roman" w:cs="Times New Roman" w:eastAsia="Times New Roman" w:hint="default"/>
        </w:rPr>
        <w:t>8</w:t>
      </w:r>
      <w:r>
        <w:rPr/>
        <w:t>）本公司的主要投资者个人及与其关系密切的家庭成员</w:t>
      </w:r>
      <w:r>
        <w:rPr>
          <w:spacing w:val="-16"/>
        </w:rPr>
        <w:t> </w:t>
      </w:r>
      <w:r>
        <w:rPr/>
        <w:t>；</w:t>
      </w:r>
    </w:p>
    <w:p>
      <w:pPr>
        <w:pStyle w:val="BodyText"/>
        <w:spacing w:line="240" w:lineRule="auto" w:before="109"/>
        <w:ind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240" w:lineRule="auto" w:before="109"/>
        <w:ind w:right="0"/>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）本公司的主要投资者个人、关键管理人员或与其关系密切的家庭成员控制、共同控制的其他企业。</w:t>
      </w: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bookmarkStart w:name="六、税项" w:id="219"/>
      <w:bookmarkEnd w:id="21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分级税率：</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8.25%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GOLDENGREEN TECHNOLOGIES EU</w:t>
            </w:r>
            <w:r>
              <w:rPr>
                <w:rFonts w:ascii="Times New Roman"/>
                <w:spacing w:val="-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1132"/>
        <w:jc w:val="both"/>
      </w:pP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7</w:t>
      </w:r>
      <w:r>
        <w:rPr>
          <w:spacing w:val="-3"/>
        </w:rPr>
        <w:t>日重新取得江苏省科学技术厅、江苏省财政厅、江苏省国家税务局和江苏省地方税务局联合颁发的《高</w:t>
      </w:r>
      <w:r>
        <w:rPr/>
        <w:t> 新技术企业证书》（有效期</w:t>
      </w:r>
      <w:r>
        <w:rPr>
          <w:rFonts w:ascii="Times New Roman" w:hAnsi="Times New Roman" w:cs="Times New Roman" w:eastAsia="Times New Roman" w:hint="default"/>
        </w:rPr>
        <w:t>3</w:t>
      </w:r>
      <w:r>
        <w:rPr/>
        <w:t>年），享受自认定年度起三年内减按</w:t>
      </w:r>
      <w:r>
        <w:rPr>
          <w:rFonts w:ascii="Times New Roman" w:hAnsi="Times New Roman" w:cs="Times New Roman" w:eastAsia="Times New Roman" w:hint="default"/>
        </w:rPr>
        <w:t>15%</w:t>
      </w:r>
      <w:r>
        <w:rPr/>
        <w:t>的税率缴纳企业所得税的优惠政策。因此，本公司本 期实际减按</w:t>
      </w:r>
      <w:r>
        <w:rPr>
          <w:rFonts w:ascii="Times New Roman" w:hAnsi="Times New Roman" w:cs="Times New Roman" w:eastAsia="Times New Roman" w:hint="default"/>
        </w:rPr>
        <w:t>15%</w:t>
      </w:r>
      <w:r>
        <w:rPr/>
        <w:t>的税率缴纳企业所得税。</w:t>
      </w:r>
    </w:p>
    <w:p>
      <w:pPr>
        <w:spacing w:after="0" w:line="345"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spacing w:line="487" w:lineRule="auto" w:before="35"/>
        <w:ind w:left="154" w:right="7692"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4"/>
      <w:bookmarkEnd w:id="22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174,040.85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159,754,259.25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199,971,379.82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2,391,581.95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160,416,538.74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202,537,002.62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7332"/>
        <w:jc w:val="left"/>
      </w:pPr>
      <w:r>
        <w:rPr/>
        <w:t>其他说明 其他货币资金为公司外汇掉期业务保证金。</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外汇掉期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74,812.50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74,812.50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应收票据及应收账款" w:id="227"/>
      <w:bookmarkEnd w:id="227"/>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291,490.00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115,708,365.92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74,362,327.34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116,570,303.92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74,653,817.34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674" w:right="0"/>
        <w:jc w:val="left"/>
        <w:rPr>
          <w:b w:val="0"/>
          <w:bCs w:val="0"/>
        </w:rPr>
      </w:pPr>
      <w:bookmarkStart w:name="（1）应收票据" w:id="228"/>
      <w:bookmarkEnd w:id="22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674"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291,490.00</w:t>
            </w:r>
          </w:p>
        </w:tc>
      </w:tr>
    </w:tbl>
    <w:p>
      <w:pPr>
        <w:pStyle w:val="BodyText"/>
        <w:spacing w:line="240" w:lineRule="auto" w:before="51"/>
        <w:ind w:left="674"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66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left="674"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2"/>
        <w:ind w:left="674"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67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674" w:right="0"/>
        <w:jc w:val="left"/>
        <w:rPr>
          <w:b w:val="0"/>
          <w:bCs w:val="0"/>
        </w:rPr>
      </w:pPr>
      <w:bookmarkStart w:name="（2）应收账款" w:id="229"/>
      <w:bookmarkEnd w:id="22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674"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12"/>
        <w:gridCol w:w="1288"/>
        <w:gridCol w:w="708"/>
        <w:gridCol w:w="1134"/>
        <w:gridCol w:w="567"/>
        <w:gridCol w:w="1277"/>
        <w:gridCol w:w="1134"/>
        <w:gridCol w:w="710"/>
        <w:gridCol w:w="1134"/>
        <w:gridCol w:w="566"/>
        <w:gridCol w:w="1134"/>
      </w:tblGrid>
      <w:tr>
        <w:trPr>
          <w:trHeight w:val="397"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49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1701"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12"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122,042,809.58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6,334,443.66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115,708,365.92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79,054,054.55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4,691,727.21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74,362,327.34</w:t>
            </w: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122,042,809.58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6,334,443.66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115,708,365.92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79,054,054.55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4,691,727.21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74,362,327.34</w:t>
            </w:r>
          </w:p>
        </w:tc>
      </w:tr>
    </w:tbl>
    <w:p>
      <w:pPr>
        <w:pStyle w:val="BodyText"/>
        <w:spacing w:line="240" w:lineRule="auto" w:before="51"/>
        <w:ind w:left="674" w:right="0"/>
        <w:jc w:val="left"/>
      </w:pPr>
      <w:r>
        <w:rPr/>
        <w:t>期末单项金额重大并单项计提坏账准备的应收账款：</w:t>
      </w:r>
    </w:p>
    <w:p>
      <w:pPr>
        <w:pStyle w:val="BodyText"/>
        <w:spacing w:line="338" w:lineRule="auto" w:before="117"/>
        <w:ind w:left="67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460" w:right="0"/>
        </w:sectPr>
      </w:pPr>
    </w:p>
    <w:p>
      <w:pPr>
        <w:spacing w:line="240" w:lineRule="auto" w:before="13"/>
        <w:rPr>
          <w:rFonts w:ascii="宋体" w:hAnsi="宋体" w:cs="宋体" w:eastAsia="宋体" w:hint="default"/>
          <w:sz w:val="21"/>
          <w:szCs w:val="21"/>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93,937,104.33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4,696,855.22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5,917,269.81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591,727.02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599,075.69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179,722.69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762,001.94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762,001.94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101,215,451.77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6,230,306.87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48" w:lineRule="auto" w:before="29"/>
        <w:ind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组合中，按风险类别分析法计提坏账准备的应收账款（保理款）：</w:t>
      </w:r>
    </w:p>
    <w:p>
      <w:pPr>
        <w:spacing w:line="240" w:lineRule="auto" w:before="9"/>
        <w:rPr>
          <w:rFonts w:ascii="宋体" w:hAnsi="宋体" w:cs="宋体" w:eastAsia="宋体" w:hint="default"/>
          <w:sz w:val="22"/>
          <w:szCs w:val="22"/>
        </w:rPr>
      </w:pPr>
    </w:p>
    <w:tbl>
      <w:tblPr>
        <w:tblW w:w="0" w:type="auto"/>
        <w:jc w:val="left"/>
        <w:tblInd w:w="755" w:type="dxa"/>
        <w:tblLayout w:type="fixed"/>
        <w:tblCellMar>
          <w:top w:w="0" w:type="dxa"/>
          <w:left w:w="0" w:type="dxa"/>
          <w:bottom w:w="0" w:type="dxa"/>
          <w:right w:w="0" w:type="dxa"/>
        </w:tblCellMar>
        <w:tblLook w:val="01E0"/>
      </w:tblPr>
      <w:tblGrid>
        <w:gridCol w:w="2788"/>
        <w:gridCol w:w="1853"/>
        <w:gridCol w:w="1700"/>
        <w:gridCol w:w="1418"/>
      </w:tblGrid>
      <w:tr>
        <w:trPr>
          <w:trHeight w:val="389" w:hRule="exact"/>
        </w:trPr>
        <w:tc>
          <w:tcPr>
            <w:tcW w:w="278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风险类别</w:t>
            </w:r>
          </w:p>
        </w:tc>
        <w:tc>
          <w:tcPr>
            <w:tcW w:w="49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9" w:hRule="exact"/>
        </w:trPr>
        <w:tc>
          <w:tcPr>
            <w:tcW w:w="2788" w:type="dxa"/>
            <w:vMerge/>
            <w:tcBorders>
              <w:left w:val="single" w:sz="4" w:space="0" w:color="000000"/>
              <w:bottom w:val="single" w:sz="4" w:space="0" w:color="000000"/>
              <w:right w:val="single" w:sz="4" w:space="0" w:color="000000"/>
            </w:tcBorders>
            <w:shd w:val="clear" w:color="auto" w:fill="D9D9D9"/>
          </w:tcPr>
          <w:p>
            <w:pPr/>
          </w:p>
        </w:tc>
        <w:tc>
          <w:tcPr>
            <w:tcW w:w="1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56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9"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8"/>
                <w:szCs w:val="18"/>
              </w:rPr>
            </w:pPr>
            <w:r>
              <w:rPr>
                <w:rFonts w:ascii="宋体" w:hAnsi="宋体" w:cs="宋体" w:eastAsia="宋体" w:hint="default"/>
                <w:sz w:val="18"/>
                <w:szCs w:val="18"/>
              </w:rPr>
              <w:t>正常类（未逾期）</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Times New Roman" w:hAnsi="Times New Roman" w:cs="Times New Roman" w:eastAsia="Times New Roman" w:hint="default"/>
                <w:sz w:val="18"/>
                <w:szCs w:val="18"/>
              </w:rPr>
            </w:pPr>
            <w:r>
              <w:rPr>
                <w:rFonts w:ascii="Times New Roman"/>
                <w:spacing w:val="-1"/>
                <w:sz w:val="18"/>
              </w:rPr>
              <w:t>20,827,357.81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Times New Roman" w:hAnsi="Times New Roman" w:cs="Times New Roman" w:eastAsia="Times New Roman" w:hint="default"/>
                <w:sz w:val="18"/>
                <w:szCs w:val="18"/>
              </w:rPr>
            </w:pPr>
            <w:r>
              <w:rPr>
                <w:rFonts w:ascii="Times New Roman"/>
                <w:sz w:val="18"/>
              </w:rPr>
              <w:t>104,136.79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Times New Roman" w:hAnsi="Times New Roman" w:cs="Times New Roman" w:eastAsia="Times New Roman" w:hint="default"/>
                <w:sz w:val="18"/>
                <w:szCs w:val="18"/>
              </w:rPr>
            </w:pPr>
            <w:r>
              <w:rPr>
                <w:rFonts w:ascii="Times New Roman"/>
                <w:sz w:val="18"/>
              </w:rPr>
              <w:t>0.50</w:t>
            </w:r>
          </w:p>
        </w:tc>
      </w:tr>
      <w:tr>
        <w:trPr>
          <w:trHeight w:val="389" w:hRule="exact"/>
        </w:trPr>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Times New Roman" w:hAnsi="Times New Roman" w:cs="Times New Roman" w:eastAsia="Times New Roman" w:hint="default"/>
                <w:sz w:val="18"/>
                <w:szCs w:val="18"/>
              </w:rPr>
            </w:pPr>
            <w:r>
              <w:rPr>
                <w:rFonts w:ascii="Times New Roman"/>
                <w:spacing w:val="-1"/>
                <w:sz w:val="18"/>
              </w:rPr>
              <w:t>20,827,357.81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Times New Roman" w:hAnsi="Times New Roman" w:cs="Times New Roman" w:eastAsia="Times New Roman" w:hint="default"/>
                <w:sz w:val="18"/>
                <w:szCs w:val="18"/>
              </w:rPr>
            </w:pPr>
            <w:r>
              <w:rPr>
                <w:rFonts w:ascii="Times New Roman"/>
                <w:sz w:val="18"/>
              </w:rPr>
              <w:t>104,136.79</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pStyle w:val="BodyText"/>
        <w:spacing w:line="240" w:lineRule="auto"/>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1,747,154.71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211,253.69</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755" w:type="dxa"/>
        <w:tblLayout w:type="fixed"/>
        <w:tblCellMar>
          <w:top w:w="0" w:type="dxa"/>
          <w:left w:w="0" w:type="dxa"/>
          <w:bottom w:w="0" w:type="dxa"/>
          <w:right w:w="0" w:type="dxa"/>
        </w:tblCellMar>
        <w:tblLook w:val="01E0"/>
      </w:tblPr>
      <w:tblGrid>
        <w:gridCol w:w="3338"/>
        <w:gridCol w:w="1586"/>
        <w:gridCol w:w="1420"/>
        <w:gridCol w:w="1418"/>
      </w:tblGrid>
      <w:tr>
        <w:trPr>
          <w:trHeight w:val="342" w:hRule="exact"/>
        </w:trPr>
        <w:tc>
          <w:tcPr>
            <w:tcW w:w="33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42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338" w:type="dxa"/>
            <w:vMerge/>
            <w:tcBorders>
              <w:left w:val="single" w:sz="4" w:space="0" w:color="000000"/>
              <w:bottom w:val="single" w:sz="4" w:space="0" w:color="000000"/>
              <w:right w:val="single" w:sz="4" w:space="0" w:color="000000"/>
            </w:tcBorders>
            <w:shd w:val="clear" w:color="auto" w:fill="D9D9D9"/>
          </w:tcPr>
          <w:p>
            <w:pPr/>
          </w:p>
        </w:tc>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209" w:right="72"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14,259,404.16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543,695.21</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13,108,735.60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294,283.18</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8,837,265.58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44,510.78</w:t>
            </w:r>
          </w:p>
        </w:tc>
      </w:tr>
      <w:tr>
        <w:trPr>
          <w:trHeight w:val="394"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6,910,253.62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345,512.68</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6,851,918.10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342,595.91</w:t>
            </w:r>
          </w:p>
        </w:tc>
      </w:tr>
      <w:tr>
        <w:trPr>
          <w:trHeight w:val="34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49,967,577.06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1,570,597.76</w:t>
            </w:r>
          </w:p>
        </w:tc>
      </w:tr>
    </w:tbl>
    <w:p>
      <w:pPr>
        <w:pStyle w:val="BodyText"/>
        <w:spacing w:line="240" w:lineRule="auto" w:before="51"/>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7,473,561.12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4,676,327.70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630,859.52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8,104,420.64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4,676,327.70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755" w:type="dxa"/>
        <w:tblLayout w:type="fixed"/>
        <w:tblCellMar>
          <w:top w:w="0" w:type="dxa"/>
          <w:left w:w="0" w:type="dxa"/>
          <w:bottom w:w="0" w:type="dxa"/>
          <w:right w:w="0" w:type="dxa"/>
        </w:tblCellMar>
        <w:tblLook w:val="01E0"/>
      </w:tblPr>
      <w:tblGrid>
        <w:gridCol w:w="3506"/>
        <w:gridCol w:w="2126"/>
        <w:gridCol w:w="2127"/>
      </w:tblGrid>
      <w:tr>
        <w:trPr>
          <w:trHeight w:val="653" w:hRule="exact"/>
        </w:trPr>
        <w:tc>
          <w:tcPr>
            <w:tcW w:w="3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442" w:right="66" w:hanging="375"/>
              <w:jc w:val="left"/>
              <w:rPr>
                <w:rFonts w:ascii="宋体" w:hAnsi="宋体" w:cs="宋体" w:eastAsia="宋体" w:hint="default"/>
                <w:sz w:val="18"/>
                <w:szCs w:val="18"/>
              </w:rPr>
            </w:pPr>
            <w:r>
              <w:rPr>
                <w:rFonts w:ascii="宋体" w:hAnsi="宋体" w:cs="宋体" w:eastAsia="宋体" w:hint="default"/>
                <w:sz w:val="18"/>
                <w:szCs w:val="18"/>
              </w:rPr>
              <w:t>占预付款项期末余额合计 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2,381,466.57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29.38</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1,681,140.84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20.74</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1,163,656.86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14.36</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1,046,728.16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12.92</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367,028.15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4.53</w:t>
            </w:r>
          </w:p>
        </w:tc>
      </w:tr>
      <w:tr>
        <w:trPr>
          <w:trHeight w:val="342"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6,640,020.58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81.93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1,214,998.64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565,485.86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1,226,940.39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573,159.95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1,214,998.64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565,485.86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1,214,998.64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565,485.86</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235"/>
      <w:bookmarkEnd w:id="23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6"/>
      <w:bookmarkEnd w:id="23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35"/>
        <w:gridCol w:w="1048"/>
        <w:gridCol w:w="850"/>
        <w:gridCol w:w="710"/>
        <w:gridCol w:w="556"/>
        <w:gridCol w:w="862"/>
        <w:gridCol w:w="851"/>
        <w:gridCol w:w="710"/>
        <w:gridCol w:w="708"/>
        <w:gridCol w:w="685"/>
        <w:gridCol w:w="944"/>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40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8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2"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类别</w:t>
            </w:r>
          </w:p>
        </w:tc>
        <w:tc>
          <w:tcPr>
            <w:tcW w:w="1898" w:type="dxa"/>
            <w:gridSpan w:val="2"/>
            <w:vMerge/>
            <w:tcBorders>
              <w:left w:val="single" w:sz="4" w:space="0" w:color="000000"/>
              <w:bottom w:val="single" w:sz="4" w:space="0" w:color="000000"/>
              <w:right w:val="single" w:sz="4" w:space="0" w:color="000000"/>
            </w:tcBorders>
            <w:shd w:val="clear" w:color="auto" w:fill="D2D2D2"/>
          </w:tcPr>
          <w:p>
            <w:pPr/>
          </w:p>
        </w:tc>
        <w:tc>
          <w:tcPr>
            <w:tcW w:w="1265" w:type="dxa"/>
            <w:gridSpan w:val="2"/>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393" w:type="dxa"/>
            <w:gridSpan w:val="2"/>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104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1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8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1" w:right="6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104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6" w:type="dxa"/>
            <w:vMerge/>
            <w:tcBorders>
              <w:left w:val="single" w:sz="4" w:space="0" w:color="000000"/>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5" w:type="dxa"/>
            <w:vMerge/>
            <w:tcBorders>
              <w:left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685" w:type="dxa"/>
            <w:vMerge/>
            <w:tcBorders>
              <w:left w:val="single" w:sz="4" w:space="0" w:color="000000"/>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6"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r>
      <w:tr>
        <w:trPr>
          <w:trHeight w:val="67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10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13,157.71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1,215.96</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9.24%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11,941.75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13,432.71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5,758.62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42.87%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7,674.09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1060"/>
        <w:gridCol w:w="850"/>
        <w:gridCol w:w="710"/>
        <w:gridCol w:w="568"/>
        <w:gridCol w:w="850"/>
        <w:gridCol w:w="851"/>
        <w:gridCol w:w="710"/>
        <w:gridCol w:w="708"/>
        <w:gridCol w:w="696"/>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13,157.71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1,215.96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11,941.75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13,432.71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5,758.62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42.87%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7,674.09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1,215.96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1074"/>
        <w:jc w:val="left"/>
      </w:pPr>
      <w:r>
        <w:rPr/>
        <w:t>确定该组合依据的说明： 组合中，采用余额百分比法计提坏账准备的其他应收款：</w:t>
      </w:r>
    </w:p>
    <w:p>
      <w:pPr>
        <w:pStyle w:val="BodyText"/>
        <w:spacing w:line="340" w:lineRule="auto" w:before="26"/>
        <w:ind w:right="1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07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8"/>
        <w:jc w:val="left"/>
      </w:pPr>
      <w:r>
        <w:rPr/>
        <w:t>本期计提坏账准备金额</w:t>
      </w:r>
      <w:r>
        <w:rPr>
          <w:rFonts w:ascii="Times New Roman" w:hAnsi="Times New Roman" w:cs="Times New Roman" w:eastAsia="Times New Roman" w:hint="default"/>
        </w:rPr>
        <w:t>-4,542.66</w:t>
      </w:r>
      <w:r>
        <w:rPr>
          <w:rFonts w:ascii="Times New Roman" w:hAnsi="Times New Roman" w:cs="Times New Roman" w:eastAsia="Times New Roman" w:hint="default"/>
          <w:spacing w:val="-3"/>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5749" w:space="308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10,051.76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3,105.95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13,157.71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13,432.71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苏州大学附属第二 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13,157.71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1,215.96</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9,153,781.62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9,127,851.73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9,109,971.72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54,825.63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9,055,146.09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3,084,599.39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3,084,599.39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3,857,744.69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3,857,744.69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96,350,382.31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3,968,469.30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92,381,913.01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79,806,899.53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1,821,610.02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77,985,289.51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2,063,756.22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2,063,756.22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3,049,966.09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3,049,966.09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110,652,519.54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3,994,399.19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106,658,120.35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95,824,582.03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1,876,435.65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93,948,146.38</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54,825.63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-28,895.74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25,929.89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1,821,610.02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3,404,325.64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1,257,466.36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3,968,469.30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1,876,435.65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3,375,429.90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1,257,466.36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3,994,399.19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40"/>
      <w:bookmarkEnd w:id="24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42"/>
      <w:bookmarkEnd w:id="24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43"/>
      <w:bookmarkEnd w:id="24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待抵扣及待认证进项税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5,059,489.13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6,570,525.82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103,253,200.00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360,592.88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108,673,282.01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70,570,525.82</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group style="position:absolute;margin-left:96.5pt;margin-top:526.779968pt;width:62.7pt;height:7.8pt;mso-position-horizontal-relative:page;mso-position-vertical-relative:page;z-index:-832264" coordorigin="1930,10536" coordsize="1254,156">
            <v:shape style="position:absolute;left:1930;top:10536;width:1254;height:156" coordorigin="1930,10536" coordsize="1254,156" path="m1930,10692l3184,10692,3184,10536,1930,10536,1930,10692xe" filled="true" fillcolor="#ffffff" stroked="false">
              <v:path arrowok="t"/>
              <v:fill type="solid"/>
            </v:shape>
            <w10:wrap type="none"/>
          </v:group>
        </w:pict>
      </w:r>
    </w:p>
    <w:p>
      <w:pPr>
        <w:pStyle w:val="Heading3"/>
        <w:spacing w:line="240" w:lineRule="auto" w:before="35"/>
        <w:ind w:left="754" w:right="0"/>
        <w:jc w:val="left"/>
        <w:rPr>
          <w:b w:val="0"/>
          <w:bCs w:val="0"/>
        </w:rPr>
      </w:pPr>
      <w:bookmarkStart w:name="11、可供出售金融资产" w:id="245"/>
      <w:bookmarkEnd w:id="24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754"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7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31,981,984.07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2,604,815.56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29,377,168.51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11,902,301.00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31,981,984.07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2,604,815.56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29,377,168.51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11,902,301.00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31,981,984.07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2,604,815.56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29,377,168.51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11,902,301.00</w:t>
            </w:r>
          </w:p>
        </w:tc>
      </w:tr>
    </w:tbl>
    <w:p>
      <w:pPr>
        <w:spacing w:line="240" w:lineRule="auto" w:before="2"/>
        <w:rPr>
          <w:rFonts w:ascii="宋体" w:hAnsi="宋体" w:cs="宋体" w:eastAsia="宋体" w:hint="default"/>
          <w:sz w:val="19"/>
          <w:szCs w:val="19"/>
        </w:rPr>
      </w:pPr>
    </w:p>
    <w:p>
      <w:pPr>
        <w:pStyle w:val="Heading3"/>
        <w:spacing w:line="240" w:lineRule="auto" w:before="35"/>
        <w:ind w:left="754" w:right="0"/>
        <w:jc w:val="left"/>
        <w:rPr>
          <w:b w:val="0"/>
          <w:bCs w:val="0"/>
        </w:rPr>
      </w:pPr>
      <w:bookmarkStart w:name="（2）期末按公允价值计量的可供出售金融资产" w:id="247"/>
      <w:bookmarkEnd w:id="24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7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754" w:right="0"/>
        <w:jc w:val="left"/>
        <w:rPr>
          <w:b w:val="0"/>
          <w:bCs w:val="0"/>
        </w:rPr>
      </w:pPr>
      <w:bookmarkStart w:name="（3）期末按成本计量的可供出售金融资产" w:id="248"/>
      <w:bookmarkEnd w:id="24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1"/>
        <w:gridCol w:w="1265"/>
        <w:gridCol w:w="1134"/>
        <w:gridCol w:w="567"/>
        <w:gridCol w:w="1134"/>
        <w:gridCol w:w="992"/>
        <w:gridCol w:w="1134"/>
        <w:gridCol w:w="566"/>
        <w:gridCol w:w="1134"/>
        <w:gridCol w:w="851"/>
        <w:gridCol w:w="708"/>
      </w:tblGrid>
      <w:tr>
        <w:trPr>
          <w:trHeight w:val="402" w:hRule="exact"/>
        </w:trPr>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59"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5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武汉宝特龙科技 股份有限公司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2,507,115.56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2,604,815.56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18.27%</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珠海东越数码科 技有限公司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21.74%</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1"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亿码科技（苏州） 有限公司</w:t>
            </w:r>
          </w:p>
        </w:tc>
        <w:tc>
          <w:tcPr>
            <w:tcW w:w="126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苏州奥加华新能 源有限公司</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16,750,000.00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35"/>
              <w:jc w:val="left"/>
              <w:rPr>
                <w:rFonts w:ascii="Times New Roman" w:hAnsi="Times New Roman" w:cs="Times New Roman" w:eastAsia="Times New Roman" w:hint="default"/>
                <w:sz w:val="18"/>
                <w:szCs w:val="18"/>
              </w:rPr>
            </w:pPr>
            <w:r>
              <w:rPr>
                <w:rFonts w:ascii="Times New Roman"/>
                <w:sz w:val="18"/>
              </w:rPr>
              <w:t>DMFC</w:t>
            </w:r>
            <w:r>
              <w:rPr>
                <w:rFonts w:ascii="Times New Roman"/>
                <w:w w:val="99"/>
                <w:sz w:val="18"/>
              </w:rPr>
              <w:t> </w:t>
            </w:r>
            <w:r>
              <w:rPr>
                <w:rFonts w:ascii="Times New Roman"/>
                <w:spacing w:val="-2"/>
                <w:sz w:val="18"/>
              </w:rPr>
              <w:t>CORPORATION</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3,231,983.07</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3,231,983.07</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19,981,983.07</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31,981,984.07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2,507,115.56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2,604,815.56</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754" w:right="0"/>
        <w:jc w:val="left"/>
        <w:rPr>
          <w:b w:val="0"/>
          <w:bCs w:val="0"/>
        </w:rPr>
      </w:pPr>
      <w:bookmarkStart w:name="（4）报告期内可供出售金融资产减值的变动情况" w:id="249"/>
      <w:bookmarkEnd w:id="24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7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97,700.00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97,700.00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3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2,507,115.56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2,507,115.56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2,604,815.56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2,604,815.56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持有至到期投资" w:id="251"/>
      <w:bookmarkEnd w:id="251"/>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2"/>
      <w:bookmarkEnd w:id="25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53"/>
      <w:bookmarkEnd w:id="25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54"/>
      <w:bookmarkEnd w:id="25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55"/>
      <w:bookmarkEnd w:id="255"/>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56"/>
      <w:bookmarkEnd w:id="25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57"/>
      <w:bookmarkEnd w:id="25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58"/>
      <w:bookmarkEnd w:id="25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374" w:right="481"/>
        <w:jc w:val="left"/>
        <w:rPr>
          <w:b w:val="0"/>
          <w:bCs w:val="0"/>
        </w:rPr>
      </w:pPr>
      <w:bookmarkStart w:name="14、长期股权投资" w:id="259"/>
      <w:bookmarkEnd w:id="25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64"/>
        <w:gridCol w:w="1331"/>
        <w:gridCol w:w="566"/>
        <w:gridCol w:w="494"/>
        <w:gridCol w:w="1066"/>
        <w:gridCol w:w="850"/>
        <w:gridCol w:w="479"/>
        <w:gridCol w:w="798"/>
        <w:gridCol w:w="798"/>
        <w:gridCol w:w="478"/>
        <w:gridCol w:w="1118"/>
        <w:gridCol w:w="798"/>
      </w:tblGrid>
      <w:tr>
        <w:trPr>
          <w:trHeight w:val="402"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2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331"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1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1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1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珠海宝利通耗材 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8,715,697.75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381,335.07</w:t>
            </w:r>
          </w:p>
        </w:tc>
        <w:tc>
          <w:tcPr>
            <w:tcW w:w="85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9,097,032.82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深圳市壹办公科 技股份有限公司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23,519,628.83</w:t>
            </w: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4,530,925.21</w:t>
            </w:r>
          </w:p>
        </w:tc>
        <w:tc>
          <w:tcPr>
            <w:tcW w:w="85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28,050,554.04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32,235,326.58</w:t>
            </w: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4,912,260.28</w:t>
            </w:r>
          </w:p>
        </w:tc>
        <w:tc>
          <w:tcPr>
            <w:tcW w:w="85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37,147,586.86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32,235,326.58</w:t>
            </w: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4,912,260.28</w:t>
            </w:r>
          </w:p>
        </w:tc>
        <w:tc>
          <w:tcPr>
            <w:tcW w:w="850"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37,147,586.86</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374" w:right="481"/>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374" w:right="481"/>
        <w:jc w:val="left"/>
        <w:rPr>
          <w:b w:val="0"/>
          <w:bCs w:val="0"/>
        </w:rPr>
      </w:pPr>
      <w:bookmarkStart w:name="15、投资性房地产" w:id="260"/>
      <w:bookmarkEnd w:id="26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74" w:right="481"/>
        <w:jc w:val="left"/>
        <w:rPr>
          <w:b w:val="0"/>
          <w:bCs w:val="0"/>
        </w:rPr>
      </w:pPr>
      <w:bookmarkStart w:name="（1）采用成本计量模式的投资性房地产" w:id="261"/>
      <w:bookmarkEnd w:id="26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374" w:right="4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374" w:right="481"/>
        <w:jc w:val="left"/>
        <w:rPr>
          <w:b w:val="0"/>
          <w:bCs w:val="0"/>
        </w:rPr>
      </w:pPr>
      <w:bookmarkStart w:name="（2）采用公允价值计量模式的投资性房地产" w:id="262"/>
      <w:bookmarkEnd w:id="26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374" w:right="4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374" w:right="481"/>
        <w:jc w:val="left"/>
        <w:rPr>
          <w:b w:val="0"/>
          <w:bCs w:val="0"/>
        </w:rPr>
      </w:pPr>
      <w:bookmarkStart w:name="（3）未办妥产权证书的投资性房地产情况" w:id="263"/>
      <w:bookmarkEnd w:id="26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374" w:right="48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374" w:right="481"/>
        <w:jc w:val="left"/>
        <w:rPr>
          <w:b w:val="0"/>
          <w:bCs w:val="0"/>
        </w:rPr>
      </w:pPr>
      <w:bookmarkStart w:name="16、固定资产" w:id="264"/>
      <w:bookmarkEnd w:id="26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38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100,336,397.91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108,973,425.47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100,336,397.91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108,973,425.47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76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固定资产情况" w:id="265"/>
      <w:bookmarkEnd w:id="26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67,639,526.46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83,583,084.48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2,257,170.69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1,663,969.05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155,143,750.68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130,078.07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2,377,353.98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79,269.91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2,586,701.96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130,078.07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2,377,353.98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79,269.91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2,586,701.96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49,572.63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389,627.63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49,572.63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389,627.63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67,429,549.53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85,910,865.83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2,257,170.69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1,743,238.96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157,340,825.01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12,484,319.36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30,767,679.73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1,610,172.49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1,308,153.63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46,170,325.21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3,194,909.49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7,507,649.86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145,674.48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89,396.91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10,937,630.74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3,194,909.49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7,507,649.86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145,674.48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89,396.91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10,937,630.74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90,185.42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13,343.43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103,528.85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90,185.42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13,343.43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103,528.85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15,589,043.43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38,261,986.16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1,755,846.97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1,397,550.54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57,004,427.10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51,840,506.10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47,648,879.67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501,323.72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345,688.42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100,336,397.91</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55,155,207.10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52,815,404.75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646,998.20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355,815.42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108,973,425.47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暂时闲置的固定资产情况" w:id="266"/>
      <w:bookmarkEnd w:id="26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67"/>
      <w:bookmarkEnd w:id="26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8"/>
      <w:bookmarkEnd w:id="26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69"/>
      <w:bookmarkEnd w:id="26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70"/>
      <w:bookmarkEnd w:id="27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在建工程" w:id="271"/>
      <w:bookmarkEnd w:id="27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2"/>
      <w:bookmarkEnd w:id="27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3"/>
      <w:bookmarkEnd w:id="27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4"/>
      <w:bookmarkEnd w:id="27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工程物资" w:id="275"/>
      <w:bookmarkEnd w:id="27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76"/>
      <w:bookmarkEnd w:id="276"/>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77"/>
      <w:bookmarkEnd w:id="27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78"/>
      <w:bookmarkEnd w:id="27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9、油气资产" w:id="279"/>
      <w:bookmarkEnd w:id="279"/>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无形资产" w:id="280"/>
      <w:bookmarkEnd w:id="280"/>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生产技术</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19,640,760.67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5" w:right="0"/>
              <w:jc w:val="left"/>
              <w:rPr>
                <w:rFonts w:ascii="Times New Roman" w:hAnsi="Times New Roman" w:cs="Times New Roman" w:eastAsia="Times New Roman" w:hint="default"/>
                <w:sz w:val="18"/>
                <w:szCs w:val="18"/>
              </w:rPr>
            </w:pPr>
            <w:r>
              <w:rPr>
                <w:rFonts w:ascii="Times New Roman"/>
                <w:sz w:val="18"/>
              </w:rPr>
              <w:t>259,168.40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191,085.48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22,591,014.55</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19,640,760.67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259,168.40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191,085.48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22,591,014.55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3,126,331.36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136,624.58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157,120.41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5,920,076.35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416,312.06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451,454.06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416,312.06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451,454.06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3,542,643.42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162,431.54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166,455.45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6,371,530.41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16,098,117.25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96,736.86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24,630.03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16,219,484.14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16,514,429.31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122,543.82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33,965.07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16,670,938.20</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82"/>
      <w:bookmarkEnd w:id="28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开发支出" w:id="283"/>
      <w:bookmarkEnd w:id="283"/>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商誉" w:id="284"/>
      <w:bookmarkEnd w:id="284"/>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6"/>
      <w:bookmarkEnd w:id="28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38" w:lineRule="auto" w:before="51"/>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60" w:lineRule="auto" w:before="42"/>
        <w:ind w:right="8584"/>
        <w:jc w:val="left"/>
      </w:pPr>
      <w:r>
        <w:rPr/>
        <w:t>商誉减值测试的影响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3、长期待摊费用" w:id="287"/>
      <w:bookmarkEnd w:id="28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厂房改建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356,281.22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196,998.23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195,938.65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356,281.22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196,998.23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195,938.65</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4、递延所得税资产/递延所得税负债" w:id="288"/>
      <w:bookmarkEnd w:id="288"/>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89"/>
      <w:bookmarkEnd w:id="28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12,509,032.37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2,156,969.22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6,671,621.48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1,053,593.83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290,306.72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43,546.01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616,820.84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92,523.13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437,108.06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109,277.02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衍生工具公允价值变动</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676,475.00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101,471.25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69,375.00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13,211,839.09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2,262,390.23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8,864,525.38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1,426,240.23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0"/>
      <w:bookmarkEnd w:id="29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3,744,372.33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793,842.35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11,221.88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3,819,184.83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805,064.23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1"/>
      <w:bookmarkEnd w:id="29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2,262,390.23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1,426,240.23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805,064.23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2"/>
      <w:bookmarkEnd w:id="29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297"/>
              <w:jc w:val="right"/>
              <w:rPr>
                <w:rFonts w:ascii="Times New Roman" w:hAnsi="Times New Roman" w:cs="Times New Roman" w:eastAsia="Times New Roman" w:hint="default"/>
                <w:sz w:val="18"/>
                <w:szCs w:val="18"/>
              </w:rPr>
            </w:pPr>
            <w:r>
              <w:rPr>
                <w:rFonts w:ascii="Times New Roman"/>
                <w:sz w:val="18"/>
              </w:rPr>
              <w:t>4014.34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297"/>
              <w:jc w:val="right"/>
              <w:rPr>
                <w:rFonts w:ascii="Times New Roman" w:hAnsi="Times New Roman" w:cs="Times New Roman" w:eastAsia="Times New Roman" w:hint="default"/>
                <w:sz w:val="18"/>
                <w:szCs w:val="18"/>
              </w:rPr>
            </w:pPr>
            <w:r>
              <w:rPr>
                <w:rFonts w:ascii="Times New Roman"/>
                <w:sz w:val="18"/>
              </w:rPr>
              <w:t>4014.34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5）未确认递延所得税资产的可抵扣亏损将于以下年度到期" w:id="293"/>
      <w:bookmarkEnd w:id="29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4,014.34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4,014.34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其他非流动资产" w:id="294"/>
      <w:bookmarkEnd w:id="294"/>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76,078.97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478,588.00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3,896,160.00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76,078.97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4,374,748.00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短期借款" w:id="295"/>
      <w:bookmarkEnd w:id="295"/>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6"/>
      <w:bookmarkEnd w:id="29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97"/>
      <w:bookmarkEnd w:id="29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以公允价值计量且其变动计入当期损益的金融负债" w:id="298"/>
      <w:bookmarkEnd w:id="298"/>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8、衍生金融负债" w:id="299"/>
      <w:bookmarkEnd w:id="299"/>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远期结汇</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676,475.00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676,475.00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应付票据及应付账款" w:id="300"/>
      <w:bookmarkEnd w:id="300"/>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49,709,548.09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73,423,061.66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49,709,548.09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73,423,061.66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1"/>
      <w:bookmarkEnd w:id="301"/>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302"/>
      <w:bookmarkEnd w:id="302"/>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41,138,319.81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58,613,352.20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工程型应付账款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8,571,228.28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14,809,709.46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49,709,548.09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73,423,061.66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3"/>
      <w:bookmarkEnd w:id="303"/>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0、预收款项" w:id="304"/>
      <w:bookmarkEnd w:id="304"/>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5"/>
      <w:bookmarkEnd w:id="30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4,656,208.40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3,359,443.18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4,656,208.40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3,359,443.18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06"/>
      <w:bookmarkEnd w:id="30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07"/>
      <w:bookmarkEnd w:id="30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应付职工薪酬" w:id="308"/>
      <w:bookmarkEnd w:id="308"/>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9"/>
      <w:bookmarkEnd w:id="30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1,395,518.99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39,007,160.73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39,150,327.39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1,252,352.33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2,129,863.88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2,130,301.47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3,660.29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1,399,616.87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41,137,024.61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41,280,628.86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1,256,012.62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0"/>
      <w:bookmarkEnd w:id="31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1,341,578.84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34,621,568.02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34,759,434.38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1,203,712.48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2,103,599.39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2,103,599.39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1,174,616.89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1,175,827.47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974,601.53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975,876.71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811.51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44,068.27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44,025.48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87,154.90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87,133.09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79" w:right="0"/>
              <w:jc w:val="left"/>
              <w:rPr>
                <w:rFonts w:ascii="宋体" w:hAnsi="宋体" w:cs="宋体" w:eastAsia="宋体" w:hint="default"/>
                <w:sz w:val="18"/>
                <w:szCs w:val="18"/>
              </w:rPr>
            </w:pPr>
            <w:r>
              <w:rPr>
                <w:rFonts w:ascii="宋体" w:hAnsi="宋体" w:cs="宋体" w:eastAsia="宋体" w:hint="default"/>
                <w:sz w:val="18"/>
                <w:szCs w:val="18"/>
              </w:rPr>
              <w:t>劳务保险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68,792.19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68,792.19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891,512.91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890,859.84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2,160.74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215,863.52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220,606.31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45,380.75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1,395,518.99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39,007,160.73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39,150,327.39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1,252,352.33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1"/>
      <w:bookmarkEnd w:id="31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3,959.11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2,074,800.71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2,075,229.24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3,530.58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55,063.17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55,072.23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2,129,863.88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2,130,301.47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3,660.29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应交税费" w:id="312"/>
      <w:bookmarkEnd w:id="312"/>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480,413.80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543,137.75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1,826,589.16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1,103,628.73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21,888.44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51,505.06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98,906.11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99,432.09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182,847.64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123,067.58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70,647.22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71,022.92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52,658.20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20,163.10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34,375.30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2,749,866.83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2,078,827.63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其他应付款" w:id="313"/>
      <w:bookmarkEnd w:id="313"/>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1,037,596.94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457,165.73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1,125,321.94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541,149.06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14"/>
      <w:bookmarkEnd w:id="31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87,725.00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货币互换应付利息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315"/>
      <w:bookmarkEnd w:id="31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应付款" w:id="316"/>
      <w:bookmarkEnd w:id="31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195,092.47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262,073.26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1,037,596.94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457,165.73</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持有待售负债" w:id="317"/>
      <w:bookmarkEnd w:id="317"/>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一年内到期的非流动负债" w:id="318"/>
      <w:bookmarkEnd w:id="318"/>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其他流动负债" w:id="319"/>
      <w:bookmarkEnd w:id="319"/>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长期借款" w:id="320"/>
      <w:bookmarkEnd w:id="320"/>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1"/>
      <w:bookmarkEnd w:id="32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8、应付债券" w:id="322"/>
      <w:bookmarkEnd w:id="322"/>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3"/>
      <w:bookmarkEnd w:id="32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24"/>
      <w:bookmarkEnd w:id="32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可转换公司债券的转股条件、转股时间说明" w:id="325"/>
      <w:bookmarkEnd w:id="32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26"/>
      <w:bookmarkEnd w:id="32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57"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9、长期应付款" w:id="327"/>
      <w:bookmarkEnd w:id="327"/>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28"/>
      <w:bookmarkEnd w:id="32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专项应付款" w:id="329"/>
      <w:bookmarkEnd w:id="329"/>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长期应付职工薪酬" w:id="330"/>
      <w:bookmarkEnd w:id="330"/>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31"/>
      <w:bookmarkEnd w:id="33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32"/>
      <w:bookmarkEnd w:id="33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pStyle w:val="BodyText"/>
        <w:spacing w:line="240" w:lineRule="auto"/>
        <w:ind w:left="214" w:right="1121"/>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214" w:right="1121"/>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214"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214"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14" w:right="1121"/>
        <w:jc w:val="left"/>
        <w:rPr>
          <w:b w:val="0"/>
          <w:bCs w:val="0"/>
        </w:rPr>
      </w:pPr>
      <w:bookmarkStart w:name="41、预计负债" w:id="333"/>
      <w:bookmarkEnd w:id="333"/>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214" w:right="1121"/>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left="214" w:right="1121"/>
        <w:jc w:val="left"/>
        <w:rPr>
          <w:b w:val="0"/>
          <w:bCs w:val="0"/>
        </w:rPr>
      </w:pPr>
      <w:bookmarkStart w:name="42、递延收益" w:id="334"/>
      <w:bookmarkEnd w:id="334"/>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政府拨款转入</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412,500.00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4" w:right="1121"/>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48"/>
        <w:gridCol w:w="1064"/>
        <w:gridCol w:w="1063"/>
        <w:gridCol w:w="1064"/>
        <w:gridCol w:w="1063"/>
        <w:gridCol w:w="1062"/>
        <w:gridCol w:w="1064"/>
        <w:gridCol w:w="1063"/>
        <w:gridCol w:w="1063"/>
      </w:tblGrid>
      <w:tr>
        <w:trPr>
          <w:trHeight w:val="1026" w:hRule="exact"/>
        </w:trPr>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7"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长寿命激光光导 鼓的研制与产业 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412,500.00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412,500.00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14" w:right="1121"/>
        <w:jc w:val="left"/>
        <w:rPr>
          <w:b w:val="0"/>
          <w:bCs w:val="0"/>
        </w:rPr>
      </w:pPr>
      <w:bookmarkStart w:name="43、其他非流动负债" w:id="335"/>
      <w:bookmarkEnd w:id="335"/>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214" w:right="1121"/>
        <w:jc w:val="left"/>
      </w:pPr>
      <w:r>
        <w:rPr/>
        <w:t>其他说明：</w:t>
      </w:r>
    </w:p>
    <w:p>
      <w:pPr>
        <w:spacing w:after="0" w:line="240" w:lineRule="auto"/>
        <w:jc w:val="left"/>
        <w:sectPr>
          <w:pgSz w:w="11910" w:h="16840"/>
          <w:pgMar w:header="877" w:footer="979" w:top="1100" w:bottom="1160" w:left="920" w:right="0"/>
        </w:sectPr>
      </w:pPr>
    </w:p>
    <w:p>
      <w:pPr>
        <w:spacing w:line="240" w:lineRule="auto" w:before="9"/>
        <w:rPr>
          <w:rFonts w:ascii="宋体" w:hAnsi="宋体" w:cs="宋体" w:eastAsia="宋体" w:hint="default"/>
          <w:sz w:val="20"/>
          <w:szCs w:val="20"/>
        </w:rPr>
      </w:pPr>
    </w:p>
    <w:p>
      <w:pPr>
        <w:pStyle w:val="Heading3"/>
        <w:spacing w:line="240" w:lineRule="auto" w:before="35"/>
        <w:ind w:left="194" w:right="4632"/>
        <w:jc w:val="left"/>
        <w:rPr>
          <w:b w:val="0"/>
          <w:bCs w:val="0"/>
        </w:rPr>
      </w:pPr>
      <w:bookmarkStart w:name="44、股本" w:id="336"/>
      <w:bookmarkEnd w:id="336"/>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192,000,000.00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192,000,000.00</w:t>
            </w:r>
          </w:p>
        </w:tc>
      </w:tr>
    </w:tbl>
    <w:p>
      <w:pPr>
        <w:pStyle w:val="BodyText"/>
        <w:spacing w:line="240" w:lineRule="auto" w:before="51"/>
        <w:ind w:left="194" w:right="463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94" w:right="4632"/>
        <w:jc w:val="left"/>
        <w:rPr>
          <w:b w:val="0"/>
          <w:bCs w:val="0"/>
        </w:rPr>
      </w:pPr>
      <w:bookmarkStart w:name="45、其他权益工具" w:id="337"/>
      <w:bookmarkEnd w:id="337"/>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94" w:right="4632"/>
        <w:jc w:val="left"/>
        <w:rPr>
          <w:b w:val="0"/>
          <w:bCs w:val="0"/>
        </w:rPr>
      </w:pPr>
      <w:bookmarkStart w:name="（1）期末发行在外的优先股、永续债等其他金融工具基本情况" w:id="338"/>
      <w:bookmarkEnd w:id="33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94" w:right="4632"/>
        <w:jc w:val="left"/>
        <w:rPr>
          <w:b w:val="0"/>
          <w:bCs w:val="0"/>
        </w:rPr>
      </w:pPr>
      <w:bookmarkStart w:name="（2）期末发行在外的优先股、永续债等金融工具变动情况表" w:id="339"/>
      <w:bookmarkEnd w:id="33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94" w:right="4632"/>
        <w:jc w:val="left"/>
      </w:pPr>
      <w:r>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pStyle w:val="Heading3"/>
        <w:spacing w:line="240" w:lineRule="auto"/>
        <w:ind w:left="194" w:right="4632"/>
        <w:jc w:val="left"/>
        <w:rPr>
          <w:b w:val="0"/>
          <w:bCs w:val="0"/>
        </w:rPr>
      </w:pPr>
      <w:bookmarkStart w:name="46、资本公积" w:id="340"/>
      <w:bookmarkEnd w:id="34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131,626,048.15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131,626,048.15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131,626,048.15</w:t>
            </w:r>
          </w:p>
        </w:tc>
      </w:tr>
    </w:tbl>
    <w:p>
      <w:pPr>
        <w:pStyle w:val="BodyText"/>
        <w:spacing w:line="240" w:lineRule="auto" w:before="51"/>
        <w:ind w:left="194" w:right="4632"/>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94" w:right="4632"/>
        <w:jc w:val="left"/>
        <w:rPr>
          <w:b w:val="0"/>
          <w:bCs w:val="0"/>
        </w:rPr>
      </w:pPr>
      <w:bookmarkStart w:name="47、库存股" w:id="341"/>
      <w:bookmarkEnd w:id="34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94" w:right="4632"/>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94" w:right="4632"/>
        <w:jc w:val="left"/>
        <w:rPr>
          <w:b w:val="0"/>
          <w:bCs w:val="0"/>
        </w:rPr>
      </w:pPr>
      <w:bookmarkStart w:name="48、其他综合收益" w:id="342"/>
      <w:bookmarkEnd w:id="34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1009"/>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 w:right="30"/>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100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40" w:right="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1009"/>
      </w:tblGrid>
      <w:tr>
        <w:trPr>
          <w:trHeight w:val="36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96,631.29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608,027.28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608,027.28</w:t>
            </w:r>
          </w:p>
        </w:tc>
        <w:tc>
          <w:tcPr>
            <w:tcW w:w="935"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704,658.57</w:t>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96,631.29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608,027.28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608,027.28</w:t>
            </w:r>
          </w:p>
        </w:tc>
        <w:tc>
          <w:tcPr>
            <w:tcW w:w="935"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704,658.57</w:t>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96,631.29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608,027.28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608,027.28</w:t>
            </w:r>
          </w:p>
        </w:tc>
        <w:tc>
          <w:tcPr>
            <w:tcW w:w="935"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704,658.57</w:t>
            </w:r>
          </w:p>
        </w:tc>
      </w:tr>
    </w:tbl>
    <w:p>
      <w:pPr>
        <w:pStyle w:val="BodyText"/>
        <w:spacing w:line="240" w:lineRule="auto" w:before="51"/>
        <w:ind w:left="17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left="174" w:right="0"/>
        <w:jc w:val="left"/>
        <w:rPr>
          <w:b w:val="0"/>
          <w:bCs w:val="0"/>
        </w:rPr>
      </w:pPr>
      <w:bookmarkStart w:name="49、专项储备" w:id="343"/>
      <w:bookmarkEnd w:id="34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7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74" w:right="0"/>
        <w:jc w:val="left"/>
        <w:rPr>
          <w:b w:val="0"/>
          <w:bCs w:val="0"/>
        </w:rPr>
      </w:pPr>
      <w:bookmarkStart w:name="50、盈余公积" w:id="344"/>
      <w:bookmarkEnd w:id="34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2,502,168.84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34,853,865.73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32,351,696.89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2,502,168.84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34,853,865.73</w:t>
            </w:r>
          </w:p>
        </w:tc>
      </w:tr>
    </w:tbl>
    <w:p>
      <w:pPr>
        <w:pStyle w:val="BodyText"/>
        <w:spacing w:line="240" w:lineRule="auto" w:before="51"/>
        <w:ind w:left="17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74" w:right="0"/>
        <w:jc w:val="left"/>
        <w:rPr>
          <w:b w:val="0"/>
          <w:bCs w:val="0"/>
        </w:rPr>
      </w:pPr>
      <w:bookmarkStart w:name="51、未分配利润" w:id="345"/>
      <w:bookmarkEnd w:id="34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184,882,790.78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168,400,728.79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184,882,790.78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168,400,728.79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34,659,747.32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30,446,607.75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2,502,168.84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1,964,545.76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207,440,369.26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184,882,790.78</w:t>
            </w:r>
          </w:p>
        </w:tc>
      </w:tr>
    </w:tbl>
    <w:p>
      <w:pPr>
        <w:pStyle w:val="BodyText"/>
        <w:spacing w:line="240" w:lineRule="auto" w:before="51"/>
        <w:ind w:left="174" w:right="0"/>
        <w:jc w:val="left"/>
      </w:pPr>
      <w:r>
        <w:rPr/>
        <w:t>调整期初未分配利润明细：</w:t>
      </w:r>
    </w:p>
    <w:p>
      <w:pPr>
        <w:pStyle w:val="BodyText"/>
        <w:spacing w:line="240" w:lineRule="auto" w:before="117"/>
        <w:ind w:left="17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left="174"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left="174"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7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174" w:right="0"/>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877" w:footer="979" w:top="1100" w:bottom="1160" w:left="96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52、营业收入和营业成本" w:id="346"/>
      <w:bookmarkEnd w:id="34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316,521,862.07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254,311,473.69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286,359,847.67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213,620,475.04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2,291,783.82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704,770.49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135,839.27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318,813,645.89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255,016,244.18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286,359,847.67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213,756,314.31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47"/>
      <w:bookmarkEnd w:id="34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550,615.58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574,598.41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392,942.55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419,897.37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739,833.13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492,270.32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191,286.09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210,632.80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142,256.17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137,865.60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2,016,933.52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1,835,264.50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销售费用" w:id="348"/>
      <w:bookmarkEnd w:id="34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6,190,929.70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5,916,189.62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3,295,389.33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3,069,634.61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512,553.26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842,867.04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416,604.56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251,104.13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766,255.94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777,965.41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381,203.71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336,017.05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11,562,936.50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11,193,777.86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管理费用" w:id="349"/>
      <w:bookmarkEnd w:id="34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4,603,775.71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4,261,198.33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513,400.40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485,194.00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476,514.02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723,654.92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221,490.41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82,950.74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131,856.39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1,794,582.50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1,293,885.12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7,646,467.08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7,117,279.17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研发费用" w:id="350"/>
      <w:bookmarkEnd w:id="35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6,781,013.76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6,848,191.88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6,524,868.56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9,239,601.94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1,116,107.47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1,019,355.06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能源耗用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199,265.74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310,375.35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73,188.01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20,960.06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54,741.85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65,533.82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14,719,202.15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17,569,878.17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51"/>
      <w:bookmarkEnd w:id="35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1,337,670.91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83,983.33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3,714,807.25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2,591,137.42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-8,920,696.26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8,898,388.17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150,695.27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178,662.68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-11,147,137.33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6,569,896.76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52"/>
      <w:bookmarkEnd w:id="35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1,742,612.05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107,521.99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3,375,429.90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1,343,891.29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2,507,115.56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7,625,157.51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1,549,113.28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9、其他收益" w:id="353"/>
      <w:bookmarkEnd w:id="35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557,416.73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493,956.44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607,416.73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531,456.44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54"/>
      <w:bookmarkEnd w:id="35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4,912,260.28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2,951,026.64</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-1,950,152.50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投资银行理财产品取得的投资收益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3,067,159.77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5,004,021.49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处置衍生金融工具取得的投资收益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6,029,267.55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7,955,048.13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1、公允价值变动收益" w:id="355"/>
      <w:bookmarkEnd w:id="35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751,287.50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751,287.50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751,287.50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-676,475.00</w:t>
            </w:r>
            <w:r>
              <w:rPr>
                <w:rFonts w:ascii="Times New Roman"/>
                <w:sz w:val="18"/>
              </w:rPr>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62、资产处置收益" w:id="356"/>
      <w:bookmarkEnd w:id="35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57"/>
      <w:bookmarkEnd w:id="35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179.00</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4、营业外支出" w:id="358"/>
      <w:bookmarkEnd w:id="35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15,716.40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15,716.40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24,662.18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所得税费用" w:id="359"/>
      <w:bookmarkEnd w:id="35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0"/>
      <w:bookmarkEnd w:id="36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4,105,632.48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4,576,997.61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-28,048.92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-464,407.01</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4,077,583.56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4,112,590.60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会计利润与所得税费用调整过程" w:id="361"/>
      <w:bookmarkEnd w:id="36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38,737,330.88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5,810,599.63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861,979.87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11,352.68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-736,839.04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22,245.01</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1,003.58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-1,892,758.17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4,077,583.56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8855" w:firstLine="0"/>
        <w:jc w:val="left"/>
        <w:rPr>
          <w:rFonts w:ascii="宋体" w:hAnsi="宋体" w:cs="宋体" w:eastAsia="宋体" w:hint="default"/>
          <w:sz w:val="21"/>
          <w:szCs w:val="21"/>
        </w:rPr>
      </w:pPr>
      <w:bookmarkStart w:name="66、其他综合收益" w:id="362"/>
      <w:bookmarkEnd w:id="362"/>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63"/>
      <w:bookmarkEnd w:id="363"/>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64"/>
      <w:bookmarkEnd w:id="36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3,065,294.47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2,681,209.73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557,416.73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493,956.44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580,885.21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343,545.99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收回保理款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33,943,596.41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3,518,712.16</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65"/>
      <w:bookmarkEnd w:id="36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12,161,033.30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19,540,626.83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150,695.27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178,662.68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38,562.40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56,820,290.97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25,720,354.49</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66"/>
      <w:bookmarkEnd w:id="36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收回预付股权投资款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3,896,160.00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3,896,160.00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67"/>
      <w:bookmarkEnd w:id="36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68"/>
      <w:bookmarkEnd w:id="36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收回外汇远期交易保证金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3,174,188.98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3,174,188.98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69"/>
      <w:bookmarkEnd w:id="36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支付外汇掉期交易保证金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1,309,115.00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2,391,581.95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1,309,115.00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2,391,581.95</w:t>
            </w:r>
          </w:p>
        </w:tc>
      </w:tr>
    </w:tbl>
    <w:p>
      <w:pPr>
        <w:pStyle w:val="BodyText"/>
        <w:spacing w:line="240" w:lineRule="auto" w:before="51"/>
        <w:ind w:right="0"/>
        <w:jc w:val="left"/>
      </w:pPr>
      <w:r>
        <w:rPr/>
        <w:t>支付的其他与筹资活动有关的现金说明：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group style="position:absolute;margin-left:223.339996pt;margin-top:387.589996pt;width:151.25pt;height:40.85pt;mso-position-horizontal-relative:page;mso-position-vertical-relative:page;z-index:-832240" coordorigin="4467,7752" coordsize="3025,817">
            <v:group style="position:absolute;left:4478;top:7763;width:2;height:392" coordorigin="4478,7763" coordsize="2,392">
              <v:shape style="position:absolute;left:4478;top:7763;width:2;height:392" coordorigin="4478,7763" coordsize="0,392" path="m4478,7763l4478,8154e" filled="false" stroked="true" strokeweight="1.140pt" strokecolor="#ffffff">
                <v:path arrowok="t"/>
              </v:shape>
            </v:group>
            <v:group style="position:absolute;left:4490;top:7763;width:3002;height:392" coordorigin="4490,7763" coordsize="3002,392">
              <v:shape style="position:absolute;left:4490;top:7763;width:3002;height:392" coordorigin="4490,7763" coordsize="3002,392" path="m4490,8154l7491,8154,7491,7763,4490,7763,4490,8154xe" filled="true" fillcolor="#ffffff" stroked="false">
                <v:path arrowok="t"/>
                <v:fill type="solid"/>
              </v:shape>
            </v:group>
            <v:group style="position:absolute;left:4478;top:8165;width:2;height:392" coordorigin="4478,8165" coordsize="2,392">
              <v:shape style="position:absolute;left:4478;top:8165;width:2;height:392" coordorigin="4478,8165" coordsize="0,392" path="m4478,8165l4478,8557e" filled="false" stroked="true" strokeweight="1.140pt" strokecolor="#ffffff">
                <v:path arrowok="t"/>
              </v:shape>
            </v:group>
            <v:group style="position:absolute;left:4490;top:8165;width:3002;height:392" coordorigin="4490,8165" coordsize="3002,392">
              <v:shape style="position:absolute;left:4490;top:8165;width:3002;height:392" coordorigin="4490,8165" coordsize="3002,392" path="m4490,8557l7491,8557,7491,8165,4490,8165,4490,8557xe" filled="true" fillcolor="#ffffff" stroked="false">
                <v:path arrowok="t"/>
                <v:fill type="solid"/>
              </v:shape>
            </v:group>
            <w10:wrap type="none"/>
          </v:group>
        </w:pict>
      </w:r>
    </w:p>
    <w:p>
      <w:pPr>
        <w:pStyle w:val="Heading3"/>
        <w:spacing w:line="240" w:lineRule="auto" w:before="35"/>
        <w:ind w:right="0"/>
        <w:jc w:val="left"/>
        <w:rPr>
          <w:b w:val="0"/>
          <w:bCs w:val="0"/>
        </w:rPr>
      </w:pPr>
      <w:bookmarkStart w:name="68、现金流量表补充资料" w:id="370"/>
      <w:bookmarkEnd w:id="37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71"/>
      <w:bookmarkEnd w:id="37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34,659,747.32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30,446,607.75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7,625,157.51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1,549,113.28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10,937,630.74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8,404,058.48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451,454.06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445,933.11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196,998.23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477,647.98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15,716.40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18,689.86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-751,287.50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676,475.00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-6,272,882.42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7,724,293.57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-6,029,267.55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-7,955,048.13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-836,150.00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-464,407.01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805,064.23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-16,085,403.87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-54,750,038.71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-46,486,089.94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-3,610,083.41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-13,246,925.72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19,767,627.67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-35,016,238.51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2,730,869.44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159,901,798.74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200,145,420.67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200,145,420.67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176,633,017.98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-40,243,621.93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23,512,402.69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72"/>
      <w:bookmarkEnd w:id="37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73"/>
      <w:bookmarkEnd w:id="37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74"/>
      <w:bookmarkEnd w:id="37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159,901,798.74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200,145,420.67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147,539.49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174,040.85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159,754,259.25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199,971,379.82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159,901,798.74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200,145,420.67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75"/>
      <w:bookmarkEnd w:id="375"/>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6"/>
      <w:bookmarkEnd w:id="376"/>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514,740.00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外汇掉期保证金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514,740.00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1、外币货币性项目" w:id="377"/>
      <w:bookmarkEnd w:id="377"/>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78"/>
      <w:bookmarkEnd w:id="37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134,369,004.41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19,539,789.92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134,105,486.18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259,801.42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3,716.81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26,602,042.86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3,790,835.32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26,017,260.97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74,520.14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584,781.89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其他流动资产（理财产品）</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6,863,200.00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6,863,200.00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258,515.33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37,666.88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258,515.33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79"/>
      <w:bookmarkEnd w:id="37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1"/>
        </w:rPr>
        <w:t> </w:t>
      </w:r>
      <w:r>
        <w:rPr>
          <w:spacing w:val="-71"/>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544"/>
        <w:gridCol w:w="710"/>
        <w:gridCol w:w="709"/>
        <w:gridCol w:w="1702"/>
        <w:gridCol w:w="708"/>
        <w:gridCol w:w="708"/>
        <w:gridCol w:w="709"/>
        <w:gridCol w:w="851"/>
      </w:tblGrid>
      <w:tr>
        <w:trPr>
          <w:trHeight w:val="427" w:hRule="exact"/>
        </w:trPr>
        <w:tc>
          <w:tcPr>
            <w:tcW w:w="3544"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710" w:type="dxa"/>
            <w:vMerge w:val="restart"/>
            <w:tcBorders>
              <w:top w:val="single" w:sz="6" w:space="0" w:color="000000"/>
              <w:left w:val="single" w:sz="6" w:space="0" w:color="000000"/>
              <w:right w:val="single" w:sz="6" w:space="0" w:color="000000"/>
            </w:tcBorders>
          </w:tcPr>
          <w:p>
            <w:pPr>
              <w:pStyle w:val="TableParagraph"/>
              <w:spacing w:line="316" w:lineRule="auto" w:before="62"/>
              <w:ind w:left="166" w:right="72" w:hanging="90"/>
              <w:jc w:val="left"/>
              <w:rPr>
                <w:rFonts w:ascii="宋体" w:hAnsi="宋体" w:cs="宋体" w:eastAsia="宋体" w:hint="default"/>
                <w:sz w:val="18"/>
                <w:szCs w:val="18"/>
              </w:rPr>
            </w:pPr>
            <w:r>
              <w:rPr>
                <w:rFonts w:ascii="宋体" w:hAnsi="宋体" w:cs="宋体" w:eastAsia="宋体" w:hint="default"/>
                <w:b/>
                <w:bCs/>
                <w:sz w:val="18"/>
                <w:szCs w:val="18"/>
              </w:rPr>
              <w:t>主要经</w:t>
            </w:r>
            <w:r>
              <w:rPr>
                <w:rFonts w:ascii="宋体" w:hAnsi="宋体" w:cs="宋体" w:eastAsia="宋体" w:hint="default"/>
                <w:b/>
                <w:bCs/>
                <w:spacing w:val="1"/>
                <w:w w:val="99"/>
                <w:sz w:val="18"/>
                <w:szCs w:val="18"/>
              </w:rPr>
              <w:t> </w:t>
            </w:r>
            <w:r>
              <w:rPr>
                <w:rFonts w:ascii="宋体" w:hAnsi="宋体" w:cs="宋体" w:eastAsia="宋体" w:hint="default"/>
                <w:b/>
                <w:bCs/>
                <w:sz w:val="18"/>
                <w:szCs w:val="18"/>
              </w:rPr>
              <w:t>营地</w:t>
            </w:r>
            <w:r>
              <w:rPr>
                <w:rFonts w:ascii="宋体" w:hAnsi="宋体" w:cs="宋体" w:eastAsia="宋体" w:hint="default"/>
                <w:sz w:val="18"/>
                <w:szCs w:val="18"/>
              </w:rPr>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62"/>
              <w:ind w:left="7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2"/>
              <w:ind w:left="48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708" w:type="dxa"/>
            <w:vMerge w:val="restart"/>
            <w:tcBorders>
              <w:top w:val="single" w:sz="6" w:space="0" w:color="000000"/>
              <w:left w:val="single" w:sz="6" w:space="0" w:color="000000"/>
              <w:right w:val="single" w:sz="6" w:space="0" w:color="000000"/>
            </w:tcBorders>
          </w:tcPr>
          <w:p>
            <w:pPr>
              <w:pStyle w:val="TableParagraph"/>
              <w:spacing w:line="316" w:lineRule="auto" w:before="62"/>
              <w:ind w:left="165" w:right="75" w:hanging="92"/>
              <w:jc w:val="left"/>
              <w:rPr>
                <w:rFonts w:ascii="宋体" w:hAnsi="宋体" w:cs="宋体" w:eastAsia="宋体" w:hint="default"/>
                <w:sz w:val="18"/>
                <w:szCs w:val="18"/>
              </w:rPr>
            </w:pPr>
            <w:r>
              <w:rPr>
                <w:rFonts w:ascii="宋体" w:hAnsi="宋体" w:cs="宋体" w:eastAsia="宋体" w:hint="default"/>
                <w:b/>
                <w:bCs/>
                <w:sz w:val="18"/>
                <w:szCs w:val="18"/>
              </w:rPr>
              <w:t>记账本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位币</w:t>
            </w:r>
            <w:r>
              <w:rPr>
                <w:rFonts w:ascii="宋体" w:hAnsi="宋体" w:cs="宋体" w:eastAsia="宋体" w:hint="default"/>
                <w:sz w:val="18"/>
                <w:szCs w:val="18"/>
              </w:rPr>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before="62"/>
              <w:ind w:left="5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27" w:hRule="exact"/>
        </w:trPr>
        <w:tc>
          <w:tcPr>
            <w:tcW w:w="3544"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6"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851" w:type="dxa"/>
            <w:vMerge/>
            <w:tcBorders>
              <w:left w:val="single" w:sz="6" w:space="0" w:color="000000"/>
              <w:bottom w:val="single" w:sz="6" w:space="0" w:color="000000"/>
              <w:right w:val="single" w:sz="6" w:space="0" w:color="000000"/>
            </w:tcBorders>
          </w:tcPr>
          <w:p>
            <w:pPr/>
          </w:p>
        </w:tc>
      </w:tr>
      <w:tr>
        <w:trPr>
          <w:trHeight w:val="739"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486"/>
              <w:jc w:val="left"/>
              <w:rPr>
                <w:rFonts w:ascii="Times New Roman" w:hAnsi="Times New Roman" w:cs="Times New Roman" w:eastAsia="Times New Roman" w:hint="default"/>
                <w:sz w:val="18"/>
                <w:szCs w:val="18"/>
              </w:rPr>
            </w:pPr>
            <w:r>
              <w:rPr>
                <w:rFonts w:ascii="Times New Roman"/>
                <w:sz w:val="18"/>
              </w:rPr>
              <w:t>GOLDENGREEN TECHNOLOGIES</w:t>
            </w:r>
            <w:r>
              <w:rPr>
                <w:rFonts w:ascii="Times New Roman"/>
                <w:spacing w:val="-3"/>
                <w:sz w:val="18"/>
              </w:rPr>
              <w:t> </w:t>
            </w:r>
            <w:r>
              <w:rPr>
                <w:rFonts w:ascii="Times New Roman"/>
                <w:sz w:val="18"/>
              </w:rPr>
              <w:t>EU</w:t>
            </w:r>
            <w:r>
              <w:rPr>
                <w:rFonts w:ascii="Times New Roman"/>
                <w:w w:val="99"/>
                <w:sz w:val="18"/>
              </w:rPr>
              <w:t> </w:t>
            </w:r>
            <w:r>
              <w:rPr>
                <w:rFonts w:ascii="Times New Roman"/>
                <w:sz w:val="18"/>
              </w:rPr>
              <w:t>LIMITED</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5"/>
              <w:jc w:val="right"/>
              <w:rPr>
                <w:rFonts w:ascii="宋体" w:hAnsi="宋体" w:cs="宋体" w:eastAsia="宋体" w:hint="default"/>
                <w:sz w:val="18"/>
                <w:szCs w:val="18"/>
              </w:rPr>
            </w:pPr>
            <w:r>
              <w:rPr>
                <w:rFonts w:ascii="宋体" w:hAnsi="宋体" w:cs="宋体" w:eastAsia="宋体" w:hint="default"/>
                <w:sz w:val="18"/>
                <w:szCs w:val="18"/>
              </w:rPr>
              <w:t>英国</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7"/>
              <w:jc w:val="right"/>
              <w:rPr>
                <w:rFonts w:ascii="宋体" w:hAnsi="宋体" w:cs="宋体" w:eastAsia="宋体" w:hint="default"/>
                <w:sz w:val="18"/>
                <w:szCs w:val="18"/>
              </w:rPr>
            </w:pPr>
            <w:r>
              <w:rPr>
                <w:rFonts w:ascii="宋体" w:hAnsi="宋体" w:cs="宋体" w:eastAsia="宋体" w:hint="default"/>
                <w:sz w:val="18"/>
                <w:szCs w:val="18"/>
              </w:rPr>
              <w:t>英国</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12" w:right="32" w:hanging="180"/>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6"/>
              <w:jc w:val="righ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3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0"/>
              <w:ind w:left="2" w:right="650"/>
              <w:jc w:val="left"/>
              <w:rPr>
                <w:rFonts w:ascii="宋体" w:hAnsi="宋体" w:cs="宋体" w:eastAsia="宋体" w:hint="default"/>
                <w:sz w:val="18"/>
                <w:szCs w:val="18"/>
              </w:rPr>
            </w:pPr>
            <w:r>
              <w:rPr>
                <w:rFonts w:ascii="Times New Roman" w:hAnsi="Times New Roman" w:cs="Times New Roman" w:eastAsia="Times New Roman" w:hint="default"/>
                <w:sz w:val="18"/>
                <w:szCs w:val="18"/>
              </w:rPr>
              <w:t>GOLDENGREEN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TECHNOLOGIES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5"/>
              <w:jc w:val="right"/>
              <w:rPr>
                <w:rFonts w:ascii="宋体" w:hAnsi="宋体" w:cs="宋体" w:eastAsia="宋体" w:hint="default"/>
                <w:sz w:val="18"/>
                <w:szCs w:val="18"/>
              </w:rPr>
            </w:pPr>
            <w:r>
              <w:rPr>
                <w:rFonts w:ascii="宋体" w:hAnsi="宋体" w:cs="宋体" w:eastAsia="宋体" w:hint="default"/>
                <w:sz w:val="18"/>
                <w:szCs w:val="18"/>
              </w:rPr>
              <w:t>英国</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宋体" w:hAnsi="宋体" w:cs="宋体" w:eastAsia="宋体" w:hint="default"/>
                <w:sz w:val="18"/>
                <w:szCs w:val="18"/>
              </w:rPr>
            </w:pPr>
            <w:r>
              <w:rPr>
                <w:rFonts w:ascii="宋体" w:hAnsi="宋体" w:cs="宋体" w:eastAsia="宋体" w:hint="default"/>
                <w:sz w:val="18"/>
                <w:szCs w:val="18"/>
              </w:rPr>
              <w:t>英国</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12" w:right="32" w:hanging="180"/>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6"/>
              <w:jc w:val="righ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4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GLOBAL IMAGING SYSTEM</w:t>
            </w:r>
            <w:r>
              <w:rPr>
                <w:rFonts w:ascii="Times New Roman"/>
                <w:spacing w:val="-4"/>
                <w:sz w:val="18"/>
              </w:rPr>
              <w:t> </w:t>
            </w:r>
            <w:r>
              <w:rPr>
                <w:rFonts w:ascii="Times New Roman"/>
                <w:sz w:val="18"/>
              </w:rPr>
              <w:t>LIMITED</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5"/>
              <w:jc w:val="right"/>
              <w:rPr>
                <w:rFonts w:ascii="宋体" w:hAnsi="宋体" w:cs="宋体" w:eastAsia="宋体" w:hint="default"/>
                <w:sz w:val="18"/>
                <w:szCs w:val="18"/>
              </w:rPr>
            </w:pPr>
            <w:r>
              <w:rPr>
                <w:rFonts w:ascii="宋体" w:hAnsi="宋体" w:cs="宋体" w:eastAsia="宋体" w:hint="default"/>
                <w:sz w:val="18"/>
                <w:szCs w:val="18"/>
              </w:rPr>
              <w:t>香港</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7"/>
              <w:jc w:val="righ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12" w:right="32" w:hanging="180"/>
              <w:jc w:val="left"/>
              <w:rPr>
                <w:rFonts w:ascii="宋体" w:hAnsi="宋体" w:cs="宋体" w:eastAsia="宋体" w:hint="default"/>
                <w:sz w:val="18"/>
                <w:szCs w:val="18"/>
              </w:rPr>
            </w:pPr>
            <w:r>
              <w:rPr>
                <w:rFonts w:ascii="宋体" w:hAnsi="宋体" w:cs="宋体" w:eastAsia="宋体" w:hint="default"/>
                <w:sz w:val="18"/>
                <w:szCs w:val="18"/>
              </w:rPr>
              <w:t>办公设备、部件、耗 材的进出口业务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6"/>
              <w:jc w:val="righ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4"/>
        <w:rPr>
          <w:rFonts w:ascii="宋体" w:hAnsi="宋体" w:cs="宋体" w:eastAsia="宋体" w:hint="default"/>
          <w:sz w:val="20"/>
          <w:szCs w:val="20"/>
        </w:rPr>
      </w:pPr>
    </w:p>
    <w:p>
      <w:pPr>
        <w:pStyle w:val="BodyText"/>
        <w:spacing w:line="240" w:lineRule="auto"/>
        <w:ind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GOLDENGREEN</w:t>
      </w:r>
      <w:r>
        <w:rPr>
          <w:rFonts w:ascii="Times New Roman" w:hAnsi="Times New Roman" w:cs="Times New Roman" w:eastAsia="Times New Roman" w:hint="default"/>
          <w:spacing w:val="-9"/>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9"/>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为</w:t>
      </w:r>
      <w:r>
        <w:rPr>
          <w:rFonts w:ascii="Times New Roman" w:hAnsi="Times New Roman" w:cs="Times New Roman" w:eastAsia="Times New Roman" w:hint="default"/>
        </w:rPr>
        <w:t>GOLDENGREEN</w:t>
      </w:r>
      <w:r>
        <w:rPr>
          <w:rFonts w:ascii="Times New Roman" w:hAnsi="Times New Roman" w:cs="Times New Roman" w:eastAsia="Times New Roman" w:hint="default"/>
          <w:spacing w:val="-9"/>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9"/>
        </w:rPr>
        <w:t> </w:t>
      </w:r>
      <w:r>
        <w:rPr>
          <w:rFonts w:ascii="Times New Roman" w:hAnsi="Times New Roman" w:cs="Times New Roman" w:eastAsia="Times New Roman" w:hint="default"/>
        </w:rPr>
        <w:t>EU</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的</w:t>
      </w:r>
    </w:p>
    <w:p>
      <w:pPr>
        <w:pStyle w:val="BodyText"/>
        <w:spacing w:line="240" w:lineRule="auto" w:before="63"/>
        <w:ind w:right="0"/>
        <w:jc w:val="left"/>
      </w:pPr>
      <w:r>
        <w:rPr/>
        <w:t>全资子公司</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72、套期" w:id="380"/>
      <w:bookmarkEnd w:id="380"/>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3、政府补助" w:id="381"/>
      <w:bookmarkEnd w:id="381"/>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2"/>
      <w:bookmarkEnd w:id="38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长寿命激光光导鼓的研制与 产业化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企业研究开发费用省级财政 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社会贡献奖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科技创新奖励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30,369.20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30,369.20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高新技术产品政策性奖励经 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专利资助奖金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24,747.53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24,747.53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1,057,416.73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607,416.73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83"/>
      <w:bookmarkEnd w:id="38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5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2"/>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84"/>
      <w:bookmarkEnd w:id="384"/>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5"/>
      <w:bookmarkEnd w:id="38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6"/>
      <w:bookmarkEnd w:id="3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bookmarkStart w:name="（1）本期发生的非同一控制下企业合并" w:id="387"/>
      <w:bookmarkEnd w:id="38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88"/>
      <w:bookmarkEnd w:id="38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d9d9d9">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9d9d9">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001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001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6072"/>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89"/>
      <w:bookmarkEnd w:id="38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9D9D9"/>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90"/>
      <w:bookmarkEnd w:id="39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391"/>
      <w:bookmarkEnd w:id="39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92"/>
      <w:bookmarkEnd w:id="39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93"/>
      <w:bookmarkEnd w:id="39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394"/>
      <w:bookmarkEnd w:id="39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95"/>
      <w:bookmarkEnd w:id="39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2"/>
        <w:rPr>
          <w:rFonts w:ascii="宋体" w:hAnsi="宋体" w:cs="宋体" w:eastAsia="宋体" w:hint="default"/>
          <w:sz w:val="24"/>
          <w:szCs w:val="24"/>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d9d9d9">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9d9d9">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96"/>
      <w:bookmarkEnd w:id="39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d9d9d9">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d9d9d9">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d9d9d9"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反向购买" w:id="397"/>
      <w:bookmarkEnd w:id="39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3"/>
        <w:rPr>
          <w:rFonts w:ascii="宋体" w:hAnsi="宋体" w:cs="宋体" w:eastAsia="宋体" w:hint="default"/>
          <w:b/>
          <w:bCs/>
          <w:sz w:val="28"/>
          <w:szCs w:val="28"/>
        </w:rPr>
      </w:pPr>
    </w:p>
    <w:p>
      <w:pPr>
        <w:pStyle w:val="BodyText"/>
        <w:spacing w:line="367"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4、处置子公司" w:id="398"/>
      <w:bookmarkEnd w:id="39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38"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99"/>
      <w:bookmarkEnd w:id="39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400"/>
      <w:bookmarkEnd w:id="40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1"/>
      <w:bookmarkEnd w:id="40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2"/>
      <w:bookmarkEnd w:id="40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03"/>
      <w:bookmarkEnd w:id="4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290" w:type="dxa"/>
        <w:tblLayout w:type="fixed"/>
        <w:tblCellMar>
          <w:top w:w="0" w:type="dxa"/>
          <w:left w:w="0" w:type="dxa"/>
          <w:bottom w:w="0" w:type="dxa"/>
          <w:right w:w="0" w:type="dxa"/>
        </w:tblCellMar>
        <w:tblLook w:val="01E0"/>
      </w:tblPr>
      <w:tblGrid>
        <w:gridCol w:w="2127"/>
        <w:gridCol w:w="1276"/>
        <w:gridCol w:w="987"/>
        <w:gridCol w:w="2132"/>
        <w:gridCol w:w="993"/>
        <w:gridCol w:w="976"/>
        <w:gridCol w:w="866"/>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0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2132"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8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苏州吴中恒久光电子科技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有机光导鼓系列产品的生 产、销售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GOLDENGREEN</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7"/>
                <w:sz w:val="18"/>
                <w:szCs w:val="18"/>
              </w:rPr>
              <w:t>办公设备、部件、耗材的进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5" w:right="0"/>
              <w:jc w:val="lef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290" w:type="dxa"/>
        <w:tblLayout w:type="fixed"/>
        <w:tblCellMar>
          <w:top w:w="0" w:type="dxa"/>
          <w:left w:w="0" w:type="dxa"/>
          <w:bottom w:w="0" w:type="dxa"/>
          <w:right w:w="0" w:type="dxa"/>
        </w:tblCellMar>
        <w:tblLook w:val="01E0"/>
      </w:tblPr>
      <w:tblGrid>
        <w:gridCol w:w="2127"/>
        <w:gridCol w:w="1276"/>
        <w:gridCol w:w="987"/>
        <w:gridCol w:w="2132"/>
        <w:gridCol w:w="993"/>
        <w:gridCol w:w="976"/>
        <w:gridCol w:w="866"/>
      </w:tblGrid>
      <w:tr>
        <w:trPr>
          <w:trHeight w:val="67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439"/>
              <w:jc w:val="left"/>
              <w:rPr>
                <w:rFonts w:ascii="Times New Roman" w:hAnsi="Times New Roman" w:cs="Times New Roman" w:eastAsia="Times New Roman" w:hint="default"/>
                <w:sz w:val="18"/>
                <w:szCs w:val="18"/>
              </w:rPr>
            </w:pPr>
            <w:r>
              <w:rPr>
                <w:rFonts w:ascii="Times New Roman"/>
                <w:sz w:val="18"/>
              </w:rPr>
              <w:t>TECHNOLOGIES</w:t>
            </w:r>
            <w:r>
              <w:rPr>
                <w:rFonts w:ascii="Times New Roman"/>
                <w:spacing w:val="-2"/>
                <w:sz w:val="18"/>
              </w:rPr>
              <w:t> </w:t>
            </w:r>
            <w:r>
              <w:rPr>
                <w:rFonts w:ascii="Times New Roman"/>
                <w:sz w:val="18"/>
              </w:rPr>
              <w:t>EU</w:t>
            </w:r>
            <w:r>
              <w:rPr>
                <w:rFonts w:ascii="Times New Roman"/>
                <w:w w:val="99"/>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93"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52"/>
              <w:jc w:val="left"/>
              <w:rPr>
                <w:rFonts w:ascii="Times New Roman" w:hAnsi="Times New Roman" w:cs="Times New Roman" w:eastAsia="Times New Roman" w:hint="default"/>
                <w:sz w:val="18"/>
                <w:szCs w:val="18"/>
              </w:rPr>
            </w:pPr>
            <w:r>
              <w:rPr>
                <w:rFonts w:ascii="Times New Roman"/>
                <w:sz w:val="18"/>
              </w:rPr>
              <w:t>GOLDENGREEN</w:t>
            </w:r>
            <w:r>
              <w:rPr>
                <w:rFonts w:ascii="Times New Roman"/>
                <w:w w:val="99"/>
                <w:sz w:val="18"/>
              </w:rPr>
              <w:t> </w:t>
            </w:r>
            <w:r>
              <w:rPr>
                <w:rFonts w:ascii="Times New Roman"/>
                <w:sz w:val="18"/>
              </w:rPr>
              <w:t>TECHNOLOGIES</w:t>
            </w:r>
            <w:r>
              <w:rPr>
                <w:rFonts w:ascii="Times New Roman"/>
                <w:w w:val="99"/>
                <w:sz w:val="18"/>
              </w:rPr>
              <w:t> </w:t>
            </w:r>
            <w:r>
              <w:rPr>
                <w:rFonts w:ascii="Times New Roman"/>
                <w:spacing w:val="-2"/>
                <w:sz w:val="18"/>
              </w:rPr>
              <w:t>INTERNATIONAL</w:t>
            </w:r>
            <w:r>
              <w:rPr>
                <w:rFonts w:ascii="Times New Roman"/>
                <w:spacing w:val="-41"/>
                <w:sz w:val="18"/>
              </w:rPr>
              <w:t> </w:t>
            </w:r>
            <w:r>
              <w:rPr>
                <w:rFonts w:ascii="Times New Roman"/>
                <w:spacing w:val="-41"/>
                <w:sz w:val="18"/>
              </w:rPr>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21"/>
              <w:jc w:val="left"/>
              <w:rPr>
                <w:rFonts w:ascii="宋体" w:hAnsi="宋体" w:cs="宋体" w:eastAsia="宋体" w:hint="default"/>
                <w:sz w:val="18"/>
                <w:szCs w:val="18"/>
              </w:rPr>
            </w:pPr>
            <w:r>
              <w:rPr>
                <w:rFonts w:ascii="宋体" w:hAnsi="宋体" w:cs="宋体" w:eastAsia="宋体" w:hint="default"/>
                <w:spacing w:val="-7"/>
                <w:sz w:val="18"/>
                <w:szCs w:val="18"/>
              </w:rPr>
              <w:t>办公设备、部件、耗材的进</w:t>
            </w:r>
            <w:r>
              <w:rPr>
                <w:rFonts w:ascii="宋体" w:hAnsi="宋体" w:cs="宋体" w:eastAsia="宋体" w:hint="default"/>
                <w:sz w:val="18"/>
                <w:szCs w:val="18"/>
              </w:rPr>
              <w:t> 出口业务</w:t>
            </w:r>
          </w:p>
        </w:tc>
        <w:tc>
          <w:tcPr>
            <w:tcW w:w="993"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24"/>
              <w:jc w:val="left"/>
              <w:rPr>
                <w:rFonts w:ascii="Times New Roman" w:hAnsi="Times New Roman" w:cs="Times New Roman" w:eastAsia="Times New Roman" w:hint="default"/>
                <w:sz w:val="18"/>
                <w:szCs w:val="18"/>
              </w:rPr>
            </w:pPr>
            <w:r>
              <w:rPr>
                <w:rFonts w:ascii="Times New Roman"/>
                <w:sz w:val="18"/>
              </w:rPr>
              <w:t>GLOBAL</w:t>
            </w:r>
            <w:r>
              <w:rPr>
                <w:rFonts w:ascii="Times New Roman"/>
                <w:spacing w:val="-8"/>
                <w:sz w:val="18"/>
              </w:rPr>
              <w:t> </w:t>
            </w:r>
            <w:r>
              <w:rPr>
                <w:rFonts w:ascii="Times New Roman"/>
                <w:sz w:val="18"/>
              </w:rPr>
              <w:t>IMAGING</w:t>
            </w:r>
            <w:r>
              <w:rPr>
                <w:rFonts w:ascii="Times New Roman"/>
                <w:w w:val="99"/>
                <w:sz w:val="18"/>
              </w:rPr>
              <w:t> </w:t>
            </w:r>
            <w:r>
              <w:rPr>
                <w:rFonts w:ascii="Times New Roman"/>
                <w:sz w:val="18"/>
              </w:rPr>
              <w:t>SYSTEM</w:t>
            </w:r>
            <w:r>
              <w:rPr>
                <w:rFonts w:ascii="Times New Roman"/>
                <w:spacing w:val="-2"/>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办公设备、部件、耗材的进</w:t>
            </w:r>
            <w:r>
              <w:rPr>
                <w:rFonts w:ascii="宋体" w:hAnsi="宋体" w:cs="宋体" w:eastAsia="宋体" w:hint="default"/>
                <w:sz w:val="18"/>
                <w:szCs w:val="18"/>
              </w:rPr>
              <w:t> 出口业务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苏州恒久数码科技有限公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办公设备、部件、耗材的销</w:t>
            </w:r>
            <w:r>
              <w:rPr>
                <w:rFonts w:ascii="宋体" w:hAnsi="宋体" w:cs="宋体" w:eastAsia="宋体" w:hint="default"/>
                <w:sz w:val="18"/>
                <w:szCs w:val="18"/>
              </w:rPr>
              <w:t> 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苏州恒久商业保理有限公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以受让应收账款的方式提 供贸易融资等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苏州恒久高新产业发展有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对高新技术产业和战略新 </w:t>
            </w:r>
            <w:r>
              <w:rPr>
                <w:rFonts w:ascii="宋体" w:hAnsi="宋体" w:cs="宋体" w:eastAsia="宋体" w:hint="default"/>
                <w:spacing w:val="-8"/>
                <w:sz w:val="18"/>
                <w:szCs w:val="18"/>
              </w:rPr>
              <w:t>兴产业进行投资与管理、实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业投资、股权投资</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404"/>
      <w:bookmarkEnd w:id="40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05"/>
      <w:bookmarkEnd w:id="40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使用企业集团资产和清偿企业集团债务的重大限制" w:id="406"/>
      <w:bookmarkEnd w:id="40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07"/>
      <w:bookmarkEnd w:id="40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08"/>
      <w:bookmarkEnd w:id="40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09"/>
      <w:bookmarkEnd w:id="40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10"/>
      <w:bookmarkEnd w:id="41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d9d9d9">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9d9d9">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11"/>
      <w:bookmarkEnd w:id="41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2"/>
      <w:bookmarkEnd w:id="41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珠海宝利通耗材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打印机耗材的生 产、批发、零售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深圳市壹办公科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打印机耗材的生 产、批发、零售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13"/>
      <w:bookmarkEnd w:id="41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9D9D9"/>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14"/>
      <w:bookmarkEnd w:id="41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3828"/>
        <w:gridCol w:w="3817"/>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861" w:right="51" w:hanging="810"/>
              <w:jc w:val="left"/>
              <w:rPr>
                <w:rFonts w:ascii="宋体" w:hAnsi="宋体" w:cs="宋体" w:eastAsia="宋体" w:hint="default"/>
                <w:sz w:val="18"/>
                <w:szCs w:val="18"/>
              </w:rPr>
            </w:pPr>
            <w:r>
              <w:rPr>
                <w:rFonts w:ascii="宋体" w:hAnsi="宋体" w:cs="宋体" w:eastAsia="宋体" w:hint="default"/>
                <w:sz w:val="18"/>
                <w:szCs w:val="18"/>
              </w:rPr>
              <w:t>珠海宝利通耗材有限公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深圳市壹办公科技股份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861" w:right="51" w:hanging="810"/>
              <w:jc w:val="left"/>
              <w:rPr>
                <w:rFonts w:ascii="宋体" w:hAnsi="宋体" w:cs="宋体" w:eastAsia="宋体" w:hint="default"/>
                <w:sz w:val="18"/>
                <w:szCs w:val="18"/>
              </w:rPr>
            </w:pPr>
            <w:r>
              <w:rPr>
                <w:rFonts w:ascii="宋体" w:hAnsi="宋体" w:cs="宋体" w:eastAsia="宋体" w:hint="default"/>
                <w:sz w:val="18"/>
                <w:szCs w:val="18"/>
              </w:rPr>
              <w:t>珠海宝利通耗材有限公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深圳市壹办公科技股份 有限公司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100,960,231.34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153,940,337.31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95,514,127.90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105,842,612.66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3,899,022.07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5,099,862.93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1,903,608.35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2,176,131.65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104,859,253.41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159,040,200.24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97,417,736.25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108,018,744.31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57,627,814.16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98,787,261.81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51,780,011.04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64,241,897.56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69,627,814.16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98,787,261.81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63,780,011.04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64,241,897.56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35,231,439.25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60,252,938.43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33,637,725.21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43,776,846.75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9,688,645.79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16,569,558.07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9,250,374.43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12,038,632.86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-591,612.97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11,480,995.97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-534,676.68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11,480,995.97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11,480,995.97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11,480,995.97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-591,612.97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-534,676.68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9,097,032.82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28,050,554.04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8,715,697.75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23,519,628.83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157,383,007.45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399,982,553.26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131,811,615.94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67,321,553.86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749,418.22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16,476,091.68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5,140,058.95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5,590,947.00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749,418.22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16,476,091.68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5,140,058.95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5,590,947.00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15"/>
      <w:bookmarkEnd w:id="41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16"/>
      <w:bookmarkEnd w:id="41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17"/>
      <w:bookmarkEnd w:id="41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82"/>
      </w:tblGrid>
      <w:tr>
        <w:trPr>
          <w:trHeight w:val="38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18"/>
      <w:bookmarkEnd w:id="41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19"/>
      <w:bookmarkEnd w:id="41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20"/>
      <w:bookmarkEnd w:id="42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21"/>
      <w:bookmarkEnd w:id="42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22"/>
      <w:bookmarkEnd w:id="422"/>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right="0"/>
        <w:jc w:val="left"/>
        <w:rPr>
          <w:b w:val="0"/>
          <w:bCs w:val="0"/>
        </w:rPr>
      </w:pPr>
      <w:bookmarkStart w:name="十、与金融工具相关的风险" w:id="423"/>
      <w:bookmarkEnd w:id="423"/>
      <w:r>
        <w:rPr>
          <w:b w:val="0"/>
          <w:bCs w:val="0"/>
        </w:rPr>
      </w:r>
      <w:r>
        <w:rPr/>
        <w:t>十、与金融工具相关的风险</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0"/>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spacing w:val="-2"/>
        </w:rPr>
        <w:t>定，并对风险管理目标和政策承担最终责任，但是董事会已授权本公司财务部门设计和实施能确保风险管理目标和政策得以</w:t>
      </w:r>
      <w:r>
        <w:rPr>
          <w:spacing w:val="-64"/>
        </w:rPr>
        <w:t> </w:t>
      </w:r>
      <w:r>
        <w:rPr>
          <w:spacing w:val="-64"/>
        </w:rPr>
      </w:r>
      <w:r>
        <w:rPr>
          <w:spacing w:val="-2"/>
        </w:rPr>
        <w:t>有效执行的程序。董事会通过财务主管递交的报告来审查已执行程序的有效性以及风险管理目标和政策的合理性。本公司的</w:t>
      </w:r>
      <w:r>
        <w:rPr>
          <w:spacing w:val="-64"/>
        </w:rPr>
        <w:t> </w:t>
      </w:r>
      <w:r>
        <w:rPr>
          <w:spacing w:val="-64"/>
        </w:rPr>
      </w:r>
      <w:r>
        <w:rPr/>
        <w:t>内部审计师也会审计风险管理的政策和程序，并且将有关发现汇报给审计委员会。 本公司风险管理的总体目标是在不过度影响公司竞争力和应变力的情况下，制定尽可能降低风险的风险管理政策。</w:t>
      </w:r>
    </w:p>
    <w:p>
      <w:pPr>
        <w:pStyle w:val="BodyText"/>
        <w:spacing w:line="360" w:lineRule="auto" w:before="29"/>
        <w:ind w:right="11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spacing w:val="-2"/>
        </w:rPr>
        <w:t>信用风险是指金融工具的一方不履行义务，造成另一方发生财务损失的风险。本公司主要面临赊销导致的客户信用风险。在</w:t>
      </w:r>
      <w:r>
        <w:rPr>
          <w:spacing w:val="-67"/>
        </w:rPr>
        <w:t> </w:t>
      </w:r>
      <w:r>
        <w:rPr>
          <w:spacing w:val="-67"/>
        </w:rPr>
      </w:r>
      <w:r>
        <w:rPr>
          <w:spacing w:val="-2"/>
        </w:rPr>
        <w:t>签订新合同之前，本公司会对新客户的信用风险进行评估，包括外部信用评级和在某些情况下的银行资信证明（当此信息可</w:t>
      </w:r>
      <w:r>
        <w:rPr>
          <w:spacing w:val="-67"/>
        </w:rPr>
        <w:t> </w:t>
      </w:r>
      <w:r>
        <w:rPr>
          <w:spacing w:val="-67"/>
        </w:rPr>
      </w:r>
      <w:r>
        <w:rPr/>
        <w:t>获取时）。公司对每一客户均设置了赊销限额，该限额为无需获得额外批准的最大额度。</w:t>
      </w:r>
      <w:r>
        <w:rPr>
          <w:w w:val="99"/>
        </w:rPr>
        <w:t> </w:t>
      </w:r>
      <w:r>
        <w:rPr>
          <w:spacing w:val="-2"/>
          <w:w w:val="99"/>
        </w:rPr>
        <w:t>公司通过对已有客户信用评级的季度监控以及应收账款账龄分析审核来确保公司的整体信用风险在可控的范围内。在监控客</w:t>
      </w:r>
      <w:r>
        <w:rPr>
          <w:spacing w:val="-64"/>
          <w:w w:val="99"/>
        </w:rPr>
        <w:t> </w:t>
      </w:r>
      <w:r>
        <w:rPr>
          <w:spacing w:val="-64"/>
          <w:w w:val="99"/>
        </w:rPr>
      </w:r>
      <w:r>
        <w:rPr>
          <w:spacing w:val="-2"/>
        </w:rPr>
        <w:t>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级别的客户会放在受限制客户名单里，并且只有在额外批</w:t>
      </w:r>
      <w:r>
        <w:rPr>
          <w:spacing w:val="-45"/>
        </w:rPr>
        <w:t> </w:t>
      </w:r>
      <w:r>
        <w:rPr>
          <w:spacing w:val="-45"/>
        </w:rPr>
      </w:r>
      <w:r>
        <w:rPr/>
        <w:t>准的前提下，公司才可在未来期间内对其赊销，否则必须要求其提前支付相应款项。</w:t>
      </w:r>
    </w:p>
    <w:p>
      <w:pPr>
        <w:pStyle w:val="BodyText"/>
        <w:spacing w:line="355" w:lineRule="auto" w:before="33"/>
        <w:ind w:right="11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w w:val="99"/>
        </w:rPr>
        <w:t> </w:t>
      </w:r>
      <w:r>
        <w:rPr>
          <w:spacing w:val="-2"/>
        </w:rPr>
        <w:t>金融工具的市场风险，是指金融工具的公允价值或未来现金流量因市场价格变动而发生波动的风险，包括汇率风险、利率风</w:t>
      </w:r>
      <w:r>
        <w:rPr>
          <w:spacing w:val="-67"/>
        </w:rPr>
        <w:t> </w:t>
      </w:r>
      <w:r>
        <w:rPr>
          <w:spacing w:val="-67"/>
        </w:rPr>
      </w:r>
      <w:r>
        <w:rPr/>
        <w:t>险和其他价格风险。</w:t>
      </w:r>
    </w:p>
    <w:p>
      <w:pPr>
        <w:pStyle w:val="BodyText"/>
        <w:spacing w:line="345" w:lineRule="auto" w:before="37"/>
        <w:ind w:right="1118"/>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日，公司无以浮动</w:t>
      </w:r>
      <w:r>
        <w:rPr>
          <w:spacing w:val="-57"/>
        </w:rPr>
        <w:t> </w:t>
      </w:r>
      <w:r>
        <w:rPr>
          <w:spacing w:val="-57"/>
        </w:rPr>
      </w:r>
      <w:r>
        <w:rPr/>
        <w:t>利率计算的借款。</w:t>
      </w:r>
    </w:p>
    <w:p>
      <w:pPr>
        <w:spacing w:after="0" w:line="345" w:lineRule="auto"/>
        <w:jc w:val="left"/>
        <w:sectPr>
          <w:pgSz w:w="11910" w:h="16840"/>
          <w:pgMar w:header="877" w:footer="979" w:top="1100" w:bottom="1160" w:left="980" w:right="0"/>
        </w:sectPr>
      </w:pPr>
    </w:p>
    <w:p>
      <w:pPr>
        <w:spacing w:line="240" w:lineRule="auto" w:before="8"/>
        <w:rPr>
          <w:rFonts w:ascii="宋体" w:hAnsi="宋体" w:cs="宋体" w:eastAsia="宋体" w:hint="default"/>
          <w:sz w:val="23"/>
          <w:szCs w:val="23"/>
        </w:rPr>
      </w:pPr>
    </w:p>
    <w:p>
      <w:pPr>
        <w:pStyle w:val="BodyText"/>
        <w:spacing w:line="360" w:lineRule="auto"/>
        <w:ind w:left="354" w:right="841"/>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3"/>
        </w:rPr>
        <w:t> </w:t>
      </w:r>
      <w:r>
        <w:rPr>
          <w:spacing w:val="-63"/>
        </w:rPr>
      </w:r>
      <w:r>
        <w:rPr/>
        <w:t>出相匹配以降低汇率风险。此外，公司还可能签署远期外汇合约或货币互换合约以达到规避汇率风险的目的。 </w:t>
      </w:r>
      <w:r>
        <w:rPr>
          <w:spacing w:val="-2"/>
        </w:rPr>
        <w:t>本公司面临的汇率风险主要来源于以美元计价的金融资产和金融负债，外币金融资产和外币金融负债折算成人民币的金额列</w:t>
      </w:r>
      <w:r>
        <w:rPr>
          <w:spacing w:val="-64"/>
        </w:rPr>
        <w:t> </w:t>
      </w:r>
      <w:r>
        <w:rPr>
          <w:spacing w:val="-64"/>
        </w:rPr>
      </w:r>
      <w:r>
        <w:rPr/>
        <w:t>示如下：</w:t>
      </w:r>
    </w:p>
    <w:p>
      <w:pPr>
        <w:spacing w:line="240" w:lineRule="auto" w:before="5"/>
        <w:rPr>
          <w:rFonts w:ascii="宋体" w:hAnsi="宋体" w:cs="宋体" w:eastAsia="宋体" w:hint="default"/>
          <w:sz w:val="27"/>
          <w:szCs w:val="27"/>
        </w:rPr>
      </w:pPr>
    </w:p>
    <w:tbl>
      <w:tblPr>
        <w:tblW w:w="0" w:type="auto"/>
        <w:jc w:val="left"/>
        <w:tblInd w:w="955" w:type="dxa"/>
        <w:tblLayout w:type="fixed"/>
        <w:tblCellMar>
          <w:top w:w="0" w:type="dxa"/>
          <w:left w:w="0" w:type="dxa"/>
          <w:bottom w:w="0" w:type="dxa"/>
          <w:right w:w="0" w:type="dxa"/>
        </w:tblCellMar>
        <w:tblLook w:val="01E0"/>
      </w:tblPr>
      <w:tblGrid>
        <w:gridCol w:w="2142"/>
        <w:gridCol w:w="1600"/>
        <w:gridCol w:w="1891"/>
        <w:gridCol w:w="2181"/>
      </w:tblGrid>
      <w:tr>
        <w:trPr>
          <w:trHeight w:val="342" w:hRule="exact"/>
        </w:trPr>
        <w:tc>
          <w:tcPr>
            <w:tcW w:w="2142"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142" w:type="dxa"/>
            <w:vMerge/>
            <w:tcBorders>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0"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134,105,486.18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263,518.23</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134,369,004.41</w:t>
            </w:r>
          </w:p>
        </w:tc>
      </w:tr>
      <w:tr>
        <w:trPr>
          <w:trHeight w:val="34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26,017,260.97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584,781.89</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26,602,042.86</w:t>
            </w:r>
          </w:p>
        </w:tc>
      </w:tr>
      <w:tr>
        <w:trPr>
          <w:trHeight w:val="34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6,863,200.00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6,863,200.00</w:t>
            </w:r>
          </w:p>
        </w:tc>
      </w:tr>
      <w:tr>
        <w:trPr>
          <w:trHeight w:val="34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258,515.33</w:t>
            </w:r>
          </w:p>
        </w:tc>
        <w:tc>
          <w:tcPr>
            <w:tcW w:w="1891" w:type="dxa"/>
            <w:tcBorders>
              <w:top w:val="single" w:sz="4" w:space="0" w:color="000000"/>
              <w:left w:val="single" w:sz="4" w:space="0" w:color="000000"/>
              <w:bottom w:val="single" w:sz="4" w:space="0" w:color="000000"/>
              <w:right w:val="single" w:sz="4" w:space="0" w:color="000000"/>
            </w:tcBorders>
          </w:tcPr>
          <w:p>
            <w:pP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258,515.33</w:t>
            </w:r>
          </w:p>
        </w:tc>
      </w:tr>
      <w:tr>
        <w:trPr>
          <w:trHeight w:val="34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167,244,462.48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848,300.12</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168,092,762.60</w:t>
            </w:r>
          </w:p>
        </w:tc>
      </w:tr>
    </w:tbl>
    <w:p>
      <w:pPr>
        <w:spacing w:line="240" w:lineRule="auto" w:before="3"/>
        <w:rPr>
          <w:rFonts w:ascii="宋体" w:hAnsi="宋体" w:cs="宋体" w:eastAsia="宋体" w:hint="default"/>
          <w:sz w:val="21"/>
          <w:szCs w:val="21"/>
        </w:rPr>
      </w:pPr>
    </w:p>
    <w:p>
      <w:pPr>
        <w:pStyle w:val="BodyText"/>
        <w:spacing w:line="240" w:lineRule="auto"/>
        <w:ind w:left="354" w:right="841"/>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5%</w:t>
      </w:r>
      <w:r>
        <w:rPr/>
        <w:t>，则公司将减少或增加利润总额</w:t>
      </w:r>
    </w:p>
    <w:p>
      <w:pPr>
        <w:pStyle w:val="BodyText"/>
        <w:spacing w:line="240" w:lineRule="auto" w:before="63"/>
        <w:ind w:left="354" w:right="841"/>
        <w:jc w:val="left"/>
      </w:pPr>
      <w:r>
        <w:rPr>
          <w:rFonts w:ascii="Times New Roman" w:hAnsi="Times New Roman" w:cs="Times New Roman" w:eastAsia="Times New Roman" w:hint="default"/>
        </w:rPr>
        <w:t>8,378,786.60</w:t>
      </w:r>
      <w:r>
        <w:rPr/>
        <w:t>元。管理层认为</w:t>
      </w:r>
      <w:r>
        <w:rPr>
          <w:rFonts w:ascii="Times New Roman" w:hAnsi="Times New Roman" w:cs="Times New Roman" w:eastAsia="Times New Roman" w:hint="default"/>
        </w:rPr>
        <w:t>5%</w:t>
      </w:r>
      <w:r>
        <w:rPr/>
        <w:t>合理反映了下一年度人民币对美元可能发生变动的合理范围。</w:t>
      </w:r>
    </w:p>
    <w:p>
      <w:pPr>
        <w:spacing w:line="240" w:lineRule="auto" w:before="9"/>
        <w:rPr>
          <w:rFonts w:ascii="宋体" w:hAnsi="宋体" w:cs="宋体" w:eastAsia="宋体" w:hint="default"/>
          <w:sz w:val="16"/>
          <w:szCs w:val="16"/>
        </w:rPr>
      </w:pPr>
    </w:p>
    <w:p>
      <w:pPr>
        <w:pStyle w:val="BodyText"/>
        <w:spacing w:line="309" w:lineRule="auto" w:before="0"/>
        <w:ind w:left="354" w:right="1572"/>
        <w:jc w:val="left"/>
      </w:pPr>
      <w:r>
        <w:rPr/>
        <w:t>（</w:t>
      </w:r>
      <w:r>
        <w:rPr>
          <w:rFonts w:ascii="Times New Roman" w:hAnsi="Times New Roman" w:cs="Times New Roman" w:eastAsia="Times New Roman" w:hint="default"/>
        </w:rPr>
        <w:t>3</w:t>
      </w:r>
      <w:r>
        <w:rPr/>
        <w:t>）其他价格风险 本公司面临的其他价格风险主要来源于美元掉期合约，管理层认为这些投资活动面临的市场价格风险是可以接受的。 本公司持有的美元掉期合约列示如下：</w:t>
      </w:r>
    </w:p>
    <w:p>
      <w:pPr>
        <w:spacing w:line="240" w:lineRule="auto" w:before="12"/>
        <w:rPr>
          <w:rFonts w:ascii="宋体" w:hAnsi="宋体" w:cs="宋体" w:eastAsia="宋体" w:hint="default"/>
          <w:sz w:val="24"/>
          <w:szCs w:val="24"/>
        </w:rPr>
      </w:pPr>
    </w:p>
    <w:tbl>
      <w:tblPr>
        <w:tblW w:w="0" w:type="auto"/>
        <w:jc w:val="left"/>
        <w:tblInd w:w="955" w:type="dxa"/>
        <w:tblLayout w:type="fixed"/>
        <w:tblCellMar>
          <w:top w:w="0" w:type="dxa"/>
          <w:left w:w="0" w:type="dxa"/>
          <w:bottom w:w="0" w:type="dxa"/>
          <w:right w:w="0" w:type="dxa"/>
        </w:tblCellMar>
        <w:tblLook w:val="01E0"/>
      </w:tblPr>
      <w:tblGrid>
        <w:gridCol w:w="5206"/>
        <w:gridCol w:w="2522"/>
      </w:tblGrid>
      <w:tr>
        <w:trPr>
          <w:trHeight w:val="342" w:hRule="exact"/>
        </w:trPr>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417"/>
              <w:jc w:val="right"/>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74,812.50</w:t>
            </w:r>
          </w:p>
        </w:tc>
      </w:tr>
      <w:tr>
        <w:trPr>
          <w:trHeight w:val="343" w:hRule="exact"/>
        </w:trPr>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417"/>
              <w:jc w:val="righ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74,812.50</w:t>
            </w:r>
          </w:p>
        </w:tc>
      </w:tr>
    </w:tbl>
    <w:p>
      <w:pPr>
        <w:pStyle w:val="BodyText"/>
        <w:spacing w:line="300" w:lineRule="auto" w:before="10"/>
        <w:ind w:left="354" w:right="1152"/>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日，在所有其他变量保持不变的情况下，如果人民币对美元的远期汇率升值或贬值</w:t>
      </w:r>
      <w:r>
        <w:rPr>
          <w:rFonts w:ascii="Times New Roman" w:hAnsi="Times New Roman" w:cs="Times New Roman" w:eastAsia="Times New Roman" w:hint="default"/>
        </w:rPr>
        <w:t>5%</w:t>
      </w:r>
      <w:r>
        <w:rPr/>
        <w:t>，则公司将减少或增 加利润总额</w:t>
      </w:r>
      <w:r>
        <w:rPr>
          <w:rFonts w:ascii="Times New Roman" w:hAnsi="Times New Roman" w:cs="Times New Roman" w:eastAsia="Times New Roman" w:hint="default"/>
        </w:rPr>
        <w:t>489,202.50</w:t>
      </w:r>
      <w:r>
        <w:rPr/>
        <w:t>元。管理层认为</w:t>
      </w:r>
      <w:r>
        <w:rPr>
          <w:rFonts w:ascii="Times New Roman" w:hAnsi="Times New Roman" w:cs="Times New Roman" w:eastAsia="Times New Roman" w:hint="default"/>
        </w:rPr>
        <w:t>5%</w:t>
      </w:r>
      <w:r>
        <w:rPr/>
        <w:t>合理反映了下一年度人民币对美元可能发生变动的合理范围。</w:t>
      </w:r>
    </w:p>
    <w:p>
      <w:pPr>
        <w:pStyle w:val="BodyText"/>
        <w:spacing w:line="312" w:lineRule="auto" w:before="13"/>
        <w:ind w:left="354" w:right="84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r>
        <w:rPr>
          <w:w w:val="99"/>
        </w:rPr>
        <w:t> </w:t>
      </w:r>
      <w:r>
        <w:rPr>
          <w:spacing w:val="-2"/>
        </w:rPr>
        <w:t>流动性风险，是指企业在履行以交付现金或其他金融资产的方式结算的义务时发生资金短缺的风险。本公司的政策是确保拥</w:t>
      </w:r>
      <w:r>
        <w:rPr>
          <w:spacing w:val="-65"/>
        </w:rPr>
        <w:t> </w:t>
      </w:r>
      <w:r>
        <w:rPr>
          <w:spacing w:val="-65"/>
        </w:rPr>
      </w:r>
      <w:r>
        <w:rPr>
          <w:spacing w:val="-2"/>
        </w:rPr>
        <w:t>有充足的现金以偿还到期债务。流动性风险由本公司的财务部门集中控制。财务部门通过监控现金余额、可随时变现的有价</w:t>
      </w:r>
      <w:r>
        <w:rPr>
          <w:spacing w:val="-67"/>
        </w:rPr>
        <w:t> </w:t>
      </w:r>
      <w:r>
        <w:rPr>
          <w:spacing w:val="-67"/>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7"/>
        <w:rPr>
          <w:rFonts w:ascii="宋体" w:hAnsi="宋体" w:cs="宋体" w:eastAsia="宋体" w:hint="default"/>
          <w:sz w:val="19"/>
          <w:szCs w:val="19"/>
        </w:rPr>
      </w:pPr>
    </w:p>
    <w:p>
      <w:pPr>
        <w:pStyle w:val="Heading2"/>
        <w:spacing w:line="240" w:lineRule="auto"/>
        <w:ind w:left="354" w:right="841"/>
        <w:jc w:val="left"/>
        <w:rPr>
          <w:b w:val="0"/>
          <w:bCs w:val="0"/>
        </w:rPr>
      </w:pPr>
      <w:bookmarkStart w:name="十一、公允价值的披露" w:id="424"/>
      <w:bookmarkEnd w:id="42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841"/>
        <w:jc w:val="left"/>
        <w:rPr>
          <w:b w:val="0"/>
          <w:bCs w:val="0"/>
        </w:rPr>
      </w:pPr>
      <w:bookmarkStart w:name="1、以公允价值计量的资产和负债的期末公允价值" w:id="425"/>
      <w:bookmarkEnd w:id="42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399"/>
        <w:gridCol w:w="1989"/>
        <w:gridCol w:w="1913"/>
        <w:gridCol w:w="1913"/>
        <w:gridCol w:w="1901"/>
      </w:tblGrid>
      <w:tr>
        <w:trPr>
          <w:trHeight w:val="206"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1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1" w:hRule="exact"/>
        </w:trPr>
        <w:tc>
          <w:tcPr>
            <w:tcW w:w="2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7716"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9" w:type="dxa"/>
            <w:vMerge/>
            <w:tcBorders>
              <w:left w:val="single" w:sz="4" w:space="0" w:color="000000"/>
              <w:bottom w:val="nil" w:sz="6" w:space="0" w:color="auto"/>
              <w:right w:val="single" w:sz="4" w:space="0" w:color="000000"/>
            </w:tcBorders>
            <w:shd w:val="clear" w:color="auto" w:fill="D2D2D2"/>
          </w:tcPr>
          <w:p>
            <w:pPr/>
          </w:p>
        </w:tc>
        <w:tc>
          <w:tcPr>
            <w:tcW w:w="1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8"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5"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（一）以公允价值计量且变动 计入当期损益的金融资产</w:t>
            </w:r>
          </w:p>
        </w:tc>
        <w:tc>
          <w:tcPr>
            <w:tcW w:w="19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8" w:right="0"/>
              <w:jc w:val="left"/>
              <w:rPr>
                <w:rFonts w:ascii="Times New Roman" w:hAnsi="Times New Roman" w:cs="Times New Roman" w:eastAsia="Times New Roman" w:hint="default"/>
                <w:sz w:val="18"/>
                <w:szCs w:val="18"/>
              </w:rPr>
            </w:pPr>
            <w:r>
              <w:rPr>
                <w:rFonts w:ascii="Times New Roman"/>
                <w:sz w:val="18"/>
              </w:rPr>
              <w:t>74,812.50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0" w:right="0"/>
              <w:jc w:val="left"/>
              <w:rPr>
                <w:rFonts w:ascii="Times New Roman" w:hAnsi="Times New Roman" w:cs="Times New Roman" w:eastAsia="Times New Roman" w:hint="default"/>
                <w:sz w:val="18"/>
                <w:szCs w:val="18"/>
              </w:rPr>
            </w:pPr>
            <w:r>
              <w:rPr>
                <w:rFonts w:ascii="Times New Roman"/>
                <w:sz w:val="18"/>
              </w:rPr>
              <w:t>74,812.50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78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387"/>
        <w:gridCol w:w="2000"/>
        <w:gridCol w:w="1913"/>
        <w:gridCol w:w="1913"/>
        <w:gridCol w:w="191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20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20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74,812.50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74,812.50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354" w:right="841"/>
        <w:jc w:val="left"/>
        <w:rPr>
          <w:b w:val="0"/>
          <w:bCs w:val="0"/>
        </w:rPr>
      </w:pPr>
      <w:bookmarkStart w:name="2、持续和非持续第一层次公允价值计量项目市价的确定依据" w:id="426"/>
      <w:bookmarkEnd w:id="42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354" w:right="841"/>
        <w:jc w:val="left"/>
      </w:pPr>
      <w:r>
        <w:rPr/>
        <w:t>业务办理所在银行的相同类别产品外汇掉期结汇价格。</w:t>
      </w:r>
    </w:p>
    <w:p>
      <w:pPr>
        <w:spacing w:line="240" w:lineRule="auto" w:before="12"/>
        <w:rPr>
          <w:rFonts w:ascii="宋体" w:hAnsi="宋体" w:cs="宋体" w:eastAsia="宋体" w:hint="default"/>
          <w:sz w:val="26"/>
          <w:szCs w:val="26"/>
        </w:rPr>
      </w:pPr>
    </w:p>
    <w:p>
      <w:pPr>
        <w:pStyle w:val="Heading3"/>
        <w:spacing w:line="240" w:lineRule="auto"/>
        <w:ind w:left="354" w:right="841"/>
        <w:jc w:val="left"/>
        <w:rPr>
          <w:b w:val="0"/>
          <w:bCs w:val="0"/>
        </w:rPr>
      </w:pPr>
      <w:bookmarkStart w:name="3、持续和非持续第二层次公允价值计量项目，采用的估值技术和重要参数的定性及定量信" w:id="427"/>
      <w:bookmarkEnd w:id="42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841"/>
        <w:jc w:val="left"/>
        <w:rPr>
          <w:b w:val="0"/>
          <w:bCs w:val="0"/>
        </w:rPr>
      </w:pPr>
      <w:bookmarkStart w:name="4、持续和非持续第三层次公允价值计量项目，采用的估值技术和重要参数的定性及定量信" w:id="428"/>
      <w:bookmarkEnd w:id="42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54" w:right="841"/>
        <w:jc w:val="left"/>
        <w:rPr>
          <w:b w:val="0"/>
          <w:bCs w:val="0"/>
        </w:rPr>
      </w:pPr>
      <w:bookmarkStart w:name="5、持续的第三层次公允价值计量项目，期初与期末账面价值间的调节信息及不可观察参数" w:id="429"/>
      <w:bookmarkEnd w:id="42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841"/>
        <w:jc w:val="left"/>
        <w:rPr>
          <w:b w:val="0"/>
          <w:bCs w:val="0"/>
        </w:rPr>
      </w:pPr>
      <w:bookmarkStart w:name="6、持续的公允价值计量项目，本期内发生各层级之间转换的，转换的原因及确定转换时点" w:id="430"/>
      <w:bookmarkEnd w:id="43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841"/>
        <w:jc w:val="left"/>
        <w:rPr>
          <w:b w:val="0"/>
          <w:bCs w:val="0"/>
        </w:rPr>
      </w:pPr>
      <w:bookmarkStart w:name="7、本期内发生的估值技术变更及变更原因" w:id="431"/>
      <w:bookmarkEnd w:id="43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841"/>
        <w:jc w:val="left"/>
        <w:rPr>
          <w:b w:val="0"/>
          <w:bCs w:val="0"/>
        </w:rPr>
      </w:pPr>
      <w:bookmarkStart w:name="8、不以公允价值计量的金融资产和金融负债的公允价值情况" w:id="432"/>
      <w:bookmarkEnd w:id="43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354" w:right="7537" w:firstLine="0"/>
        <w:jc w:val="left"/>
        <w:rPr>
          <w:rFonts w:ascii="宋体" w:hAnsi="宋体" w:cs="宋体" w:eastAsia="宋体" w:hint="default"/>
          <w:sz w:val="21"/>
          <w:szCs w:val="21"/>
        </w:rPr>
      </w:pPr>
      <w:bookmarkStart w:name="9、其他" w:id="433"/>
      <w:bookmarkEnd w:id="43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4"/>
      <w:bookmarkEnd w:id="43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5"/>
      <w:bookmarkEnd w:id="43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3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354" w:right="8412"/>
        <w:jc w:val="left"/>
      </w:pPr>
      <w:r>
        <w:rPr/>
        <w:t>本企业的母公司情况的说明 本企业最终控制方是余荣清。 其他说明：</w:t>
      </w:r>
    </w:p>
    <w:p>
      <w:pPr>
        <w:pStyle w:val="BodyText"/>
        <w:spacing w:line="300" w:lineRule="auto" w:before="26"/>
        <w:ind w:left="354" w:right="1197"/>
        <w:jc w:val="left"/>
      </w:pPr>
      <w:r>
        <w:rPr/>
        <w:t>余荣清为本公司控股股东、实际控制人，直接持有本公司</w:t>
      </w:r>
      <w:r>
        <w:rPr>
          <w:rFonts w:ascii="Times New Roman" w:hAnsi="Times New Roman" w:cs="Times New Roman" w:eastAsia="Times New Roman" w:hint="default"/>
        </w:rPr>
        <w:t>39.52%</w:t>
      </w:r>
      <w:r>
        <w:rPr/>
        <w:t>的股份；同时通过苏州恒久荣盛科技投资有限公司间接持 有本公司</w:t>
      </w:r>
      <w:r>
        <w:rPr>
          <w:rFonts w:ascii="Times New Roman" w:hAnsi="Times New Roman" w:cs="Times New Roman" w:eastAsia="Times New Roman" w:hint="default"/>
        </w:rPr>
        <w:t>4.31%</w:t>
      </w:r>
      <w:r>
        <w:rPr/>
        <w:t>的股份。</w:t>
      </w:r>
    </w:p>
    <w:p>
      <w:pPr>
        <w:spacing w:line="240" w:lineRule="auto" w:before="1"/>
        <w:rPr>
          <w:rFonts w:ascii="宋体" w:hAnsi="宋体" w:cs="宋体" w:eastAsia="宋体" w:hint="default"/>
          <w:sz w:val="22"/>
          <w:szCs w:val="22"/>
        </w:rPr>
      </w:pPr>
    </w:p>
    <w:p>
      <w:pPr>
        <w:pStyle w:val="Heading3"/>
        <w:spacing w:line="240" w:lineRule="auto"/>
        <w:ind w:left="354" w:right="841"/>
        <w:jc w:val="left"/>
        <w:rPr>
          <w:b w:val="0"/>
          <w:bCs w:val="0"/>
        </w:rPr>
      </w:pPr>
      <w:bookmarkStart w:name="2、本企业的子公司情况" w:id="436"/>
      <w:bookmarkEnd w:id="43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354" w:right="841"/>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3"/>
        <w:spacing w:line="240" w:lineRule="auto"/>
        <w:ind w:left="354" w:right="841"/>
        <w:jc w:val="left"/>
        <w:rPr>
          <w:b w:val="0"/>
          <w:bCs w:val="0"/>
        </w:rPr>
      </w:pPr>
      <w:bookmarkStart w:name="3、本企业合营和联营企业情况" w:id="437"/>
      <w:bookmarkEnd w:id="43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354" w:right="2292"/>
        <w:jc w:val="left"/>
      </w:pPr>
      <w:r>
        <w:rPr/>
        <w:t>本企业重要的合营或联营企业详见附注九、在其他主体中的权益。 本期与本公司发生关联方交易，或前期与本公司发生关联方交易形成余额的其他合营或联营企业情况如下：</w:t>
      </w:r>
    </w:p>
    <w:p>
      <w:pPr>
        <w:spacing w:after="0" w:line="357" w:lineRule="auto"/>
        <w:jc w:val="left"/>
        <w:sectPr>
          <w:pgSz w:w="11910" w:h="16840"/>
          <w:pgMar w:header="877" w:footer="979" w:top="1100" w:bottom="1160" w:left="7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bl>
    <w:p>
      <w:pPr>
        <w:pStyle w:val="BodyText"/>
        <w:spacing w:line="240" w:lineRule="auto" w:before="51"/>
        <w:ind w:left="214"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14" w:right="1121"/>
        <w:jc w:val="left"/>
        <w:rPr>
          <w:b w:val="0"/>
          <w:bCs w:val="0"/>
        </w:rPr>
      </w:pPr>
      <w:bookmarkStart w:name="4、其他关联方情况" w:id="438"/>
      <w:bookmarkEnd w:id="43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bl>
    <w:p>
      <w:pPr>
        <w:pStyle w:val="BodyText"/>
        <w:spacing w:line="240" w:lineRule="auto" w:before="51"/>
        <w:ind w:left="214"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14" w:right="1121"/>
        <w:jc w:val="left"/>
        <w:rPr>
          <w:b w:val="0"/>
          <w:bCs w:val="0"/>
        </w:rPr>
      </w:pPr>
      <w:bookmarkStart w:name="5、关联交易情况" w:id="439"/>
      <w:bookmarkEnd w:id="43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121"/>
        <w:jc w:val="left"/>
        <w:rPr>
          <w:b w:val="0"/>
          <w:bCs w:val="0"/>
        </w:rPr>
      </w:pPr>
      <w:bookmarkStart w:name="（1）购销商品、提供和接受劳务的关联交易" w:id="440"/>
      <w:bookmarkEnd w:id="44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214" w:right="112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24"/>
        <w:gridCol w:w="1454"/>
        <w:gridCol w:w="1454"/>
        <w:gridCol w:w="1708"/>
        <w:gridCol w:w="1707"/>
        <w:gridCol w:w="1708"/>
      </w:tblGrid>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9"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珠海宝利通耗材有限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硒鼓</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2,415,004.58</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3,125,839.31</w:t>
            </w:r>
          </w:p>
        </w:tc>
      </w:tr>
      <w:tr>
        <w:trPr>
          <w:trHeight w:val="71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深圳市壹办公科技股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代理费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2,626.39</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1,230.77</w:t>
            </w:r>
          </w:p>
        </w:tc>
      </w:tr>
      <w:tr>
        <w:trPr>
          <w:trHeight w:val="71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珠海东越数码科技有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硒鼓</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3,856,935.96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7,343,147.29</w:t>
            </w:r>
          </w:p>
        </w:tc>
      </w:tr>
      <w:tr>
        <w:trPr>
          <w:trHeight w:val="71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珠海东越数码科技有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2,078,106.45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2,353,319.78</w:t>
            </w:r>
          </w:p>
        </w:tc>
      </w:tr>
      <w:tr>
        <w:trPr>
          <w:trHeight w:val="71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亿码科技（苏州）有限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硒鼓</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3,756,088.09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4,923,614.59</w:t>
            </w:r>
          </w:p>
        </w:tc>
      </w:tr>
      <w:tr>
        <w:trPr>
          <w:trHeight w:val="71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武汉宝特龙科技股份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碳粉</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22,454,243.32</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34,563,004.79</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17,747,151.74</w:t>
            </w:r>
          </w:p>
        </w:tc>
      </w:tr>
    </w:tbl>
    <w:p>
      <w:pPr>
        <w:pStyle w:val="BodyText"/>
        <w:spacing w:line="240" w:lineRule="auto" w:before="51"/>
        <w:ind w:left="214" w:right="1121"/>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21,283,094.98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7,309,895.10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17,702,759.27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14,113,566.00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6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9,125,773.25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10,128,883.42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光导鼓等打印耗材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1,947,043.80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933,075.69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打印耗材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6,215.53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1,782.05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保理利息及服务收入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366,419.90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保理利息及服务收入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737,501.37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保理利息及服务收入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1,174,236.29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52,343,044.39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32,487,202.26</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41"/>
      <w:bookmarkEnd w:id="44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42"/>
      <w:bookmarkEnd w:id="44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2"/>
        <w:ind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43"/>
      <w:bookmarkEnd w:id="44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0"/>
        <w:jc w:val="left"/>
      </w:pPr>
      <w:r>
        <w:rPr/>
        <w:t>关联担保情况说明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44"/>
      <w:bookmarkEnd w:id="44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45"/>
      <w:bookmarkEnd w:id="44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46"/>
      <w:bookmarkEnd w:id="44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1,764,156.00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1,490,700.10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47"/>
      <w:bookmarkEnd w:id="44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以受让应收账款的方式提供贸易融资：</w:t>
      </w:r>
    </w:p>
    <w:p>
      <w:pPr>
        <w:spacing w:line="240" w:lineRule="auto" w:before="11"/>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2542"/>
        <w:gridCol w:w="1161"/>
        <w:gridCol w:w="1362"/>
        <w:gridCol w:w="1341"/>
        <w:gridCol w:w="1410"/>
      </w:tblGrid>
      <w:tr>
        <w:trPr>
          <w:trHeight w:val="342"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发放保理款</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4"/>
              <w:jc w:val="right"/>
              <w:rPr>
                <w:rFonts w:ascii="宋体" w:hAnsi="宋体" w:cs="宋体" w:eastAsia="宋体" w:hint="default"/>
                <w:sz w:val="18"/>
                <w:szCs w:val="18"/>
              </w:rPr>
            </w:pPr>
            <w:r>
              <w:rPr>
                <w:rFonts w:ascii="宋体" w:hAnsi="宋体" w:cs="宋体" w:eastAsia="宋体" w:hint="default"/>
                <w:sz w:val="18"/>
                <w:szCs w:val="18"/>
              </w:rPr>
              <w:t>收回保理款</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6,460,000.00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2"/>
              <w:jc w:val="right"/>
              <w:rPr>
                <w:rFonts w:ascii="Times New Roman" w:hAnsi="Times New Roman" w:cs="Times New Roman" w:eastAsia="Times New Roman" w:hint="default"/>
                <w:sz w:val="18"/>
                <w:szCs w:val="18"/>
              </w:rPr>
            </w:pPr>
            <w:r>
              <w:rPr>
                <w:rFonts w:ascii="Times New Roman"/>
                <w:spacing w:val="-1"/>
                <w:sz w:val="18"/>
              </w:rPr>
              <w:t>8,710,000.00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3,750,000.00</w:t>
            </w:r>
          </w:p>
        </w:tc>
      </w:tr>
      <w:tr>
        <w:trPr>
          <w:trHeight w:val="342"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116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29,800,000.00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6"/>
              <w:jc w:val="right"/>
              <w:rPr>
                <w:rFonts w:ascii="Times New Roman" w:hAnsi="Times New Roman" w:cs="Times New Roman" w:eastAsia="Times New Roman" w:hint="default"/>
                <w:sz w:val="18"/>
                <w:szCs w:val="18"/>
              </w:rPr>
            </w:pPr>
            <w:r>
              <w:rPr>
                <w:rFonts w:ascii="Times New Roman"/>
                <w:spacing w:val="-1"/>
                <w:sz w:val="18"/>
              </w:rPr>
              <w:t>21,030,000.00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8,770,000.00</w:t>
            </w:r>
          </w:p>
        </w:tc>
      </w:tr>
      <w:tr>
        <w:trPr>
          <w:trHeight w:val="34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16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8,000,000.00</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6、关联方应收应付款项" w:id="448"/>
      <w:bookmarkEnd w:id="44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49"/>
      <w:bookmarkEnd w:id="44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2836"/>
        <w:gridCol w:w="1417"/>
        <w:gridCol w:w="1277"/>
        <w:gridCol w:w="1559"/>
        <w:gridCol w:w="1344"/>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271,000.00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2836"/>
        <w:gridCol w:w="1417"/>
        <w:gridCol w:w="1277"/>
        <w:gridCol w:w="1559"/>
        <w:gridCol w:w="1344"/>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13,108,735.60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294,283.18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3,384,525.33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169,226.27</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深圳市壹办公科技股份有限公司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6,910,253.62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345,512.68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1,969,586.27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98,479.31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14,259,404.16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543,695.21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17,464,391.36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603,219.57</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1,266,119.19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63,305.96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1,056,967.87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52,848.39</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8,837,265.58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44,510.78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1,163,656.86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1,502,284.46</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2,381,466.57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487,705.63</w:t>
            </w: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50"/>
      <w:bookmarkEnd w:id="45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3138"/>
        <w:gridCol w:w="1647"/>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7,982.90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138,846.91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266,743.08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亿码科技（苏州）有限公司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18,168.66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128,203.85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珠海宝利通耗材有限公司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武汉宝特龙科技股份有限公司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珠海东越数码科技有限公司</w:t>
            </w:r>
          </w:p>
        </w:tc>
        <w:tc>
          <w:tcPr>
            <w:tcW w:w="1647"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51"/>
      <w:bookmarkEnd w:id="45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2"/>
      <w:bookmarkEnd w:id="45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3"/>
      <w:bookmarkEnd w:id="453"/>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4"/>
      <w:bookmarkEnd w:id="45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55"/>
      <w:bookmarkEnd w:id="45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56"/>
      <w:bookmarkEnd w:id="45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4、股份支付的修改、终止情况" w:id="457"/>
      <w:bookmarkEnd w:id="45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spacing w:line="487" w:lineRule="auto" w:before="0"/>
        <w:ind w:left="154" w:right="7872" w:firstLine="0"/>
        <w:jc w:val="left"/>
        <w:rPr>
          <w:rFonts w:ascii="宋体" w:hAnsi="宋体" w:cs="宋体" w:eastAsia="宋体" w:hint="default"/>
          <w:sz w:val="21"/>
          <w:szCs w:val="21"/>
        </w:rPr>
      </w:pPr>
      <w:bookmarkStart w:name="5、其他" w:id="458"/>
      <w:bookmarkEnd w:id="45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0"/>
      <w:bookmarkEnd w:id="460"/>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6072"/>
        <w:jc w:val="left"/>
      </w:pPr>
      <w:r>
        <w:rPr/>
        <w:t>资产负债表日存在的重要承诺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日，本公司无需要披露的重要承诺事项。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或有事项" w:id="461"/>
      <w:bookmarkEnd w:id="46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62"/>
      <w:bookmarkEnd w:id="46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463"/>
      <w:bookmarkEnd w:id="46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4"/>
      <w:bookmarkEnd w:id="4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5"/>
      <w:bookmarkEnd w:id="46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6"/>
      <w:bookmarkEnd w:id="46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67"/>
      <w:bookmarkEnd w:id="46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68"/>
      <w:bookmarkEnd w:id="46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69"/>
      <w:bookmarkEnd w:id="46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right="0"/>
        <w:jc w:val="left"/>
      </w:pP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日起陆续购买各类理财产品等共计投资</w:t>
      </w:r>
      <w:r>
        <w:rPr>
          <w:rFonts w:ascii="Times New Roman" w:hAnsi="Times New Roman" w:cs="Times New Roman" w:eastAsia="Times New Roman" w:hint="default"/>
        </w:rPr>
        <w:t>6,420.00</w:t>
      </w:r>
      <w:r>
        <w:rPr/>
        <w:t>万元。</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ind w:right="0"/>
        <w:jc w:val="left"/>
      </w:pPr>
      <w:bookmarkStart w:name="2、根据2019年4月25日公司第四届董事会第九次会议决议，公司拟以2018年1" w:id="470"/>
      <w:bookmarkEnd w:id="470"/>
      <w:r>
        <w:rPr/>
      </w:r>
      <w:r>
        <w:rPr>
          <w:rFonts w:ascii="Times New Roman" w:hAnsi="Times New Roman" w:cs="Times New Roman" w:eastAsia="Times New Roman" w:hint="default"/>
        </w:rPr>
        <w:t>2</w:t>
      </w:r>
      <w:r>
        <w:rPr/>
        <w:t>、根据</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日公司第四届董事会第九次会议决议，公司拟以</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日公司总股本</w:t>
      </w:r>
      <w:r>
        <w:rPr>
          <w:spacing w:val="-37"/>
        </w:rPr>
        <w:t> </w:t>
      </w:r>
      <w:r>
        <w:rPr>
          <w:rFonts w:ascii="Times New Roman" w:hAnsi="Times New Roman" w:cs="Times New Roman" w:eastAsia="Times New Roman" w:hint="default"/>
        </w:rPr>
        <w:t>192,000,000</w:t>
      </w:r>
      <w:r>
        <w:rPr>
          <w:rFonts w:ascii="Times New Roman" w:hAnsi="Times New Roman" w:cs="Times New Roman" w:eastAsia="Times New Roman" w:hint="default"/>
          <w:spacing w:val="-9"/>
        </w:rPr>
        <w:t> </w:t>
      </w:r>
      <w:r>
        <w:rPr/>
        <w:t>股为基</w:t>
      </w:r>
    </w:p>
    <w:p>
      <w:pPr>
        <w:pStyle w:val="BodyText"/>
        <w:spacing w:line="240" w:lineRule="auto" w:before="64"/>
        <w:ind w:right="0"/>
        <w:jc w:val="left"/>
      </w:pPr>
      <w:r>
        <w:rPr/>
        <w:t>数，向全体股东每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股派现金股利</w:t>
      </w:r>
      <w:r>
        <w:rPr>
          <w:spacing w:val="-49"/>
        </w:rPr>
        <w:t> </w:t>
      </w:r>
      <w:r>
        <w:rPr>
          <w:rFonts w:ascii="Times New Roman" w:hAnsi="Times New Roman" w:cs="Times New Roman" w:eastAsia="Times New Roman" w:hint="default"/>
        </w:rPr>
        <w:t>0.5</w:t>
      </w:r>
      <w:r>
        <w:rPr>
          <w:rFonts w:ascii="Times New Roman" w:hAnsi="Times New Roman" w:cs="Times New Roman" w:eastAsia="Times New Roman" w:hint="default"/>
          <w:spacing w:val="-12"/>
        </w:rPr>
        <w:t> </w:t>
      </w:r>
      <w:r>
        <w:rPr/>
        <w:t>元（含税），合计派发现金股利</w:t>
      </w:r>
      <w:r>
        <w:rPr>
          <w:spacing w:val="-48"/>
        </w:rPr>
        <w:t> </w:t>
      </w:r>
      <w:r>
        <w:rPr>
          <w:rFonts w:ascii="Times New Roman" w:hAnsi="Times New Roman" w:cs="Times New Roman" w:eastAsia="Times New Roman" w:hint="default"/>
        </w:rPr>
        <w:t>9,600,000</w:t>
      </w:r>
      <w:r>
        <w:rPr>
          <w:rFonts w:ascii="Times New Roman" w:hAnsi="Times New Roman" w:cs="Times New Roman" w:eastAsia="Times New Roman" w:hint="default"/>
          <w:spacing w:val="-12"/>
        </w:rPr>
        <w:t> </w:t>
      </w:r>
      <w:r>
        <w:rPr/>
        <w:t>元；不送红股，以资本公积向全体股东每</w:t>
      </w:r>
    </w:p>
    <w:p>
      <w:pPr>
        <w:pStyle w:val="BodyText"/>
        <w:spacing w:line="240" w:lineRule="auto" w:before="64"/>
        <w:ind w:right="0"/>
        <w:jc w:val="left"/>
      </w:pPr>
      <w:r>
        <w:rPr/>
        <w:t>十股转增</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股，剩余未分配利润结转以后年度。该分配预案需经股东大会审议通过后实施。</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十六、其他重要事项" w:id="471"/>
      <w:bookmarkEnd w:id="47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72"/>
      <w:bookmarkEnd w:id="47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73"/>
      <w:bookmarkEnd w:id="47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74"/>
      <w:bookmarkEnd w:id="47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75"/>
      <w:bookmarkEnd w:id="47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76"/>
      <w:bookmarkEnd w:id="47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77"/>
      <w:bookmarkEnd w:id="47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78"/>
      <w:bookmarkEnd w:id="47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79"/>
      <w:bookmarkEnd w:id="47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80"/>
      <w:bookmarkEnd w:id="48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分部信息" w:id="481"/>
      <w:bookmarkEnd w:id="48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82"/>
      <w:bookmarkEnd w:id="48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83"/>
      <w:bookmarkEnd w:id="48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84"/>
      <w:bookmarkEnd w:id="48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85"/>
      <w:bookmarkEnd w:id="48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86"/>
      <w:bookmarkEnd w:id="48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612" w:firstLine="0"/>
        <w:jc w:val="left"/>
        <w:rPr>
          <w:rFonts w:ascii="宋体" w:hAnsi="宋体" w:cs="宋体" w:eastAsia="宋体" w:hint="default"/>
          <w:sz w:val="21"/>
          <w:szCs w:val="21"/>
        </w:rPr>
      </w:pPr>
      <w:bookmarkStart w:name="8、其他" w:id="487"/>
      <w:bookmarkEnd w:id="48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8"/>
      <w:bookmarkEnd w:id="48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89"/>
      <w:bookmarkEnd w:id="48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89,797,300.55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58,094,790.73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90,659,238.55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58,386,280.73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90"/>
      <w:bookmarkEnd w:id="49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291,490.00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291,490.00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91"/>
      <w:bookmarkEnd w:id="491"/>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794" w:right="0"/>
        <w:jc w:val="left"/>
        <w:rPr>
          <w:b w:val="0"/>
          <w:bCs w:val="0"/>
        </w:rPr>
      </w:pPr>
      <w:bookmarkStart w:name="（2）应收账款" w:id="492"/>
      <w:bookmarkEnd w:id="49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794"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66"/>
        <w:gridCol w:w="1121"/>
        <w:gridCol w:w="762"/>
        <w:gridCol w:w="1093"/>
        <w:gridCol w:w="710"/>
        <w:gridCol w:w="1276"/>
        <w:gridCol w:w="1276"/>
        <w:gridCol w:w="710"/>
        <w:gridCol w:w="1084"/>
        <w:gridCol w:w="568"/>
        <w:gridCol w:w="1134"/>
      </w:tblGrid>
      <w:tr>
        <w:trPr>
          <w:trHeight w:val="398" w:hRule="exact"/>
        </w:trPr>
        <w:tc>
          <w:tcPr>
            <w:tcW w:w="1266" w:type="dxa"/>
            <w:vMerge w:val="restart"/>
            <w:tcBorders>
              <w:top w:val="single" w:sz="4" w:space="0" w:color="000000"/>
              <w:left w:val="single" w:sz="4" w:space="0" w:color="000000"/>
              <w:right w:val="single" w:sz="4" w:space="0" w:color="000000"/>
            </w:tcBorders>
            <w:shd w:val="clear" w:color="auto" w:fill="D2D2D2"/>
          </w:tcPr>
          <w:p>
            <w:pPr/>
          </w:p>
        </w:tc>
        <w:tc>
          <w:tcPr>
            <w:tcW w:w="49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266" w:type="dxa"/>
            <w:vMerge/>
            <w:tcBorders>
              <w:left w:val="single" w:sz="4" w:space="0" w:color="000000"/>
              <w:bottom w:val="nil" w:sz="6" w:space="0" w:color="auto"/>
              <w:right w:val="single" w:sz="4" w:space="0" w:color="000000"/>
            </w:tcBorders>
            <w:shd w:val="clear" w:color="auto" w:fill="D2D2D2"/>
          </w:tcPr>
          <w:p>
            <w:pPr/>
          </w:p>
        </w:tc>
        <w:tc>
          <w:tcPr>
            <w:tcW w:w="18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类别</w:t>
            </w:r>
          </w:p>
        </w:tc>
        <w:tc>
          <w:tcPr>
            <w:tcW w:w="1883" w:type="dxa"/>
            <w:gridSpan w:val="2"/>
            <w:vMerge/>
            <w:tcBorders>
              <w:left w:val="single" w:sz="4" w:space="0" w:color="000000"/>
              <w:bottom w:val="single" w:sz="4" w:space="0" w:color="000000"/>
              <w:right w:val="single" w:sz="4" w:space="0" w:color="000000"/>
            </w:tcBorders>
            <w:shd w:val="clear" w:color="auto" w:fill="D2D2D2"/>
          </w:tcPr>
          <w:p>
            <w:pPr/>
          </w:p>
        </w:tc>
        <w:tc>
          <w:tcPr>
            <w:tcW w:w="1803"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65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66" w:type="dxa"/>
            <w:vMerge/>
            <w:tcBorders>
              <w:left w:val="single" w:sz="4" w:space="0" w:color="000000"/>
              <w:bottom w:val="nil" w:sz="6" w:space="0" w:color="auto"/>
              <w:right w:val="single" w:sz="4" w:space="0" w:color="000000"/>
            </w:tcBorders>
            <w:shd w:val="clear" w:color="auto" w:fill="D2D2D2"/>
          </w:tcPr>
          <w:p>
            <w:pP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60" w:right="77"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266" w:type="dxa"/>
            <w:vMerge w:val="restart"/>
            <w:tcBorders>
              <w:top w:val="nil" w:sz="6" w:space="0" w:color="auto"/>
              <w:left w:val="single" w:sz="4" w:space="0" w:color="000000"/>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66"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2"/>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1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93,826,074.52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4,028,773.97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89,797,300.55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61,615,785.85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3,520,995.12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58,094,790.73</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93,826,074.52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4,028,773.97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89,797,300.55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61,615,785.85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3,520,995.12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58,094,790.73</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79" w:header="877" w:top="1100" w:bottom="1160" w:left="340" w:right="0"/>
          <w:pgNumType w:start="163"/>
        </w:sectPr>
      </w:pPr>
    </w:p>
    <w:p>
      <w:pPr>
        <w:pStyle w:val="BodyText"/>
        <w:spacing w:line="240" w:lineRule="auto" w:before="51"/>
        <w:ind w:left="794" w:right="-20"/>
        <w:jc w:val="left"/>
      </w:pPr>
      <w:r>
        <w:rPr/>
        <w:t>期末单项金额重大并单项计提坏账准备的应收账款：</w:t>
      </w:r>
    </w:p>
    <w:p>
      <w:pPr>
        <w:pStyle w:val="BodyText"/>
        <w:spacing w:line="338" w:lineRule="auto" w:before="117"/>
        <w:ind w:left="79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7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793" w:right="0"/>
        <w:jc w:val="left"/>
      </w:pPr>
      <w:r>
        <w:rPr/>
        <w:t>单位： 元</w:t>
      </w:r>
    </w:p>
    <w:p>
      <w:pPr>
        <w:spacing w:after="0" w:line="240" w:lineRule="auto"/>
        <w:jc w:val="left"/>
        <w:sectPr>
          <w:type w:val="continuous"/>
          <w:pgSz w:w="11910" w:h="16840"/>
          <w:pgMar w:top="1060" w:bottom="1160" w:left="340" w:right="0"/>
          <w:cols w:num="2" w:equalWidth="0">
            <w:col w:w="4935" w:space="3895"/>
            <w:col w:w="2740"/>
          </w:cols>
        </w:sectPr>
      </w:pPr>
    </w:p>
    <w:p>
      <w:pPr>
        <w:spacing w:line="240" w:lineRule="auto" w:before="13"/>
        <w:rPr>
          <w:rFonts w:ascii="宋体" w:hAnsi="宋体" w:cs="宋体" w:eastAsia="宋体" w:hint="default"/>
          <w:sz w:val="7"/>
          <w:szCs w:val="7"/>
        </w:rPr>
      </w:pPr>
    </w:p>
    <w:tbl>
      <w:tblPr>
        <w:tblW w:w="0" w:type="auto"/>
        <w:jc w:val="left"/>
        <w:tblInd w:w="80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64,434,129.25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3,221,706.46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72,660.25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7,266.03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125,998.47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37,799.54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762,001.94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762,001.94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65,394,789.91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4,028,773.97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340" w:right="0"/>
        </w:sectPr>
      </w:pPr>
    </w:p>
    <w:p>
      <w:pPr>
        <w:pStyle w:val="BodyText"/>
        <w:spacing w:line="360" w:lineRule="auto" w:before="51"/>
        <w:ind w:left="794" w:right="1420"/>
        <w:jc w:val="left"/>
      </w:pPr>
      <w:r>
        <w:rPr/>
        <w:t>确定该组合依据的说明： 组合中，采用余额百分比法计提坏账准备的应收账款：</w:t>
      </w:r>
    </w:p>
    <w:p>
      <w:pPr>
        <w:pStyle w:val="BodyText"/>
        <w:spacing w:line="352" w:lineRule="auto" w:before="26"/>
        <w:ind w:left="794" w:right="17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对合并范围内的关联方款项，不计提坏账准备。 </w:t>
      </w:r>
      <w:r>
        <w:rPr>
          <w:rFonts w:ascii="Times New Roman" w:hAnsi="Times New Roman" w:cs="Times New Roman" w:eastAsia="Times New Roman" w:hint="default"/>
        </w:rPr>
        <w:t>2)</w:t>
      </w:r>
      <w:r>
        <w:rPr/>
        <w:t>本期计提、收回或转回的坏账准备情况</w:t>
      </w:r>
    </w:p>
    <w:p>
      <w:pPr>
        <w:pStyle w:val="BodyText"/>
        <w:spacing w:line="338" w:lineRule="auto" w:before="10"/>
        <w:ind w:left="794" w:right="-18"/>
        <w:jc w:val="left"/>
      </w:pPr>
      <w:r>
        <w:rPr/>
        <w:t>本期计提坏账准备金额</w:t>
      </w:r>
      <w:r>
        <w:rPr>
          <w:spacing w:val="-46"/>
        </w:rPr>
        <w:t> </w:t>
      </w:r>
      <w:r>
        <w:rPr>
          <w:rFonts w:ascii="Times New Roman" w:hAnsi="Times New Roman" w:cs="Times New Roman" w:eastAsia="Times New Roman" w:hint="default"/>
        </w:rPr>
        <w:t>719,032.54</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793" w:right="0"/>
        <w:jc w:val="left"/>
      </w:pPr>
      <w:r>
        <w:rPr/>
        <w:t>单位： 元</w:t>
      </w:r>
    </w:p>
    <w:p>
      <w:pPr>
        <w:spacing w:after="0" w:line="240" w:lineRule="auto"/>
        <w:jc w:val="left"/>
        <w:sectPr>
          <w:type w:val="continuous"/>
          <w:pgSz w:w="11910" w:h="16840"/>
          <w:pgMar w:top="1060" w:bottom="1160" w:left="340" w:right="0"/>
          <w:cols w:num="2" w:equalWidth="0">
            <w:col w:w="6555" w:space="2275"/>
            <w:col w:w="2740"/>
          </w:cols>
        </w:sectPr>
      </w:pPr>
    </w:p>
    <w:p>
      <w:pPr>
        <w:spacing w:line="240" w:lineRule="auto" w:before="1"/>
        <w:rPr>
          <w:rFonts w:ascii="宋体" w:hAnsi="宋体" w:cs="宋体" w:eastAsia="宋体" w:hint="default"/>
          <w:sz w:val="8"/>
          <w:szCs w:val="8"/>
        </w:rPr>
      </w:pPr>
    </w:p>
    <w:tbl>
      <w:tblPr>
        <w:tblW w:w="0" w:type="auto"/>
        <w:jc w:val="left"/>
        <w:tblInd w:w="78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left="794"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after="0" w:line="240" w:lineRule="auto"/>
        <w:jc w:val="right"/>
        <w:sectPr>
          <w:type w:val="continuous"/>
          <w:pgSz w:w="11910" w:h="16840"/>
          <w:pgMar w:top="1060" w:bottom="1160" w:left="34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211,253.69</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pStyle w:val="BodyText"/>
        <w:spacing w:line="240" w:lineRule="auto" w:before="116"/>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755" w:type="dxa"/>
        <w:tblLayout w:type="fixed"/>
        <w:tblCellMar>
          <w:top w:w="0" w:type="dxa"/>
          <w:left w:w="0" w:type="dxa"/>
          <w:bottom w:w="0" w:type="dxa"/>
          <w:right w:w="0" w:type="dxa"/>
        </w:tblCellMar>
        <w:tblLook w:val="01E0"/>
      </w:tblPr>
      <w:tblGrid>
        <w:gridCol w:w="2938"/>
        <w:gridCol w:w="1679"/>
        <w:gridCol w:w="1483"/>
        <w:gridCol w:w="1714"/>
      </w:tblGrid>
      <w:tr>
        <w:trPr>
          <w:trHeight w:val="342" w:hRule="exact"/>
        </w:trPr>
        <w:tc>
          <w:tcPr>
            <w:tcW w:w="2938"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938" w:type="dxa"/>
            <w:vMerge/>
            <w:tcBorders>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31" w:right="17"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28,403,080.21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30.27</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6,851,918.10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342,595.91</w:t>
            </w:r>
          </w:p>
        </w:tc>
      </w:tr>
      <w:tr>
        <w:trPr>
          <w:trHeight w:val="34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4,996,050.22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249,802.51</w:t>
            </w:r>
          </w:p>
        </w:tc>
      </w:tr>
      <w:tr>
        <w:trPr>
          <w:trHeight w:val="34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4,722,352.50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236,117.63</w:t>
            </w:r>
          </w:p>
        </w:tc>
      </w:tr>
      <w:tr>
        <w:trPr>
          <w:trHeight w:val="34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4,588,055.36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4.89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229,402.77</w:t>
            </w:r>
          </w:p>
        </w:tc>
      </w:tr>
      <w:tr>
        <w:trPr>
          <w:trHeight w:val="34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49,561,456.39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52.82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1,057,918.82</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其他应收款" w:id="493"/>
      <w:bookmarkEnd w:id="49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1,068,433.64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472,965.86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20,065,493.91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15,353,504.03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21,133,927.55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15,826,469.89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94"/>
      <w:bookmarkEnd w:id="49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1,068,433.64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472,965.86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1,068,433.64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472,965.86</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495"/>
      <w:bookmarkEnd w:id="49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496"/>
      <w:bookmarkEnd w:id="49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122"/>
        <w:gridCol w:w="762"/>
        <w:gridCol w:w="762"/>
        <w:gridCol w:w="614"/>
        <w:gridCol w:w="1134"/>
        <w:gridCol w:w="1134"/>
        <w:gridCol w:w="710"/>
        <w:gridCol w:w="709"/>
        <w:gridCol w:w="709"/>
        <w:gridCol w:w="1134"/>
      </w:tblGrid>
      <w:tr>
        <w:trPr>
          <w:trHeight w:val="40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8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884" w:type="dxa"/>
            <w:gridSpan w:val="2"/>
            <w:vMerge/>
            <w:tcBorders>
              <w:left w:val="single" w:sz="4" w:space="0" w:color="000000"/>
              <w:bottom w:val="single" w:sz="4" w:space="0" w:color="000000"/>
              <w:right w:val="single" w:sz="4" w:space="0" w:color="000000"/>
            </w:tcBorders>
            <w:shd w:val="clear" w:color="auto" w:fill="D2D2D2"/>
          </w:tcPr>
          <w:p>
            <w:pPr/>
          </w:p>
        </w:tc>
        <w:tc>
          <w:tcPr>
            <w:tcW w:w="1377"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1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12" w:right="3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1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76" w:type="dxa"/>
            <w:vMerge/>
            <w:tcBorders>
              <w:left w:val="single" w:sz="4" w:space="0" w:color="000000"/>
              <w:right w:val="single" w:sz="4" w:space="0" w:color="000000"/>
            </w:tcBorders>
            <w:shd w:val="clear" w:color="auto" w:fill="D2D2D2"/>
          </w:tcPr>
          <w:p>
            <w:pPr/>
          </w:p>
        </w:tc>
        <w:tc>
          <w:tcPr>
            <w:tcW w:w="112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1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20,066,709.87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1,215.96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20,065,493.91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15,353,929.43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15,353,504.03</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20,066,709.87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1,215.96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20,065,493.91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15,353,929.43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15,353,504.03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78"/>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7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10,925.43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546.27</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1,215.96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360" w:lineRule="auto" w:before="51"/>
        <w:ind w:right="1329"/>
        <w:jc w:val="left"/>
      </w:pPr>
      <w:r>
        <w:rPr/>
        <w:t>确定该组合依据的说明： 组合中，采用余额百分比法计提坏账准备的其他应收款：</w:t>
      </w:r>
    </w:p>
    <w:p>
      <w:pPr>
        <w:pStyle w:val="BodyText"/>
        <w:spacing w:line="340" w:lineRule="auto" w:before="26"/>
        <w:ind w:right="1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48" w:lineRule="auto" w:before="40"/>
        <w:ind w:right="2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对合并范围内的关联方款项，不计提坏账准备。 </w:t>
      </w:r>
      <w:r>
        <w:rPr>
          <w:rFonts w:ascii="Times New Roman" w:hAnsi="Times New Roman" w:cs="Times New Roman" w:eastAsia="Times New Roman" w:hint="default"/>
        </w:rPr>
        <w:t>2)</w:t>
      </w:r>
      <w:r>
        <w:rPr/>
        <w:t>本期计提、收回或转回的坏账准备情况</w:t>
      </w:r>
    </w:p>
    <w:p>
      <w:pPr>
        <w:pStyle w:val="BodyText"/>
        <w:spacing w:line="338" w:lineRule="auto" w:before="12"/>
        <w:ind w:right="-17"/>
        <w:jc w:val="left"/>
      </w:pPr>
      <w:r>
        <w:rPr/>
        <w:t>本期计提坏账准备金额</w:t>
      </w:r>
      <w:r>
        <w:rPr>
          <w:spacing w:val="-46"/>
        </w:rPr>
        <w:t> </w:t>
      </w:r>
      <w:r>
        <w:rPr>
          <w:rFonts w:ascii="Times New Roman" w:hAnsi="Times New Roman" w:cs="Times New Roman" w:eastAsia="Times New Roman" w:hint="default"/>
        </w:rPr>
        <w:t>790.56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6004" w:space="282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20,053,552.16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15,348,828.96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3,105.95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3,407.35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10,051.76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1,693.12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20,066,709.87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15,353,929.43</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276"/>
        <w:gridCol w:w="1134"/>
        <w:gridCol w:w="1094"/>
        <w:gridCol w:w="1614"/>
        <w:gridCol w:w="1615"/>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1"/>
              <w:jc w:val="righ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8"/>
              <w:jc w:val="left"/>
              <w:rPr>
                <w:rFonts w:ascii="Times New Roman" w:hAnsi="Times New Roman" w:cs="Times New Roman" w:eastAsia="Times New Roman" w:hint="default"/>
                <w:sz w:val="18"/>
                <w:szCs w:val="18"/>
              </w:rPr>
            </w:pPr>
            <w:r>
              <w:rPr>
                <w:rFonts w:ascii="Times New Roman"/>
                <w:sz w:val="18"/>
              </w:rPr>
              <w:t>GLOBAL IMAGING</w:t>
            </w:r>
            <w:r>
              <w:rPr>
                <w:rFonts w:ascii="Times New Roman"/>
                <w:spacing w:val="-9"/>
                <w:sz w:val="18"/>
              </w:rPr>
              <w:t> </w:t>
            </w:r>
            <w:r>
              <w:rPr>
                <w:rFonts w:ascii="Times New Roman"/>
                <w:sz w:val="18"/>
              </w:rPr>
              <w:t>SYSTEM</w:t>
            </w:r>
            <w:r>
              <w:rPr>
                <w:rFonts w:ascii="Times New Roman"/>
                <w:w w:val="99"/>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关联方往来款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7,190,352.16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1"/>
              <w:jc w:val="left"/>
              <w:rPr>
                <w:rFonts w:ascii="Times New Roman" w:hAnsi="Times New Roman" w:cs="Times New Roman" w:eastAsia="Times New Roman" w:hint="default"/>
                <w:sz w:val="18"/>
                <w:szCs w:val="18"/>
              </w:rPr>
            </w:pPr>
            <w:r>
              <w:rPr>
                <w:rFonts w:ascii="Times New Roman"/>
                <w:sz w:val="18"/>
              </w:rPr>
              <w:t>GOLDENGREEN</w:t>
            </w:r>
            <w:r>
              <w:rPr>
                <w:rFonts w:ascii="Times New Roman"/>
                <w:spacing w:val="-6"/>
                <w:sz w:val="18"/>
              </w:rPr>
              <w:t> </w:t>
            </w:r>
            <w:r>
              <w:rPr>
                <w:rFonts w:ascii="Times New Roman"/>
                <w:sz w:val="18"/>
              </w:rPr>
              <w:t>TECHNOLOGIES</w:t>
            </w:r>
            <w:r>
              <w:rPr>
                <w:rFonts w:ascii="Times New Roman"/>
                <w:w w:val="99"/>
                <w:sz w:val="18"/>
              </w:rPr>
              <w:t> </w:t>
            </w:r>
            <w:r>
              <w:rPr>
                <w:rFonts w:ascii="Times New Roman"/>
                <w:sz w:val="18"/>
              </w:rPr>
              <w:t>INTERNATIONAL</w:t>
            </w:r>
            <w:r>
              <w:rPr>
                <w:rFonts w:ascii="Times New Roman"/>
                <w:spacing w:val="-29"/>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关联方往来款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6,863,200.00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苏州恒久数码科技有限公司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关联方往来款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6,000,000.00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2836"/>
        <w:gridCol w:w="1276"/>
        <w:gridCol w:w="1134"/>
        <w:gridCol w:w="1094"/>
        <w:gridCol w:w="1614"/>
        <w:gridCol w:w="1615"/>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8,250.50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412.53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苏州大学附属第二医院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3,105.95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20,064,908.61</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1,125.90</w:t>
            </w:r>
          </w:p>
        </w:tc>
      </w:tr>
    </w:tbl>
    <w:p>
      <w:pPr>
        <w:pStyle w:val="BodyText"/>
        <w:spacing w:line="240" w:lineRule="auto" w:before="51"/>
        <w:ind w:left="214" w:right="1121"/>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left="214" w:right="1121"/>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left="214"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left="214" w:right="1121"/>
        <w:jc w:val="left"/>
        <w:rPr>
          <w:b w:val="0"/>
          <w:bCs w:val="0"/>
        </w:rPr>
      </w:pPr>
      <w:bookmarkStart w:name="3、长期股权投资" w:id="497"/>
      <w:bookmarkEnd w:id="49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206,738,869.11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206,738,869.11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131,116,500.00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131,116,500.00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37,147,586.86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37,147,586.86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32,235,326.58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32,235,326.58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243,886,455.97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243,886,455.97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163,351,826.58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163,351,826.58</w:t>
            </w:r>
          </w:p>
        </w:tc>
      </w:tr>
    </w:tbl>
    <w:p>
      <w:pPr>
        <w:spacing w:line="240" w:lineRule="auto" w:before="2"/>
        <w:rPr>
          <w:rFonts w:ascii="宋体" w:hAnsi="宋体" w:cs="宋体" w:eastAsia="宋体" w:hint="default"/>
          <w:sz w:val="19"/>
          <w:szCs w:val="19"/>
        </w:rPr>
      </w:pPr>
    </w:p>
    <w:p>
      <w:pPr>
        <w:pStyle w:val="Heading3"/>
        <w:spacing w:line="240" w:lineRule="auto" w:before="35"/>
        <w:ind w:left="214" w:right="1121"/>
        <w:jc w:val="left"/>
        <w:rPr>
          <w:b w:val="0"/>
          <w:bCs w:val="0"/>
        </w:rPr>
      </w:pPr>
      <w:bookmarkStart w:name="（1）对子公司投资" w:id="498"/>
      <w:bookmarkEnd w:id="49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31"/>
        <w:gridCol w:w="1337"/>
        <w:gridCol w:w="1335"/>
        <w:gridCol w:w="1336"/>
        <w:gridCol w:w="1334"/>
        <w:gridCol w:w="1390"/>
        <w:gridCol w:w="1388"/>
      </w:tblGrid>
      <w:tr>
        <w:trPr>
          <w:trHeight w:val="714"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苏州吴中恒久光电子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苏州恒久商业保理有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r>
              <w:rPr>
                <w:rFonts w:ascii="Times New Roman"/>
                <w:sz w:val="18"/>
              </w:rPr>
              <w:t>GOLDENGREEN</w:t>
            </w:r>
            <w:r>
              <w:rPr>
                <w:rFonts w:ascii="Times New Roman"/>
                <w:w w:val="99"/>
                <w:sz w:val="18"/>
              </w:rPr>
              <w:t> </w:t>
            </w:r>
            <w:r>
              <w:rPr>
                <w:rFonts w:ascii="Times New Roman"/>
                <w:sz w:val="18"/>
              </w:rPr>
              <w:t>TECHNOLOGIES</w:t>
            </w:r>
            <w:r>
              <w:rPr>
                <w:rFonts w:ascii="Times New Roman"/>
                <w:spacing w:val="-2"/>
                <w:sz w:val="18"/>
              </w:rPr>
              <w:t> </w:t>
            </w:r>
            <w:r>
              <w:rPr>
                <w:rFonts w:ascii="Times New Roman"/>
                <w:sz w:val="18"/>
              </w:rPr>
              <w:t>EU</w:t>
            </w:r>
            <w:r>
              <w:rPr>
                <w:rFonts w:ascii="Times New Roman"/>
                <w:w w:val="99"/>
                <w:sz w:val="18"/>
              </w:rPr>
              <w:t> </w:t>
            </w:r>
            <w:r>
              <w:rPr>
                <w:rFonts w:ascii="Times New Roman"/>
                <w:sz w:val="18"/>
              </w:rPr>
              <w:t>LIMITED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6,116,500.00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6,116,500.00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苏州恒久数码科技有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苏州恒久高新产业发 展有限公司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51"/>
              <w:jc w:val="left"/>
              <w:rPr>
                <w:rFonts w:ascii="Times New Roman" w:hAnsi="Times New Roman" w:cs="Times New Roman" w:eastAsia="Times New Roman" w:hint="default"/>
                <w:sz w:val="18"/>
                <w:szCs w:val="18"/>
              </w:rPr>
            </w:pPr>
            <w:r>
              <w:rPr>
                <w:rFonts w:ascii="Times New Roman"/>
                <w:sz w:val="18"/>
              </w:rPr>
              <w:t>Global Imaging</w:t>
            </w:r>
            <w:r>
              <w:rPr>
                <w:rFonts w:ascii="Times New Roman"/>
                <w:w w:val="99"/>
                <w:sz w:val="18"/>
              </w:rPr>
              <w:t> </w:t>
            </w:r>
            <w:r>
              <w:rPr>
                <w:rFonts w:ascii="Times New Roman"/>
                <w:sz w:val="18"/>
              </w:rPr>
              <w:t>System</w:t>
            </w:r>
            <w:r>
              <w:rPr>
                <w:rFonts w:ascii="Times New Roman"/>
                <w:spacing w:val="-2"/>
                <w:sz w:val="18"/>
              </w:rPr>
              <w:t> </w:t>
            </w:r>
            <w:r>
              <w:rPr>
                <w:rFonts w:ascii="Times New Roman"/>
                <w:sz w:val="18"/>
              </w:rPr>
              <w:t>Limited</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822,369.11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822,369.11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722"/>
        <w:gridCol w:w="1348"/>
        <w:gridCol w:w="1335"/>
        <w:gridCol w:w="1336"/>
        <w:gridCol w:w="1334"/>
        <w:gridCol w:w="1390"/>
        <w:gridCol w:w="1388"/>
      </w:tblGrid>
      <w:tr>
        <w:trPr>
          <w:trHeight w:val="402" w:hRule="exact"/>
        </w:trPr>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131,116,500.00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75,622,369.11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206,738,869.11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14" w:right="1121"/>
        <w:jc w:val="left"/>
        <w:rPr>
          <w:b w:val="0"/>
          <w:bCs w:val="0"/>
        </w:rPr>
      </w:pPr>
      <w:bookmarkStart w:name="（2）对联营、合营企业投资" w:id="499"/>
      <w:bookmarkEnd w:id="49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080"/>
        <w:gridCol w:w="1189"/>
        <w:gridCol w:w="568"/>
        <w:gridCol w:w="425"/>
        <w:gridCol w:w="1010"/>
        <w:gridCol w:w="798"/>
        <w:gridCol w:w="798"/>
        <w:gridCol w:w="798"/>
        <w:gridCol w:w="798"/>
        <w:gridCol w:w="476"/>
        <w:gridCol w:w="1120"/>
        <w:gridCol w:w="798"/>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080" w:type="dxa"/>
            <w:vMerge/>
            <w:tcBorders>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 w:right="4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0"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5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85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珠海宝利通 耗材有限公 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8,715,697.75</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381,335.07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9,097,032.82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深圳市壹办 公科技股份 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23,519,628.83</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4,530,925.21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28,050,554.04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32,235,326.58</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4,912,260.28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37,147,586.86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32,235,326.58</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4,912,260.28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37,147,586.86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214" w:right="1121"/>
        <w:jc w:val="left"/>
        <w:rPr>
          <w:b w:val="0"/>
          <w:bCs w:val="0"/>
        </w:rPr>
      </w:pPr>
      <w:bookmarkStart w:name="（3）其他说明" w:id="500"/>
      <w:bookmarkEnd w:id="50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121"/>
        <w:jc w:val="left"/>
        <w:rPr>
          <w:b w:val="0"/>
          <w:bCs w:val="0"/>
        </w:rPr>
      </w:pPr>
      <w:bookmarkStart w:name="4、营业收入和营业成本" w:id="501"/>
      <w:bookmarkEnd w:id="50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256,443,232.37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215,044,816.80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261,728,264.05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211,900,236.86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36,266,432.70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35,478,339.21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42,565,941.29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42,492,385.93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292,709,665.07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250,523,156.01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304,294,205.34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254,392,622.79</w:t>
            </w:r>
          </w:p>
        </w:tc>
      </w:tr>
    </w:tbl>
    <w:p>
      <w:pPr>
        <w:pStyle w:val="BodyText"/>
        <w:spacing w:line="240" w:lineRule="auto" w:before="51"/>
        <w:ind w:left="214"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14" w:right="1121"/>
        <w:jc w:val="left"/>
        <w:rPr>
          <w:b w:val="0"/>
          <w:bCs w:val="0"/>
        </w:rPr>
      </w:pPr>
      <w:bookmarkStart w:name="5、投资收益" w:id="502"/>
      <w:bookmarkEnd w:id="50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4,912,260.28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2,951,026.64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投资银行理财产品取得的投资收益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1,666,306.64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4,503,514.64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处置外汇掉期取得的投资收益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-1,950,152.50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4,628,414.42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7,454,541.28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03"/>
      <w:bookmarkEnd w:id="50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4"/>
      <w:bookmarkEnd w:id="50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5"/>
      <w:bookmarkEnd w:id="50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-15,716.40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607,416.73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1,868,294.77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22" w:right="23"/>
              <w:jc w:val="left"/>
              <w:rPr>
                <w:rFonts w:ascii="宋体" w:hAnsi="宋体" w:cs="宋体" w:eastAsia="宋体" w:hint="default"/>
                <w:sz w:val="18"/>
                <w:szCs w:val="18"/>
              </w:rPr>
            </w:pPr>
            <w:r>
              <w:rPr>
                <w:rFonts w:ascii="宋体" w:hAnsi="宋体" w:cs="宋体" w:eastAsia="宋体" w:hint="default"/>
                <w:sz w:val="18"/>
                <w:szCs w:val="18"/>
              </w:rPr>
              <w:t>投资银行理财产品取得的投资收益 </w:t>
            </w:r>
            <w:r>
              <w:rPr>
                <w:rFonts w:ascii="Times New Roman" w:hAnsi="Times New Roman" w:cs="Times New Roman" w:eastAsia="Times New Roman" w:hint="default"/>
                <w:sz w:val="18"/>
                <w:szCs w:val="18"/>
              </w:rPr>
              <w:t>3,067,159.77</w:t>
            </w:r>
            <w:r>
              <w:rPr>
                <w:rFonts w:ascii="宋体" w:hAnsi="宋体" w:cs="宋体" w:eastAsia="宋体" w:hint="default"/>
                <w:sz w:val="18"/>
                <w:szCs w:val="18"/>
              </w:rPr>
              <w:t>；处置衍生金融工具取得的 </w:t>
            </w:r>
            <w:r>
              <w:rPr>
                <w:rFonts w:ascii="宋体" w:hAnsi="宋体" w:cs="宋体" w:eastAsia="宋体" w:hint="default"/>
                <w:spacing w:val="-2"/>
                <w:sz w:val="18"/>
                <w:szCs w:val="18"/>
              </w:rPr>
              <w:t>投资收益</w:t>
            </w:r>
            <w:r>
              <w:rPr>
                <w:rFonts w:ascii="Times New Roman" w:hAnsi="Times New Roman" w:cs="Times New Roman" w:eastAsia="Times New Roman" w:hint="default"/>
                <w:spacing w:val="-2"/>
                <w:sz w:val="18"/>
                <w:szCs w:val="18"/>
              </w:rPr>
              <w:t>-1,950,152.50</w:t>
            </w:r>
            <w:r>
              <w:rPr>
                <w:rFonts w:ascii="宋体" w:hAnsi="宋体" w:cs="宋体" w:eastAsia="宋体" w:hint="default"/>
                <w:spacing w:val="-2"/>
                <w:sz w:val="18"/>
                <w:szCs w:val="18"/>
              </w:rPr>
              <w:t>；衍生金融工具公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允价值变动收益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751,287.50</w:t>
            </w:r>
            <w:r>
              <w:rPr>
                <w:rFonts w:ascii="宋体" w:hAnsi="宋体" w:cs="宋体" w:eastAsia="宋体" w:hint="default"/>
                <w:sz w:val="18"/>
                <w:szCs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-8,766.78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530,995.17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1,920,233.15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06"/>
      <w:bookmarkEnd w:id="50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0.181</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0.171</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07"/>
      <w:bookmarkEnd w:id="50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08"/>
      <w:bookmarkEnd w:id="50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同时按照境外会计准则与按中国会计准则披露的财务报告中净利润和净资产差异情况" w:id="509"/>
      <w:bookmarkEnd w:id="50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10"/>
      <w:bookmarkEnd w:id="51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11"/>
      <w:bookmarkEnd w:id="51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第十二节 备查文件目录" w:id="512"/>
      <w:bookmarkEnd w:id="512"/>
      <w:r>
        <w:rPr>
          <w:b w:val="0"/>
          <w:bCs w:val="0"/>
        </w:rPr>
      </w:r>
      <w:bookmarkStart w:name="_bookmark11" w:id="513"/>
      <w:bookmarkEnd w:id="513"/>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before="0"/>
        <w:ind w:right="0"/>
        <w:jc w:val="left"/>
      </w:pPr>
      <w:r>
        <w:rPr/>
        <w:t>（一）载有公司负责人、主管会计工作负责人、会计机构负责人（会计主管人员）签名并盖章的财务报表。</w:t>
      </w:r>
    </w:p>
    <w:p>
      <w:pPr>
        <w:pStyle w:val="BodyText"/>
        <w:spacing w:line="240" w:lineRule="auto" w:before="77"/>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（三）报告期内在中国证监会指定网站上公开披露过的所有公司文件的正本及公告的原稿。</w:t>
      </w:r>
    </w:p>
    <w:p>
      <w:pPr>
        <w:pStyle w:val="BodyText"/>
        <w:spacing w:line="240" w:lineRule="auto" w:before="76"/>
        <w:ind w:right="0"/>
        <w:jc w:val="left"/>
      </w:pPr>
      <w:r>
        <w:rPr/>
        <w:t>（四）载有公司董事长签名的</w:t>
      </w:r>
      <w:r>
        <w:rPr>
          <w:rFonts w:ascii="Times New Roman" w:hAnsi="Times New Roman" w:cs="Times New Roman" w:eastAsia="Times New Roman" w:hint="default"/>
        </w:rPr>
        <w:t>2018</w:t>
      </w:r>
      <w:r>
        <w:rPr/>
        <w:t>年年度报告文本原件。</w:t>
      </w:r>
    </w:p>
    <w:p>
      <w:pPr>
        <w:pStyle w:val="BodyText"/>
        <w:spacing w:line="240" w:lineRule="auto" w:before="63"/>
        <w:ind w:right="0"/>
        <w:jc w:val="left"/>
      </w:pPr>
      <w:r>
        <w:rPr/>
        <w:t>（五）以上备查文件的备置地点：公司证券事务部。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636" w:lineRule="auto" w:before="0"/>
        <w:ind w:left="7175" w:right="1113" w:firstLine="98"/>
        <w:jc w:val="left"/>
      </w:pPr>
      <w:r>
        <w:rPr/>
        <w:t>苏州恒久光电科技股份有限公司 法定代表人：余荣清</w:t>
      </w:r>
    </w:p>
    <w:p>
      <w:pPr>
        <w:pStyle w:val="BodyText"/>
        <w:spacing w:line="240" w:lineRule="auto" w:before="92"/>
        <w:ind w:left="6864" w:right="0"/>
        <w:jc w:val="left"/>
      </w:pPr>
      <w:r>
        <w:rPr/>
        <w:t>二〇一九年四月二十五日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32888" type="#_x0000_t75" stroked="false">
          <v:imagedata r:id="rId1" o:title=""/>
        </v:shape>
      </w:pict>
    </w:r>
    <w:r>
      <w:rPr/>
      <w:pict>
        <v:shape style="position:absolute;margin-left:533.179993pt;margin-top:795.517944pt;width:6.5pt;height:11pt;mso-position-horizontal-relative:page;mso-position-vertical-relative:page;z-index:-83286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32840" type="#_x0000_t75" stroked="false">
          <v:imagedata r:id="rId1" o:title=""/>
        </v:shape>
      </w:pict>
    </w:r>
    <w:r>
      <w:rPr/>
      <w:pict>
        <v:shape style="position:absolute;margin-left:527.679993pt;margin-top:781.957947pt;width:13pt;height:11pt;mso-position-horizontal-relative:page;mso-position-vertical-relative:page;z-index:-8328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32768" type="#_x0000_t75" stroked="false">
          <v:imagedata r:id="rId1" o:title=""/>
        </v:shape>
      </w:pict>
    </w:r>
    <w:r>
      <w:rPr/>
      <w:pict>
        <v:shape style="position:absolute;margin-left:758.97998pt;margin-top:535.357971pt;width:13pt;height:11pt;mso-position-horizontal-relative:page;mso-position-vertical-relative:page;z-index:-8327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32672" type="#_x0000_t75" stroked="false">
          <v:imagedata r:id="rId1" o:title=""/>
        </v:shape>
      </w:pict>
    </w:r>
    <w:r>
      <w:rPr/>
      <w:pict>
        <v:shape style="position:absolute;margin-left:527.679993pt;margin-top:781.957947pt;width:13pt;height:11pt;mso-position-horizontal-relative:page;mso-position-vertical-relative:page;z-index:-8326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32600" type="#_x0000_t75" stroked="false">
          <v:imagedata r:id="rId1" o:title=""/>
        </v:shape>
      </w:pict>
    </w:r>
    <w:r>
      <w:rPr/>
      <w:pict>
        <v:shape style="position:absolute;margin-left:758.97998pt;margin-top:535.357971pt;width:13pt;height:11pt;mso-position-horizontal-relative:page;mso-position-vertical-relative:page;z-index:-8325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32504" type="#_x0000_t75" stroked="false">
          <v:imagedata r:id="rId1" o:title=""/>
        </v:shape>
      </w:pict>
    </w:r>
    <w:r>
      <w:rPr/>
      <w:pict>
        <v:shape style="position:absolute;margin-left:527.679993pt;margin-top:781.957947pt;width:13pt;height:11pt;mso-position-horizontal-relative:page;mso-position-vertical-relative:page;z-index:-8324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32456" type="#_x0000_t75" stroked="false">
          <v:imagedata r:id="rId1" o:title=""/>
        </v:shape>
      </w:pict>
    </w:r>
    <w:r>
      <w:rPr/>
      <w:pict>
        <v:shape style="position:absolute;margin-left:524.179993pt;margin-top:781.957947pt;width:15.5pt;height:11pt;mso-position-horizontal-relative:page;mso-position-vertical-relative:page;z-index:-8324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32408" type="#_x0000_t75" stroked="false">
          <v:imagedata r:id="rId1" o:title=""/>
        </v:shape>
      </w:pict>
    </w:r>
    <w:r>
      <w:rPr/>
      <w:pict>
        <v:shape style="position:absolute;margin-left:523.179993pt;margin-top:781.957947pt;width:17.5pt;height:11pt;mso-position-horizontal-relative:page;mso-position-vertical-relative:page;z-index:-8323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32360" type="#_x0000_t75" stroked="false">
          <v:imagedata r:id="rId1" o:title=""/>
        </v:shape>
      </w:pict>
    </w:r>
    <w:r>
      <w:rPr/>
      <w:pict>
        <v:shape style="position:absolute;margin-left:523.179993pt;margin-top:781.957947pt;width:17.5pt;height:11pt;mso-position-horizontal-relative:page;mso-position-vertical-relative:page;z-index:-8323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832912" type="#_x0000_t202" filled="false" stroked="false">
          <v:textbox inset="0,0,0,0">
            <w:txbxContent>
              <w:p>
                <w:pPr>
                  <w:pStyle w:val="BodyText"/>
                  <w:spacing w:line="214" w:lineRule="exact" w:before="0"/>
                  <w:ind w:left="20" w:right="0"/>
                  <w:jc w:val="left"/>
                </w:pPr>
                <w:r>
                  <w:rPr/>
                  <w:t>苏州恒久光电科技股份有限公司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832792" type="#_x0000_t202" filled="false" stroked="false">
          <v:textbox inset="0,0,0,0">
            <w:txbxContent>
              <w:p>
                <w:pPr>
                  <w:pStyle w:val="BodyText"/>
                  <w:spacing w:line="214" w:lineRule="exact" w:before="0"/>
                  <w:ind w:left="20" w:right="0"/>
                  <w:jc w:val="left"/>
                </w:pPr>
                <w:r>
                  <w:rPr/>
                  <w:t>苏州恒久光电科技股份有限公司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327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832696" type="#_x0000_t202" filled="false" stroked="false">
          <v:textbox inset="0,0,0,0">
            <w:txbxContent>
              <w:p>
                <w:pPr>
                  <w:pStyle w:val="BodyText"/>
                  <w:spacing w:line="214" w:lineRule="exact" w:before="0"/>
                  <w:ind w:left="20" w:right="0"/>
                  <w:jc w:val="left"/>
                </w:pPr>
                <w:r>
                  <w:rPr/>
                  <w:t>苏州恒久光电科技股份有限公司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832624" type="#_x0000_t202" filled="false" stroked="false">
          <v:textbox inset="0,0,0,0">
            <w:txbxContent>
              <w:p>
                <w:pPr>
                  <w:pStyle w:val="BodyText"/>
                  <w:spacing w:line="214" w:lineRule="exact" w:before="0"/>
                  <w:ind w:left="20" w:right="0"/>
                  <w:jc w:val="left"/>
                </w:pPr>
                <w:r>
                  <w:rPr/>
                  <w:t>苏州恒久光电科技股份有限公司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325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832528" type="#_x0000_t202" filled="false" stroked="false">
          <v:textbox inset="0,0,0,0">
            <w:txbxContent>
              <w:p>
                <w:pPr>
                  <w:pStyle w:val="BodyText"/>
                  <w:spacing w:line="214" w:lineRule="exact" w:before="0"/>
                  <w:ind w:left="20" w:right="0"/>
                  <w:jc w:val="left"/>
                </w:pPr>
                <w:r>
                  <w:rPr/>
                  <w:t>苏州恒久光电科技股份有限公司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9"/>
      <w:ind w:left="154"/>
    </w:pPr>
    <w:rPr>
      <w:rFonts w:ascii="宋体" w:hAnsi="宋体" w:eastAsia="宋体"/>
      <w:sz w:val="22"/>
      <w:szCs w:val="22"/>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gt21.com/" TargetMode="External"/><Relationship Id="rId10" Type="http://schemas.openxmlformats.org/officeDocument/2006/relationships/hyperlink" Target="mailto:admin@sgt21.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yperlink" Target="http://www.cninfo.co/" TargetMode="External"/><Relationship Id="rId18" Type="http://schemas.openxmlformats.org/officeDocument/2006/relationships/image" Target="media/image4.jpeg"/><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苏州恒久光电科技股份有限公司</dc:creator>
  <dc:title>苏州恒久光电科技股份有限公司2018年年度报告全文</dc:title>
  <dcterms:created xsi:type="dcterms:W3CDTF">2020-05-05T03:56:51Z</dcterms:created>
  <dcterms:modified xsi:type="dcterms:W3CDTF">2020-05-05T03:56:51Z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