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spacing w:line="1065" w:lineRule="exact"/>
        <w:ind w:left="386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0"/>
          <w:sz w:val="20"/>
          <w:szCs w:val="20"/>
        </w:rPr>
        <w:drawing>
          <wp:inline distT="0" distB="0" distL="0" distR="0">
            <wp:extent cx="1409700" cy="676275"/>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09700" cy="676275"/>
                    </a:xfrm>
                    <a:prstGeom prst="rect">
                      <a:avLst/>
                    </a:prstGeom>
                  </pic:spPr>
                </pic:pic>
              </a:graphicData>
            </a:graphic>
          </wp:inline>
        </w:drawing>
      </w:r>
      <w:r>
        <w:rPr>
          <w:rFonts w:ascii="Times New Roman" w:hAnsi="Times New Roman" w:cs="Times New Roman" w:eastAsia="Times New Roman" w:hint="default"/>
          <w:position w:val="-20"/>
          <w:sz w:val="20"/>
          <w:szCs w:val="20"/>
        </w:rPr>
      </w:r>
    </w:p>
    <w:p>
      <w:pPr>
        <w:spacing w:line="240" w:lineRule="auto" w:before="6"/>
        <w:rPr>
          <w:rFonts w:ascii="Times New Roman" w:hAnsi="Times New Roman" w:cs="Times New Roman" w:eastAsia="Times New Roman" w:hint="default"/>
          <w:sz w:val="13"/>
          <w:szCs w:val="13"/>
        </w:rPr>
      </w:pPr>
    </w:p>
    <w:p>
      <w:pPr>
        <w:spacing w:line="460" w:lineRule="exact" w:before="0"/>
        <w:ind w:left="2421" w:right="3405" w:firstLine="0"/>
        <w:jc w:val="center"/>
        <w:rPr>
          <w:rFonts w:ascii="宋体" w:hAnsi="宋体" w:cs="宋体" w:eastAsia="宋体" w:hint="default"/>
          <w:sz w:val="36"/>
          <w:szCs w:val="36"/>
        </w:rPr>
      </w:pPr>
      <w:r>
        <w:rPr>
          <w:rFonts w:ascii="宋体" w:hAnsi="宋体" w:cs="宋体" w:eastAsia="宋体" w:hint="default"/>
          <w:b/>
          <w:bCs/>
          <w:sz w:val="36"/>
          <w:szCs w:val="36"/>
        </w:rPr>
        <w:t>苏州恒久光电科技股份有限公司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421" w:right="340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6"/>
        <w:rPr>
          <w:rFonts w:ascii="宋体" w:hAnsi="宋体" w:cs="宋体" w:eastAsia="宋体" w:hint="default"/>
          <w:b/>
          <w:bCs/>
          <w:sz w:val="32"/>
          <w:szCs w:val="32"/>
        </w:rPr>
      </w:pPr>
    </w:p>
    <w:p>
      <w:pPr>
        <w:spacing w:before="0"/>
        <w:ind w:left="2421" w:right="3399" w:firstLine="0"/>
        <w:jc w:val="center"/>
        <w:rPr>
          <w:rFonts w:ascii="Times New Roman" w:hAnsi="Times New Roman" w:cs="Times New Roman" w:eastAsia="Times New Roman" w:hint="default"/>
          <w:sz w:val="22"/>
          <w:szCs w:val="22"/>
        </w:rPr>
      </w:pPr>
      <w:r>
        <w:rPr>
          <w:rFonts w:ascii="Times New Roman"/>
          <w:b/>
          <w:sz w:val="22"/>
        </w:rPr>
        <w:t>2020-018</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27"/>
        <w:ind w:left="2421" w:right="339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0" w:top="1060" w:bottom="116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85" w:right="1133"/>
        <w:jc w:val="left"/>
        <w:rPr>
          <w:b w:val="0"/>
          <w:bCs w:val="0"/>
        </w:rPr>
      </w:pPr>
      <w:bookmarkStart w:name="_bookmark0" w:id="1"/>
      <w:bookmarkEnd w:id="1"/>
      <w:r>
        <w:rPr>
          <w:b w:val="0"/>
          <w:bCs w:val="0"/>
        </w:rPr>
      </w:r>
      <w:r>
        <w:rPr/>
        <w:t>第一节重要提示、目录和释义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2"/>
        <w:ind w:left="152" w:right="113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公司负责人余荣清、主管会计工作负责人冯芬兰及会计机构负责人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冯芬兰声明：保证年度报告中财务报告的真实、准确、完整。</w:t>
      </w:r>
      <w:r>
        <w:rPr>
          <w:rFonts w:ascii="宋体" w:hAnsi="宋体" w:cs="宋体" w:eastAsia="宋体" w:hint="default"/>
          <w:sz w:val="28"/>
          <w:szCs w:val="28"/>
        </w:rPr>
      </w:r>
    </w:p>
    <w:p>
      <w:pPr>
        <w:spacing w:line="472" w:lineRule="auto" w:before="148"/>
        <w:ind w:left="714" w:right="113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本年度报告涉及未来发展和经营计划等前瞻性陈述，不构成公司对投资者</w:t>
      </w:r>
      <w:r>
        <w:rPr>
          <w:rFonts w:ascii="宋体" w:hAnsi="宋体" w:cs="宋体" w:eastAsia="宋体" w:hint="default"/>
          <w:spacing w:val="2"/>
          <w:sz w:val="28"/>
          <w:szCs w:val="28"/>
        </w:rPr>
      </w:r>
    </w:p>
    <w:p>
      <w:pPr>
        <w:spacing w:line="408" w:lineRule="auto" w:before="0"/>
        <w:ind w:left="152" w:right="1129" w:firstLine="0"/>
        <w:jc w:val="left"/>
        <w:rPr>
          <w:rFonts w:ascii="宋体" w:hAnsi="宋体" w:cs="宋体" w:eastAsia="宋体" w:hint="default"/>
          <w:sz w:val="28"/>
          <w:szCs w:val="28"/>
        </w:rPr>
      </w:pPr>
      <w:r>
        <w:rPr>
          <w:rFonts w:ascii="宋体" w:hAnsi="宋体" w:cs="宋体" w:eastAsia="宋体" w:hint="default"/>
          <w:b/>
          <w:bCs/>
          <w:spacing w:val="2"/>
          <w:sz w:val="28"/>
          <w:szCs w:val="28"/>
        </w:rPr>
        <w:t>的实质承诺，投资者及相关人士均应当对此保持足够的风险认识，并且应当理</w:t>
      </w:r>
      <w:r>
        <w:rPr>
          <w:rFonts w:ascii="宋体" w:hAnsi="宋体" w:cs="宋体" w:eastAsia="宋体" w:hint="default"/>
          <w:b/>
          <w:bCs/>
          <w:spacing w:val="2"/>
          <w:w w:val="99"/>
          <w:sz w:val="28"/>
          <w:szCs w:val="28"/>
        </w:rPr>
        <w:t> </w:t>
      </w:r>
      <w:r>
        <w:rPr>
          <w:rFonts w:ascii="宋体" w:hAnsi="宋体" w:cs="宋体" w:eastAsia="宋体" w:hint="default"/>
          <w:b/>
          <w:bCs/>
          <w:sz w:val="28"/>
          <w:szCs w:val="28"/>
        </w:rPr>
        <w:t>解计划、预测与承诺之间的差异。</w:t>
      </w:r>
      <w:r>
        <w:rPr>
          <w:rFonts w:ascii="宋体" w:hAnsi="宋体" w:cs="宋体" w:eastAsia="宋体" w:hint="default"/>
          <w:sz w:val="28"/>
          <w:szCs w:val="28"/>
        </w:rPr>
      </w:r>
    </w:p>
    <w:p>
      <w:pPr>
        <w:spacing w:line="386" w:lineRule="auto" w:before="162"/>
        <w:ind w:left="152" w:right="1133"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公司已在本报告</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第四节</w:t>
      </w:r>
      <w:r>
        <w:rPr>
          <w:rFonts w:ascii="宋体" w:hAnsi="宋体" w:cs="宋体" w:eastAsia="宋体" w:hint="default"/>
          <w:b/>
          <w:bCs/>
          <w:spacing w:val="5"/>
          <w:sz w:val="28"/>
          <w:szCs w:val="28"/>
        </w:rPr>
        <w:t> </w:t>
      </w:r>
      <w:r>
        <w:rPr>
          <w:rFonts w:ascii="宋体" w:hAnsi="宋体" w:cs="宋体" w:eastAsia="宋体" w:hint="default"/>
          <w:b/>
          <w:bCs/>
          <w:spacing w:val="2"/>
          <w:sz w:val="28"/>
          <w:szCs w:val="28"/>
        </w:rPr>
        <w:t>经营情况讨论与分析</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之</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九、公司未来发展的展</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望</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部分详述了公司可能面临的风险与应对措施，请广大投资者查阅并注意投资</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z w:val="28"/>
          <w:szCs w:val="28"/>
        </w:rPr>
        <w:t>风险。</w:t>
      </w:r>
      <w:r>
        <w:rPr>
          <w:rFonts w:ascii="宋体" w:hAnsi="宋体" w:cs="宋体" w:eastAsia="宋体" w:hint="default"/>
          <w:sz w:val="28"/>
          <w:szCs w:val="28"/>
        </w:rPr>
      </w:r>
    </w:p>
    <w:p>
      <w:pPr>
        <w:spacing w:before="187"/>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88"/>
          <w:sz w:val="28"/>
          <w:szCs w:val="28"/>
        </w:rPr>
        <w:t> </w:t>
      </w:r>
      <w:r>
        <w:rPr>
          <w:rFonts w:ascii="Times New Roman" w:hAnsi="Times New Roman" w:cs="Times New Roman" w:eastAsia="Times New Roman" w:hint="default"/>
          <w:b/>
          <w:bCs/>
          <w:sz w:val="28"/>
          <w:szCs w:val="28"/>
        </w:rPr>
        <w:t>268,800,000</w:t>
      </w:r>
      <w:r>
        <w:rPr>
          <w:rFonts w:ascii="Times New Roman" w:hAnsi="Times New Roman" w:cs="Times New Roman" w:eastAsia="Times New Roman" w:hint="default"/>
          <w:b/>
          <w:bCs/>
          <w:spacing w:val="-17"/>
          <w:sz w:val="28"/>
          <w:szCs w:val="28"/>
        </w:rPr>
        <w:t> </w:t>
      </w:r>
      <w:r>
        <w:rPr>
          <w:rFonts w:ascii="宋体" w:hAnsi="宋体" w:cs="宋体" w:eastAsia="宋体" w:hint="default"/>
          <w:b/>
          <w:bCs/>
          <w:spacing w:val="-6"/>
          <w:sz w:val="28"/>
          <w:szCs w:val="28"/>
        </w:rPr>
        <w:t>为基数，向</w:t>
      </w:r>
      <w:r>
        <w:rPr>
          <w:rFonts w:ascii="宋体" w:hAnsi="宋体" w:cs="宋体" w:eastAsia="宋体" w:hint="default"/>
          <w:spacing w:val="-6"/>
          <w:sz w:val="28"/>
          <w:szCs w:val="28"/>
        </w:rPr>
      </w:r>
    </w:p>
    <w:p>
      <w:pPr>
        <w:spacing w:line="386" w:lineRule="auto" w:before="236"/>
        <w:ind w:left="152" w:right="1126" w:firstLine="0"/>
        <w:jc w:val="left"/>
        <w:rPr>
          <w:rFonts w:ascii="宋体" w:hAnsi="宋体" w:cs="宋体" w:eastAsia="宋体" w:hint="default"/>
          <w:sz w:val="28"/>
          <w:szCs w:val="28"/>
        </w:rPr>
      </w:pPr>
      <w:r>
        <w:rPr>
          <w:rFonts w:ascii="宋体" w:hAnsi="宋体" w:cs="宋体" w:eastAsia="宋体" w:hint="default"/>
          <w:b/>
          <w:bCs/>
          <w:w w:val="99"/>
          <w:sz w:val="28"/>
          <w:szCs w:val="28"/>
        </w:rPr>
        <w:t>全体股东每</w:t>
      </w:r>
      <w:r>
        <w:rPr>
          <w:rFonts w:ascii="宋体" w:hAnsi="宋体" w:cs="宋体" w:eastAsia="宋体" w:hint="default"/>
          <w:b/>
          <w:bCs/>
          <w:spacing w:val="-67"/>
          <w:w w:val="99"/>
          <w:sz w:val="28"/>
          <w:szCs w:val="28"/>
        </w:rPr>
        <w:t> </w:t>
      </w:r>
      <w:r>
        <w:rPr>
          <w:rFonts w:ascii="Times New Roman" w:hAnsi="Times New Roman" w:cs="Times New Roman" w:eastAsia="Times New Roman" w:hint="default"/>
          <w:b/>
          <w:bCs/>
          <w:w w:val="100"/>
          <w:sz w:val="28"/>
          <w:szCs w:val="28"/>
        </w:rPr>
        <w:t>10</w:t>
      </w:r>
      <w:r>
        <w:rPr>
          <w:rFonts w:ascii="Times New Roman" w:hAnsi="Times New Roman" w:cs="Times New Roman" w:eastAsia="Times New Roman" w:hint="default"/>
          <w:b/>
          <w:bCs/>
          <w:spacing w:val="1"/>
          <w:w w:val="100"/>
          <w:sz w:val="28"/>
          <w:szCs w:val="28"/>
        </w:rPr>
        <w:t> </w:t>
      </w:r>
      <w:r>
        <w:rPr>
          <w:rFonts w:ascii="宋体" w:hAnsi="宋体" w:cs="宋体" w:eastAsia="宋体" w:hint="default"/>
          <w:b/>
          <w:bCs/>
          <w:w w:val="99"/>
          <w:sz w:val="28"/>
          <w:szCs w:val="28"/>
        </w:rPr>
        <w:t>股派发现金红利</w:t>
      </w:r>
      <w:r>
        <w:rPr>
          <w:rFonts w:ascii="宋体" w:hAnsi="宋体" w:cs="宋体" w:eastAsia="宋体" w:hint="default"/>
          <w:b/>
          <w:bCs/>
          <w:spacing w:val="-67"/>
          <w:w w:val="99"/>
          <w:sz w:val="28"/>
          <w:szCs w:val="28"/>
        </w:rPr>
        <w:t> </w:t>
      </w:r>
      <w:r>
        <w:rPr>
          <w:rFonts w:ascii="Times New Roman" w:hAnsi="Times New Roman" w:cs="Times New Roman" w:eastAsia="Times New Roman" w:hint="default"/>
          <w:b/>
          <w:bCs/>
          <w:w w:val="100"/>
          <w:sz w:val="28"/>
          <w:szCs w:val="28"/>
        </w:rPr>
        <w:t>0.2</w:t>
      </w:r>
      <w:r>
        <w:rPr>
          <w:rFonts w:ascii="Times New Roman" w:hAnsi="Times New Roman" w:cs="Times New Roman" w:eastAsia="Times New Roman" w:hint="default"/>
          <w:b/>
          <w:bCs/>
          <w:spacing w:val="1"/>
          <w:w w:val="100"/>
          <w:sz w:val="28"/>
          <w:szCs w:val="28"/>
        </w:rPr>
        <w:t> </w:t>
      </w:r>
      <w:r>
        <w:rPr>
          <w:rFonts w:ascii="宋体" w:hAnsi="宋体" w:cs="宋体" w:eastAsia="宋体" w:hint="default"/>
          <w:b/>
          <w:bCs/>
          <w:spacing w:val="-16"/>
          <w:w w:val="99"/>
          <w:sz w:val="28"/>
          <w:szCs w:val="28"/>
        </w:rPr>
        <w:t>元（含税），送红股</w:t>
      </w:r>
      <w:r>
        <w:rPr>
          <w:rFonts w:ascii="宋体" w:hAnsi="宋体" w:cs="宋体" w:eastAsia="宋体" w:hint="default"/>
          <w:b/>
          <w:bCs/>
          <w:spacing w:val="-67"/>
          <w:w w:val="99"/>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1"/>
          <w:w w:val="100"/>
          <w:sz w:val="28"/>
          <w:szCs w:val="28"/>
        </w:rPr>
        <w:t> </w:t>
      </w:r>
      <w:r>
        <w:rPr>
          <w:rFonts w:ascii="宋体" w:hAnsi="宋体" w:cs="宋体" w:eastAsia="宋体" w:hint="default"/>
          <w:b/>
          <w:bCs/>
          <w:spacing w:val="-14"/>
          <w:w w:val="99"/>
          <w:sz w:val="28"/>
          <w:szCs w:val="28"/>
        </w:rPr>
        <w:t>股（含税），不以公积</w:t>
      </w:r>
      <w:r>
        <w:rPr>
          <w:rFonts w:ascii="宋体" w:hAnsi="宋体" w:cs="宋体" w:eastAsia="宋体" w:hint="default"/>
          <w:b/>
          <w:bCs/>
          <w:w w:val="99"/>
          <w:sz w:val="28"/>
          <w:szCs w:val="28"/>
        </w:rPr>
        <w:t> </w:t>
      </w:r>
      <w:r>
        <w:rPr>
          <w:rFonts w:ascii="宋体" w:hAnsi="宋体" w:cs="宋体" w:eastAsia="宋体" w:hint="default"/>
          <w:b/>
          <w:bCs/>
          <w:sz w:val="28"/>
          <w:szCs w:val="28"/>
        </w:rPr>
        <w:t>金转增股本。</w:t>
      </w:r>
      <w:r>
        <w:rPr>
          <w:rFonts w:ascii="宋体" w:hAnsi="宋体" w:cs="宋体" w:eastAsia="宋体" w:hint="default"/>
          <w:sz w:val="28"/>
          <w:szCs w:val="28"/>
        </w:rPr>
      </w:r>
    </w:p>
    <w:p>
      <w:pPr>
        <w:spacing w:after="0" w:line="386" w:lineRule="auto"/>
        <w:jc w:val="left"/>
        <w:rPr>
          <w:rFonts w:ascii="宋体" w:hAnsi="宋体" w:cs="宋体" w:eastAsia="宋体" w:hint="default"/>
          <w:sz w:val="28"/>
          <w:szCs w:val="28"/>
        </w:rPr>
        <w:sectPr>
          <w:footerReference w:type="default" r:id="rId8"/>
          <w:pgSz w:w="11910" w:h="16840"/>
          <w:pgMar w:footer="980" w:header="745" w:top="1060" w:bottom="1160" w:left="98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2421" w:right="3399" w:firstLine="0"/>
        <w:jc w:val="center"/>
        <w:rPr>
          <w:rFonts w:ascii="宋体" w:hAnsi="宋体" w:cs="宋体" w:eastAsia="宋体" w:hint="default"/>
          <w:sz w:val="36"/>
          <w:szCs w:val="36"/>
        </w:rPr>
      </w:pPr>
      <w:r>
        <w:rPr>
          <w:rFonts w:ascii="宋体" w:hAnsi="宋体" w:cs="宋体" w:eastAsia="宋体" w:hint="default"/>
          <w:b/>
          <w:bCs/>
          <w:sz w:val="36"/>
          <w:szCs w:val="36"/>
        </w:rPr>
        <w:t>目</w:t>
      </w:r>
      <w:r>
        <w:rPr>
          <w:rFonts w:ascii="宋体" w:hAnsi="宋体" w:cs="宋体" w:eastAsia="宋体" w:hint="default"/>
          <w:b/>
          <w:bCs/>
          <w:spacing w:val="-2"/>
          <w:sz w:val="36"/>
          <w:szCs w:val="36"/>
        </w:rPr>
        <w:t> </w:t>
      </w:r>
      <w:r>
        <w:rPr>
          <w:rFonts w:ascii="宋体" w:hAnsi="宋体" w:cs="宋体" w:eastAsia="宋体" w:hint="default"/>
          <w:b/>
          <w:bCs/>
          <w:sz w:val="36"/>
          <w:szCs w:val="36"/>
        </w:rPr>
        <w:t>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9"/>
        <w:rPr>
          <w:rFonts w:ascii="宋体" w:hAnsi="宋体" w:cs="宋体" w:eastAsia="宋体" w:hint="default"/>
          <w:b/>
          <w:bCs/>
          <w:sz w:val="51"/>
          <w:szCs w:val="51"/>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r>
            <w:r>
              <w:rPr>
                <w:spacing w:val="89"/>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89"/>
              </w:rPr>
              <w:t> </w:t>
            </w:r>
            <w:r>
              <w:rPr/>
              <w:t>公司简介和主要财务指标</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89"/>
              </w:rPr>
              <w:t> </w:t>
            </w:r>
            <w:r>
              <w:rPr/>
              <w:t>公司业务概要</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89"/>
              </w:rPr>
              <w:t> </w:t>
            </w:r>
            <w:r>
              <w:rPr/>
              <w:t>经营情况讨论与分析</w:t>
            </w:r>
            <w:r>
              <w:rPr>
                <w:rFonts w:ascii="Times New Roman" w:hAnsi="Times New Roman" w:cs="Times New Roman" w:eastAsia="Times New Roman" w:hint="default"/>
              </w:rPr>
              <w:tab/>
              <w:t>16</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89"/>
              </w:rPr>
              <w:t> </w:t>
            </w:r>
            <w:r>
              <w:rPr/>
              <w:t>重要事项</w:t>
            </w:r>
            <w:r>
              <w:rPr>
                <w:rFonts w:ascii="Times New Roman" w:hAnsi="Times New Roman" w:cs="Times New Roman" w:eastAsia="Times New Roman" w:hint="default"/>
              </w:rPr>
              <w:tab/>
              <w:t>41</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89"/>
              </w:rPr>
              <w:t> </w:t>
            </w:r>
            <w:r>
              <w:rPr/>
              <w:t>股份变动及股东情况</w:t>
            </w:r>
            <w:r>
              <w:rPr>
                <w:rFonts w:ascii="Times New Roman" w:hAnsi="Times New Roman" w:cs="Times New Roman" w:eastAsia="Times New Roman" w:hint="default"/>
              </w:rPr>
              <w:tab/>
              <w:t>60</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89"/>
              </w:rPr>
              <w:t> </w:t>
            </w:r>
            <w:r>
              <w:rPr/>
              <w:t>优先股相关情况</w:t>
            </w:r>
            <w:r>
              <w:rPr>
                <w:rFonts w:ascii="Times New Roman" w:hAnsi="Times New Roman" w:cs="Times New Roman" w:eastAsia="Times New Roman" w:hint="default"/>
              </w:rPr>
              <w:tab/>
              <w:t>67</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r>
            <w:r>
              <w:rPr>
                <w:spacing w:val="89"/>
              </w:rPr>
              <w:t> </w:t>
            </w:r>
            <w:r>
              <w:rPr/>
              <w:t>可转换公司债券相关情况</w:t>
            </w:r>
            <w:r>
              <w:rPr>
                <w:rFonts w:ascii="Times New Roman" w:hAnsi="Times New Roman" w:cs="Times New Roman" w:eastAsia="Times New Roman" w:hint="default"/>
              </w:rPr>
              <w:tab/>
              <w:t>68</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w:t>
            </w:r>
            <w:r>
              <w:rPr>
                <w:spacing w:val="89"/>
              </w:rPr>
              <w:t> </w:t>
            </w:r>
            <w:r>
              <w:rPr/>
              <w:t>董事、监事、高级管理人员和员工情况</w:t>
            </w:r>
            <w:r>
              <w:rPr>
                <w:rFonts w:ascii="Times New Roman" w:hAnsi="Times New Roman" w:cs="Times New Roman" w:eastAsia="Times New Roman" w:hint="default"/>
              </w:rPr>
              <w:tab/>
              <w:t>69</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89"/>
              </w:rPr>
              <w:t> </w:t>
            </w:r>
            <w:r>
              <w:rPr/>
              <w:t>公司治理</w:t>
            </w:r>
            <w:r>
              <w:rPr>
                <w:rFonts w:ascii="Times New Roman" w:hAnsi="Times New Roman" w:cs="Times New Roman" w:eastAsia="Times New Roman" w:hint="default"/>
              </w:rPr>
              <w:tab/>
              <w:t>76</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r>
              <w:rPr>
                <w:spacing w:val="1"/>
              </w:rPr>
              <w:t> </w:t>
            </w:r>
            <w:r>
              <w:rPr/>
              <w:t>公司债券相关情况</w:t>
            </w:r>
            <w:r>
              <w:rPr>
                <w:rFonts w:ascii="Times New Roman" w:hAnsi="Times New Roman" w:cs="Times New Roman" w:eastAsia="Times New Roman" w:hint="default"/>
              </w:rPr>
              <w:tab/>
              <w:t>84</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11">
            <w:r>
              <w:rPr/>
              <w:t>第十二节</w:t>
            </w:r>
            <w:r>
              <w:rPr>
                <w:spacing w:val="1"/>
              </w:rPr>
              <w:t> </w:t>
            </w:r>
            <w:r>
              <w:rPr/>
              <w:t>财务报告</w:t>
            </w:r>
            <w:r>
              <w:rPr>
                <w:rFonts w:ascii="Times New Roman" w:hAnsi="Times New Roman" w:cs="Times New Roman" w:eastAsia="Times New Roman" w:hint="default"/>
              </w:rPr>
              <w:tab/>
              <w:t>85</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12">
            <w:r>
              <w:rPr/>
              <w:t>第十三节</w:t>
            </w:r>
            <w:r>
              <w:rPr>
                <w:spacing w:val="1"/>
              </w:rPr>
              <w:t> </w:t>
            </w:r>
            <w:r>
              <w:rPr/>
              <w:t>备查文件目录</w:t>
            </w:r>
            <w:r>
              <w:rPr>
                <w:rFonts w:ascii="Times New Roman" w:hAnsi="Times New Roman" w:cs="Times New Roman" w:eastAsia="Times New Roman" w:hint="default"/>
              </w:rPr>
              <w:tab/>
              <w:t>220</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5" w:footer="980" w:top="1060" w:bottom="1160" w:left="980" w:right="0"/>
        </w:sectPr>
      </w:pPr>
    </w:p>
    <w:p>
      <w:pPr>
        <w:spacing w:before="945"/>
        <w:ind w:left="2421" w:right="3399"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610"/>
        <w:gridCol w:w="5425"/>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中国证监会、证监会</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苏州恒久、恒久科技、公司、本公司</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苏州恒久光电科技股份有限公司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吴中恒久</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苏州吴中恒久光电子科技有限公司，公司全资子公司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恒久欧洲</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GOLDENGREEN TECHNOLOGIES EU</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，公司全资子公司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恒久国际</w:t>
            </w:r>
          </w:p>
        </w:tc>
        <w:tc>
          <w:tcPr>
            <w:tcW w:w="6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5" w:type="dxa"/>
            <w:vMerge w:val="restart"/>
            <w:tcBorders>
              <w:top w:val="single" w:sz="4" w:space="0" w:color="000000"/>
              <w:left w:val="single" w:sz="9" w:space="0" w:color="D2D2D2"/>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GOLDENGREEN</w:t>
            </w:r>
            <w:r>
              <w:rPr>
                <w:rFonts w:ascii="Times New Roman" w:hAnsi="Times New Roman" w:cs="Times New Roman" w:eastAsia="Times New Roman" w:hint="default"/>
                <w:spacing w:val="-17"/>
                <w:sz w:val="18"/>
                <w:szCs w:val="18"/>
              </w:rPr>
              <w:t> </w:t>
            </w:r>
            <w:r>
              <w:rPr>
                <w:rFonts w:ascii="Times New Roman" w:hAnsi="Times New Roman" w:cs="Times New Roman" w:eastAsia="Times New Roman" w:hint="default"/>
                <w:sz w:val="18"/>
                <w:szCs w:val="18"/>
              </w:rPr>
              <w:t>TECHNOLOGIES</w:t>
            </w:r>
            <w:r>
              <w:rPr>
                <w:rFonts w:ascii="Times New Roman" w:hAnsi="Times New Roman" w:cs="Times New Roman" w:eastAsia="Times New Roman" w:hint="default"/>
                <w:spacing w:val="-16"/>
                <w:sz w:val="18"/>
                <w:szCs w:val="18"/>
              </w:rPr>
              <w:t> </w:t>
            </w:r>
            <w:r>
              <w:rPr>
                <w:rFonts w:ascii="Times New Roman" w:hAnsi="Times New Roman" w:cs="Times New Roman" w:eastAsia="Times New Roman" w:hint="default"/>
                <w:sz w:val="18"/>
                <w:szCs w:val="18"/>
              </w:rPr>
              <w:t>INTERNATIONAL</w:t>
            </w:r>
            <w:r>
              <w:rPr>
                <w:rFonts w:ascii="Times New Roman" w:hAnsi="Times New Roman" w:cs="Times New Roman" w:eastAsia="Times New Roman" w:hint="default"/>
                <w:spacing w:val="-21"/>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，公</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司全资孙公司</w:t>
            </w:r>
          </w:p>
        </w:tc>
      </w:tr>
      <w:tr>
        <w:trPr>
          <w:trHeight w:val="394" w:hRule="exact"/>
        </w:trPr>
        <w:tc>
          <w:tcPr>
            <w:tcW w:w="3536" w:type="dxa"/>
            <w:vMerge/>
            <w:tcBorders>
              <w:left w:val="single" w:sz="4" w:space="0" w:color="000000"/>
              <w:right w:val="single" w:sz="9" w:space="0" w:color="D2D2D2"/>
            </w:tcBorders>
          </w:tcPr>
          <w:p>
            <w:pPr/>
          </w:p>
        </w:tc>
        <w:tc>
          <w:tcPr>
            <w:tcW w:w="6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610"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5" w:type="dxa"/>
            <w:vMerge/>
            <w:tcBorders>
              <w:left w:val="single" w:sz="9" w:space="0" w:color="D2D2D2"/>
              <w:bottom w:val="single" w:sz="4" w:space="0" w:color="000000"/>
              <w:right w:val="single" w:sz="4" w:space="0" w:color="000000"/>
            </w:tcBorders>
          </w:tcPr>
          <w:p>
            <w:pP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恒久数码</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苏州恒久数码科技有限公司，公司全资子公司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环球影像</w:t>
            </w:r>
          </w:p>
        </w:tc>
        <w:tc>
          <w:tcPr>
            <w:tcW w:w="6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5" w:type="dxa"/>
            <w:vMerge w:val="restart"/>
            <w:tcBorders>
              <w:top w:val="single" w:sz="4" w:space="0" w:color="000000"/>
              <w:left w:val="single" w:sz="9" w:space="0" w:color="D2D2D2"/>
              <w:right w:val="single" w:sz="4" w:space="0" w:color="000000"/>
            </w:tcBorders>
          </w:tcPr>
          <w:p>
            <w:pPr>
              <w:pStyle w:val="TableParagraph"/>
              <w:spacing w:line="300" w:lineRule="auto" w:before="49"/>
              <w:ind w:left="17" w:right="94"/>
              <w:jc w:val="left"/>
              <w:rPr>
                <w:rFonts w:ascii="宋体" w:hAnsi="宋体" w:cs="宋体" w:eastAsia="宋体" w:hint="default"/>
                <w:sz w:val="18"/>
                <w:szCs w:val="18"/>
              </w:rPr>
            </w:pPr>
            <w:r>
              <w:rPr>
                <w:rFonts w:ascii="宋体" w:hAnsi="宋体" w:cs="宋体" w:eastAsia="宋体" w:hint="default"/>
                <w:spacing w:val="-1"/>
                <w:w w:val="99"/>
                <w:sz w:val="18"/>
                <w:szCs w:val="18"/>
              </w:rPr>
              <w:t>环球影像系统有限公司（</w:t>
            </w:r>
            <w:r>
              <w:rPr>
                <w:rFonts w:ascii="Times New Roman" w:hAnsi="Times New Roman" w:cs="Times New Roman" w:eastAsia="Times New Roman" w:hint="default"/>
                <w:spacing w:val="-1"/>
                <w:w w:val="99"/>
                <w:sz w:val="18"/>
                <w:szCs w:val="18"/>
              </w:rPr>
              <w:t>Global</w:t>
            </w:r>
            <w:r>
              <w:rPr>
                <w:rFonts w:ascii="Times New Roman" w:hAnsi="Times New Roman" w:cs="Times New Roman" w:eastAsia="Times New Roman" w:hint="default"/>
                <w:spacing w:val="9"/>
                <w:w w:val="99"/>
                <w:sz w:val="18"/>
                <w:szCs w:val="18"/>
              </w:rPr>
              <w:t> </w:t>
            </w:r>
            <w:r>
              <w:rPr>
                <w:rFonts w:ascii="Times New Roman" w:hAnsi="Times New Roman" w:cs="Times New Roman" w:eastAsia="Times New Roman" w:hint="default"/>
                <w:spacing w:val="-1"/>
                <w:sz w:val="18"/>
                <w:szCs w:val="18"/>
              </w:rPr>
              <w:t>Imaging</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pacing w:val="-1"/>
                <w:w w:val="99"/>
                <w:sz w:val="18"/>
                <w:szCs w:val="18"/>
              </w:rPr>
              <w:t>System</w:t>
            </w:r>
            <w:r>
              <w:rPr>
                <w:rFonts w:ascii="Times New Roman" w:hAnsi="Times New Roman" w:cs="Times New Roman" w:eastAsia="Times New Roman" w:hint="default"/>
                <w:spacing w:val="8"/>
                <w:w w:val="99"/>
                <w:sz w:val="18"/>
                <w:szCs w:val="18"/>
              </w:rPr>
              <w:t> </w:t>
            </w:r>
            <w:r>
              <w:rPr>
                <w:rFonts w:ascii="Times New Roman" w:hAnsi="Times New Roman" w:cs="Times New Roman" w:eastAsia="Times New Roman" w:hint="default"/>
                <w:spacing w:val="-8"/>
                <w:sz w:val="18"/>
                <w:szCs w:val="18"/>
              </w:rPr>
              <w:t>Limited</w:t>
            </w:r>
            <w:r>
              <w:rPr>
                <w:rFonts w:ascii="宋体" w:hAnsi="宋体" w:cs="宋体" w:eastAsia="宋体" w:hint="default"/>
                <w:spacing w:val="-8"/>
                <w:sz w:val="18"/>
                <w:szCs w:val="18"/>
              </w:rPr>
              <w:t>），公司全资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子公司</w:t>
            </w:r>
          </w:p>
        </w:tc>
      </w:tr>
      <w:tr>
        <w:trPr>
          <w:trHeight w:val="394" w:hRule="exact"/>
        </w:trPr>
        <w:tc>
          <w:tcPr>
            <w:tcW w:w="3536" w:type="dxa"/>
            <w:vMerge/>
            <w:tcBorders>
              <w:left w:val="single" w:sz="4" w:space="0" w:color="000000"/>
              <w:right w:val="single" w:sz="9" w:space="0" w:color="D2D2D2"/>
            </w:tcBorders>
          </w:tcPr>
          <w:p>
            <w:pPr/>
          </w:p>
        </w:tc>
        <w:tc>
          <w:tcPr>
            <w:tcW w:w="6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610"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5" w:type="dxa"/>
            <w:vMerge/>
            <w:tcBorders>
              <w:left w:val="single" w:sz="9" w:space="0" w:color="D2D2D2"/>
              <w:bottom w:val="single" w:sz="4" w:space="0" w:color="000000"/>
              <w:right w:val="single" w:sz="4" w:space="0" w:color="000000"/>
            </w:tcBorders>
          </w:tcPr>
          <w:p>
            <w:pP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恒久保理</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苏州恒久商业保理有限公司，公司全资子公司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恒久高新</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苏州恒久高新产业发展有限公司，公司全资子公司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恒久丰德</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苏州恒久丰德新能源技术有限公司，公司全资子公司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闽保信息、闽保公司、福建闽保</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福建省闽保信息技术有限公司，公司控股子公司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壹办公</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深圳市壹办公科技股份有限公司，公司参股公司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苏州恒久光电科技股份有限公司股东大会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苏州恒久光电科技股份有限公司董事会</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苏州恒久光电科技股份有限公司监事会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苏州恒久光电科技股份有限公司公司章程</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报告期、本报告期</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上年同期</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除特别注明外，其余均指人民币元、人民币万元</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8"/>
                <w:sz w:val="18"/>
                <w:szCs w:val="18"/>
              </w:rPr>
              <w:t>激光有机光导鼓、有机光导鼓、激光</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OPC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鼓</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OPC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鼓</w:t>
            </w:r>
          </w:p>
        </w:tc>
        <w:tc>
          <w:tcPr>
            <w:tcW w:w="6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5" w:type="dxa"/>
            <w:vMerge w:val="restart"/>
            <w:tcBorders>
              <w:top w:val="single" w:sz="4" w:space="0" w:color="000000"/>
              <w:left w:val="single" w:sz="9" w:space="0" w:color="D2D2D2"/>
              <w:right w:val="single" w:sz="4" w:space="0" w:color="000000"/>
            </w:tcBorders>
          </w:tcPr>
          <w:p>
            <w:pPr>
              <w:pStyle w:val="TableParagraph"/>
              <w:spacing w:line="316" w:lineRule="auto" w:before="49"/>
              <w:ind w:left="17" w:right="20"/>
              <w:jc w:val="left"/>
              <w:rPr>
                <w:rFonts w:ascii="宋体" w:hAnsi="宋体" w:cs="宋体" w:eastAsia="宋体" w:hint="default"/>
                <w:sz w:val="18"/>
                <w:szCs w:val="18"/>
              </w:rPr>
            </w:pPr>
            <w:r>
              <w:rPr>
                <w:rFonts w:ascii="宋体" w:hAnsi="宋体" w:cs="宋体" w:eastAsia="宋体" w:hint="default"/>
                <w:spacing w:val="-2"/>
                <w:sz w:val="18"/>
                <w:szCs w:val="18"/>
              </w:rPr>
              <w:t>激光有机光导鼓是鼓粉盒（硒鼓）中的最核心部件，用于将信息经光</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电转换而成为输出的文字或图像</w:t>
            </w:r>
          </w:p>
        </w:tc>
      </w:tr>
      <w:tr>
        <w:trPr>
          <w:trHeight w:val="391" w:hRule="exact"/>
        </w:trPr>
        <w:tc>
          <w:tcPr>
            <w:tcW w:w="3536" w:type="dxa"/>
            <w:vMerge/>
            <w:tcBorders>
              <w:left w:val="single" w:sz="4" w:space="0" w:color="000000"/>
              <w:right w:val="single" w:sz="9" w:space="0" w:color="D2D2D2"/>
            </w:tcBorders>
          </w:tcPr>
          <w:p>
            <w:pPr/>
          </w:p>
        </w:tc>
        <w:tc>
          <w:tcPr>
            <w:tcW w:w="6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89" w:lineRule="exact"/>
              <w:ind w:left="-13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610"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5" w:type="dxa"/>
            <w:vMerge/>
            <w:tcBorders>
              <w:left w:val="single" w:sz="9" w:space="0" w:color="D2D2D2"/>
              <w:bottom w:val="single" w:sz="4" w:space="0" w:color="000000"/>
              <w:right w:val="single" w:sz="4" w:space="0" w:color="000000"/>
            </w:tcBorders>
          </w:tcPr>
          <w:p>
            <w:pP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硒鼓</w:t>
            </w:r>
          </w:p>
        </w:tc>
        <w:tc>
          <w:tcPr>
            <w:tcW w:w="6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5" w:type="dxa"/>
            <w:vMerge w:val="restart"/>
            <w:tcBorders>
              <w:top w:val="single" w:sz="4" w:space="0" w:color="000000"/>
              <w:left w:val="single" w:sz="9" w:space="0" w:color="D2D2D2"/>
              <w:right w:val="single" w:sz="4" w:space="0" w:color="000000"/>
            </w:tcBorders>
          </w:tcPr>
          <w:p>
            <w:pPr>
              <w:pStyle w:val="TableParagraph"/>
              <w:spacing w:line="300" w:lineRule="auto" w:before="49"/>
              <w:ind w:left="17" w:right="21"/>
              <w:jc w:val="left"/>
              <w:rPr>
                <w:rFonts w:ascii="宋体" w:hAnsi="宋体" w:cs="宋体" w:eastAsia="宋体" w:hint="default"/>
                <w:sz w:val="18"/>
                <w:szCs w:val="18"/>
              </w:rPr>
            </w:pPr>
            <w:r>
              <w:rPr>
                <w:rFonts w:ascii="宋体" w:hAnsi="宋体" w:cs="宋体" w:eastAsia="宋体" w:hint="default"/>
                <w:sz w:val="18"/>
                <w:szCs w:val="18"/>
              </w:rPr>
              <w:t>打印机、复印机、多功能一体机中关键的成像部件，由</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OPC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鼓、碳 </w:t>
            </w:r>
            <w:r>
              <w:rPr>
                <w:rFonts w:ascii="宋体" w:hAnsi="宋体" w:cs="宋体" w:eastAsia="宋体" w:hint="default"/>
                <w:spacing w:val="-2"/>
                <w:sz w:val="18"/>
                <w:szCs w:val="18"/>
              </w:rPr>
              <w:t>粉、充电辊、磁辊、清洁组件、塑胶组件等构成，它不仅决定了打印</w:t>
            </w:r>
          </w:p>
          <w:p>
            <w:pPr>
              <w:pStyle w:val="TableParagraph"/>
              <w:spacing w:line="240" w:lineRule="auto" w:before="31"/>
              <w:ind w:left="17" w:right="0"/>
              <w:jc w:val="left"/>
              <w:rPr>
                <w:rFonts w:ascii="宋体" w:hAnsi="宋体" w:cs="宋体" w:eastAsia="宋体" w:hint="default"/>
                <w:sz w:val="18"/>
                <w:szCs w:val="18"/>
              </w:rPr>
            </w:pPr>
            <w:r>
              <w:rPr>
                <w:rFonts w:ascii="宋体" w:hAnsi="宋体" w:cs="宋体" w:eastAsia="宋体" w:hint="default"/>
                <w:sz w:val="18"/>
                <w:szCs w:val="18"/>
              </w:rPr>
              <w:t>（复印）质量的好坏，还决定了使用者在使用过程中需支付的费用</w:t>
            </w:r>
          </w:p>
        </w:tc>
      </w:tr>
      <w:tr>
        <w:trPr>
          <w:trHeight w:val="394" w:hRule="exact"/>
        </w:trPr>
        <w:tc>
          <w:tcPr>
            <w:tcW w:w="3536" w:type="dxa"/>
            <w:vMerge/>
            <w:tcBorders>
              <w:left w:val="single" w:sz="4" w:space="0" w:color="000000"/>
              <w:right w:val="single" w:sz="9" w:space="0" w:color="D2D2D2"/>
            </w:tcBorders>
          </w:tcPr>
          <w:p>
            <w:pPr/>
          </w:p>
        </w:tc>
        <w:tc>
          <w:tcPr>
            <w:tcW w:w="6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610"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5" w:type="dxa"/>
            <w:vMerge/>
            <w:tcBorders>
              <w:left w:val="single" w:sz="9" w:space="0" w:color="D2D2D2"/>
              <w:bottom w:val="single" w:sz="4" w:space="0" w:color="000000"/>
              <w:right w:val="single" w:sz="4" w:space="0" w:color="000000"/>
            </w:tcBorders>
          </w:tcPr>
          <w:p>
            <w:pP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碳粉</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8"/>
              <w:ind w:left="13" w:right="0"/>
              <w:jc w:val="left"/>
              <w:rPr>
                <w:rFonts w:ascii="宋体" w:hAnsi="宋体" w:cs="宋体" w:eastAsia="宋体" w:hint="default"/>
                <w:sz w:val="18"/>
                <w:szCs w:val="18"/>
              </w:rPr>
            </w:pPr>
            <w:r>
              <w:rPr>
                <w:rFonts w:ascii="宋体" w:hAnsi="宋体" w:cs="宋体" w:eastAsia="宋体" w:hint="default"/>
                <w:sz w:val="18"/>
                <w:szCs w:val="18"/>
              </w:rPr>
              <w:t>学名色调剂（</w:t>
            </w:r>
            <w:r>
              <w:rPr>
                <w:rFonts w:ascii="Times New Roman" w:hAnsi="Times New Roman" w:cs="Times New Roman" w:eastAsia="Times New Roman" w:hint="default"/>
                <w:spacing w:val="-14"/>
                <w:sz w:val="18"/>
                <w:szCs w:val="18"/>
              </w:rPr>
              <w:t>T</w:t>
            </w:r>
            <w:r>
              <w:rPr>
                <w:rFonts w:ascii="Times New Roman" w:hAnsi="Times New Roman" w:cs="Times New Roman" w:eastAsia="Times New Roman" w:hint="default"/>
                <w:spacing w:val="1"/>
                <w:sz w:val="18"/>
                <w:szCs w:val="18"/>
              </w:rPr>
              <w:t>on</w:t>
            </w:r>
            <w:r>
              <w:rPr>
                <w:rFonts w:ascii="Times New Roman" w:hAnsi="Times New Roman" w:cs="Times New Roman" w:eastAsia="Times New Roman" w:hint="default"/>
                <w:spacing w:val="-1"/>
                <w:sz w:val="18"/>
                <w:szCs w:val="18"/>
              </w:rPr>
              <w:t>e</w:t>
            </w:r>
            <w:r>
              <w:rPr>
                <w:rFonts w:ascii="Times New Roman" w:hAnsi="Times New Roman" w:cs="Times New Roman" w:eastAsia="Times New Roman" w:hint="default"/>
                <w:sz w:val="18"/>
                <w:szCs w:val="18"/>
              </w:rPr>
              <w:t>r</w:t>
            </w:r>
            <w:r>
              <w:rPr>
                <w:rFonts w:ascii="宋体" w:hAnsi="宋体" w:cs="宋体" w:eastAsia="宋体" w:hint="default"/>
                <w:spacing w:val="-92"/>
                <w:sz w:val="18"/>
                <w:szCs w:val="18"/>
              </w:rPr>
              <w:t>）</w:t>
            </w:r>
            <w:r>
              <w:rPr>
                <w:rFonts w:ascii="宋体" w:hAnsi="宋体" w:cs="宋体" w:eastAsia="宋体" w:hint="default"/>
                <w:sz w:val="18"/>
                <w:szCs w:val="18"/>
              </w:rPr>
              <w:t>、静电显影剂，是显影过程中使静电潜像成为可</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525"/>
        <w:gridCol w:w="620"/>
        <w:gridCol w:w="5425"/>
      </w:tblGrid>
      <w:tr>
        <w:trPr>
          <w:trHeight w:val="987" w:hRule="exact"/>
        </w:trPr>
        <w:tc>
          <w:tcPr>
            <w:tcW w:w="3525"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20"/>
              <w:jc w:val="both"/>
              <w:rPr>
                <w:rFonts w:ascii="宋体" w:hAnsi="宋体" w:cs="宋体" w:eastAsia="宋体" w:hint="default"/>
                <w:sz w:val="18"/>
                <w:szCs w:val="18"/>
              </w:rPr>
            </w:pPr>
            <w:r>
              <w:rPr>
                <w:rFonts w:ascii="宋体" w:hAnsi="宋体" w:cs="宋体" w:eastAsia="宋体" w:hint="default"/>
                <w:spacing w:val="-2"/>
                <w:sz w:val="18"/>
                <w:szCs w:val="18"/>
              </w:rPr>
              <w:t>见图像的粉末状材料，最终通过定影过程被固定在纸张上形成文字或</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图像，是打印机、复印机、多功能一体机等办公设备的核心消耗材料</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之一</w:t>
            </w:r>
          </w:p>
        </w:tc>
      </w:tr>
    </w:tbl>
    <w:p>
      <w:pPr>
        <w:spacing w:after="0" w:line="319" w:lineRule="auto"/>
        <w:jc w:val="both"/>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72.339996pt;margin-top:272.78598pt;width:361.55pt;height:19.6pt;mso-position-horizontal-relative:page;mso-position-vertical-relative:page;z-index:-1094656" coordorigin="3447,5456" coordsize="7231,392">
            <v:shape style="position:absolute;left:3447;top:5456;width:7231;height:392" coordorigin="3447,5456" coordsize="7231,392" path="m3447,5847l10677,5847,10677,5456,3447,5456,3447,5847xe" filled="true" fillcolor="#ffffff" stroked="false">
              <v:path arrowok="t"/>
              <v:fill type="solid"/>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left="2723" w:right="1133"/>
        <w:jc w:val="left"/>
        <w:rPr>
          <w:b w:val="0"/>
          <w:bCs w:val="0"/>
        </w:rPr>
      </w:pPr>
      <w:bookmarkStart w:name="_bookmark1" w:id="2"/>
      <w:bookmarkEnd w:id="2"/>
      <w:r>
        <w:rPr>
          <w:b w:val="0"/>
          <w:bCs w:val="0"/>
        </w:rPr>
      </w:r>
      <w:r>
        <w:rPr/>
        <w:t>第二节公司简介和主要财务指标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66"/>
        <w:gridCol w:w="2154"/>
        <w:gridCol w:w="2177"/>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恒久科技</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002808</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苏州恒久光电科技股份有限公司</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恒久科技</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Suzhou Goldengreen Technologies</w:t>
            </w:r>
            <w:r>
              <w:rPr>
                <w:rFonts w:ascii="Times New Roman"/>
                <w:spacing w:val="-28"/>
                <w:sz w:val="18"/>
              </w:rPr>
              <w:t> </w:t>
            </w:r>
            <w:r>
              <w:rPr>
                <w:rFonts w:ascii="Times New Roman"/>
                <w:sz w:val="18"/>
              </w:rPr>
              <w:t>Ltd.</w:t>
            </w:r>
          </w:p>
        </w:tc>
      </w:tr>
      <w:tr>
        <w:trPr>
          <w:trHeight w:val="401"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SGT</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余荣清</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江苏省苏州市高新区火炬路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215011</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江苏省苏州市高新区火炬路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215011</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www.sgt21.com</w:t>
              </w:r>
            </w:hyperlink>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admin@sgt21.com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余荣清（代）</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李雪阳</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苏州市高新区火炬路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苏州市高新区火炬路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0512-82278868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0512-82278868</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0512-82278868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0512-82278868</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admin@sgt21.com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admin@sgt21.com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4"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公司证券事务部</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b/>
          <w:bCs/>
          <w:sz w:val="23"/>
          <w:szCs w:val="23"/>
        </w:rPr>
      </w:pPr>
    </w:p>
    <w:p>
      <w:pPr>
        <w:pStyle w:val="Heading2"/>
        <w:spacing w:line="240" w:lineRule="auto" w:before="26"/>
        <w:ind w:right="1133"/>
        <w:jc w:val="left"/>
        <w:rPr>
          <w:b w:val="0"/>
          <w:bCs w:val="0"/>
        </w:rPr>
      </w:pPr>
      <w:r>
        <w:rPr/>
        <w:t>四、注册变更情况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638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91320500737061190F</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r>
        <w:rPr/>
        <w:t>五、其他有关资料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永拓会计师事务所（特殊普通合伙）</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北京市朝阳区关东店北街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层</w:t>
            </w:r>
          </w:p>
        </w:tc>
      </w:tr>
      <w:tr>
        <w:trPr>
          <w:trHeight w:val="404"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陈晓鸿、何瑜</w:t>
            </w:r>
          </w:p>
        </w:tc>
      </w:tr>
    </w:tbl>
    <w:p>
      <w:pPr>
        <w:pStyle w:val="BodyText"/>
        <w:spacing w:line="240" w:lineRule="auto" w:before="49"/>
        <w:ind w:right="1133"/>
        <w:jc w:val="left"/>
      </w:pPr>
      <w:r>
        <w:rPr/>
        <w:t>公司聘请的报告期内履行持续督导职责的保荐机构</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中国银河证券股份有限公司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3" w:right="101"/>
              <w:jc w:val="left"/>
              <w:rPr>
                <w:rFonts w:ascii="宋体" w:hAnsi="宋体" w:cs="宋体" w:eastAsia="宋体" w:hint="default"/>
                <w:sz w:val="18"/>
                <w:szCs w:val="18"/>
              </w:rPr>
            </w:pPr>
            <w:r>
              <w:rPr>
                <w:rFonts w:ascii="宋体" w:hAnsi="宋体" w:cs="宋体" w:eastAsia="宋体" w:hint="default"/>
                <w:sz w:val="18"/>
                <w:szCs w:val="18"/>
              </w:rPr>
              <w:t>北京市西城区金融大街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国际企业大厦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C </w:t>
            </w:r>
            <w:r>
              <w:rPr>
                <w:rFonts w:ascii="宋体" w:hAnsi="宋体" w:cs="宋体" w:eastAsia="宋体" w:hint="default"/>
                <w:sz w:val="18"/>
                <w:szCs w:val="18"/>
              </w:rPr>
              <w:t>座</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张悦、郭玉良</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3"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日至公司募集 资金使用完毕之日</w:t>
            </w:r>
          </w:p>
        </w:tc>
      </w:tr>
    </w:tbl>
    <w:p>
      <w:pPr>
        <w:pStyle w:val="BodyText"/>
        <w:spacing w:line="240" w:lineRule="auto" w:before="49"/>
        <w:ind w:right="1133"/>
        <w:jc w:val="left"/>
      </w:pPr>
      <w:r>
        <w:rPr/>
        <w:t>公司聘请的报告期内履行持续督导职责的财务顾问</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六、主要会计数据和财务指标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公司是否需追溯调整或重述以前年度会计数据</w:t>
      </w:r>
    </w:p>
    <w:p>
      <w:pPr>
        <w:pStyle w:val="BodyText"/>
        <w:spacing w:line="240" w:lineRule="auto" w:before="117"/>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49"/>
        <w:gridCol w:w="1738"/>
        <w:gridCol w:w="1738"/>
        <w:gridCol w:w="1735"/>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316,379,060.65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318,813,645.89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-0.76%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286,359,847.67</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20,928,978.84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34,659,747.32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-39.62%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30,446,607.75</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18,062,151.44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32,739,514.17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-44.83%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26,500,038.70</w:t>
            </w:r>
          </w:p>
        </w:tc>
      </w:tr>
      <w:tr>
        <w:trPr>
          <w:trHeight w:val="716"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53,380,736.06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-35,016,238.51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252.45%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2,730,869.44</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0.078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0.129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-39.53%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0.113</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0.078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0.129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-39.53%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0.113</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-2.62%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5.72%</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845,630,083.57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687,339,463.82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622,898,240.51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0"/>
        <w:gridCol w:w="1738"/>
        <w:gridCol w:w="1738"/>
        <w:gridCol w:w="1738"/>
        <w:gridCol w:w="1735"/>
      </w:tblGrid>
      <w:tr>
        <w:trPr>
          <w:trHeight w:val="716" w:hRule="exact"/>
        </w:trPr>
        <w:tc>
          <w:tcPr>
            <w:tcW w:w="2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1" w:right="0"/>
              <w:jc w:val="left"/>
              <w:rPr>
                <w:rFonts w:ascii="Times New Roman" w:hAnsi="Times New Roman" w:cs="Times New Roman" w:eastAsia="Times New Roman" w:hint="default"/>
                <w:sz w:val="18"/>
                <w:szCs w:val="18"/>
              </w:rPr>
            </w:pPr>
            <w:r>
              <w:rPr>
                <w:rFonts w:ascii="Times New Roman"/>
                <w:sz w:val="18"/>
              </w:rPr>
              <w:t>577,363,560.03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8" w:right="0"/>
              <w:jc w:val="left"/>
              <w:rPr>
                <w:rFonts w:ascii="Times New Roman" w:hAnsi="Times New Roman" w:cs="Times New Roman" w:eastAsia="Times New Roman" w:hint="default"/>
                <w:sz w:val="18"/>
                <w:szCs w:val="18"/>
              </w:rPr>
            </w:pPr>
            <w:r>
              <w:rPr>
                <w:rFonts w:ascii="Times New Roman"/>
                <w:sz w:val="18"/>
              </w:rPr>
              <w:t>566,624,941.71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1.90%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5" w:right="0"/>
              <w:jc w:val="left"/>
              <w:rPr>
                <w:rFonts w:ascii="Times New Roman" w:hAnsi="Times New Roman" w:cs="Times New Roman" w:eastAsia="Times New Roman" w:hint="default"/>
                <w:sz w:val="18"/>
                <w:szCs w:val="18"/>
              </w:rPr>
            </w:pPr>
            <w:r>
              <w:rPr>
                <w:rFonts w:ascii="Times New Roman"/>
                <w:sz w:val="18"/>
              </w:rPr>
              <w:t>540,957,167.11</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before="0"/>
        <w:ind w:right="1133"/>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184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7"/>
        <w:rPr>
          <w:rFonts w:ascii="宋体" w:hAnsi="宋体" w:cs="宋体" w:eastAsia="宋体" w:hint="default"/>
          <w:sz w:val="21"/>
          <w:szCs w:val="21"/>
        </w:rPr>
      </w:pPr>
    </w:p>
    <w:p>
      <w:pPr>
        <w:pStyle w:val="Heading3"/>
        <w:spacing w:line="240" w:lineRule="auto" w:before="0"/>
        <w:ind w:right="1133"/>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26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1133"/>
        <w:jc w:val="left"/>
        <w:rPr>
          <w:b w:val="0"/>
          <w:bCs w:val="0"/>
        </w:rPr>
      </w:pPr>
      <w:r>
        <w:rPr/>
        <w:t>八、分季度主要财务指标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40"/>
        <w:gridCol w:w="1738"/>
        <w:gridCol w:w="1730"/>
      </w:tblGrid>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68,351,053.98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71,697,552.24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71,019,067.84</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105,311,386.59</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2,836,080.36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7,363,960.62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4,884,489.04</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5,844,448.82</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2,044,695.02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6,446,678.52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4,535,288.80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5,035,489.10</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3,149,145.93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9,754,206.92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15,289,133.15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25,188,250.06</w:t>
            </w:r>
          </w:p>
        </w:tc>
      </w:tr>
    </w:tbl>
    <w:p>
      <w:pPr>
        <w:pStyle w:val="BodyText"/>
        <w:spacing w:line="240" w:lineRule="auto" w:before="49"/>
        <w:ind w:right="1133"/>
        <w:jc w:val="left"/>
      </w:pPr>
      <w:r>
        <w:rPr/>
        <w:t>上述财务指标或其加总数是否与公司已披露季度报告、半年度报告相关财务指标存在重大差异</w:t>
      </w:r>
    </w:p>
    <w:p>
      <w:pPr>
        <w:pStyle w:val="BodyText"/>
        <w:spacing w:line="240" w:lineRule="auto" w:before="117"/>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九、非经常性损益项目及金额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59,793.65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-15,716.40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-18,689.86</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1,283,603.39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607,416.73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531,456.44</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-83,983.33</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 融资产、交易性金融负债、衍生金融负债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2,383,016.63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1,868,294.77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4,327,546.49</w:t>
            </w:r>
          </w:p>
        </w:tc>
        <w:tc>
          <w:tcPr>
            <w:tcW w:w="17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5"/>
        <w:gridCol w:w="1522"/>
        <w:gridCol w:w="1520"/>
        <w:gridCol w:w="1522"/>
        <w:gridCol w:w="1711"/>
      </w:tblGrid>
      <w:tr>
        <w:trPr>
          <w:trHeight w:val="1299"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2" w:right="20"/>
              <w:jc w:val="both"/>
              <w:rPr>
                <w:rFonts w:ascii="宋体" w:hAnsi="宋体" w:cs="宋体" w:eastAsia="宋体" w:hint="default"/>
                <w:sz w:val="18"/>
                <w:szCs w:val="18"/>
              </w:rPr>
            </w:pPr>
            <w:r>
              <w:rPr>
                <w:rFonts w:ascii="宋体" w:hAnsi="宋体" w:cs="宋体" w:eastAsia="宋体" w:hint="default"/>
                <w:sz w:val="18"/>
                <w:szCs w:val="18"/>
              </w:rPr>
              <w:t>产生的公允价值变动损益，以及处置交易 性金融资产、衍生金融资产、交易性金融 负债、衍生金融负债和其他债权投资取得 的投资收益</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-227,371.44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-8,766.78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-464.98</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632,214.83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530,995.17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809,295.71</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2,866,827.40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1,920,233.15</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3,946,569.05</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1"/>
        <w:ind w:right="1117"/>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525" w:right="1133"/>
        <w:jc w:val="left"/>
        <w:rPr>
          <w:b w:val="0"/>
          <w:bCs w:val="0"/>
        </w:rPr>
      </w:pPr>
      <w:bookmarkStart w:name="_bookmark2" w:id="3"/>
      <w:bookmarkEnd w:id="3"/>
      <w:r>
        <w:rPr>
          <w:b w:val="0"/>
          <w:bCs w:val="0"/>
        </w:rPr>
      </w:r>
      <w:r>
        <w:rPr/>
        <w:t>第三节公司业务概要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both"/>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13"/>
        <w:rPr>
          <w:rFonts w:ascii="宋体" w:hAnsi="宋体" w:cs="宋体" w:eastAsia="宋体" w:hint="default"/>
          <w:sz w:val="13"/>
          <w:szCs w:val="13"/>
        </w:rPr>
      </w:pPr>
    </w:p>
    <w:p>
      <w:pPr>
        <w:pStyle w:val="BodyText"/>
        <w:spacing w:line="477" w:lineRule="auto"/>
        <w:ind w:left="513" w:right="1129"/>
        <w:jc w:val="left"/>
        <w:rPr>
          <w:rFonts w:ascii="宋体" w:hAnsi="宋体" w:cs="宋体" w:eastAsia="宋体" w:hint="default"/>
        </w:rPr>
      </w:pPr>
      <w:r>
        <w:rPr>
          <w:rFonts w:ascii="宋体" w:hAnsi="宋体" w:cs="宋体" w:eastAsia="宋体" w:hint="default"/>
          <w:b/>
          <w:bCs/>
        </w:rPr>
        <w:t>（一）公司主要业务</w:t>
      </w:r>
      <w:r>
        <w:rPr>
          <w:rFonts w:ascii="宋体" w:hAnsi="宋体" w:cs="宋体" w:eastAsia="宋体" w:hint="default"/>
          <w:b/>
          <w:bCs/>
          <w:w w:val="99"/>
        </w:rPr>
        <w:t> </w:t>
      </w:r>
      <w:r>
        <w:rPr>
          <w:spacing w:val="-2"/>
        </w:rPr>
        <w:t>报告期内，公司的主营业务涉及“影像耗材</w:t>
      </w:r>
      <w:r>
        <w:rPr>
          <w:rFonts w:ascii="宋体" w:hAnsi="宋体" w:cs="宋体" w:eastAsia="宋体" w:hint="default"/>
          <w:spacing w:val="-2"/>
        </w:rPr>
        <w:t>+</w:t>
      </w:r>
      <w:r>
        <w:rPr>
          <w:spacing w:val="-2"/>
        </w:rPr>
        <w:t>信息安全”两大产业。同时，根据公司战略发展规划，依托自身的“硬件</w:t>
      </w:r>
      <w:r>
        <w:rPr>
          <w:rFonts w:ascii="宋体" w:hAnsi="宋体" w:cs="宋体" w:eastAsia="宋体" w:hint="default"/>
          <w:spacing w:val="-2"/>
        </w:rPr>
        <w:t>+</w:t>
      </w:r>
    </w:p>
    <w:p>
      <w:pPr>
        <w:pStyle w:val="BodyText"/>
        <w:spacing w:line="477" w:lineRule="auto" w:before="54"/>
        <w:ind w:right="1131"/>
        <w:jc w:val="both"/>
      </w:pPr>
      <w:r>
        <w:rPr>
          <w:spacing w:val="-2"/>
        </w:rPr>
        <w:t>软件”的长期技术积累优势、系统开发能力、客户资源等优势，推动具有重大应用前景的能源系统管理业务的发展。主要业</w:t>
      </w:r>
      <w:r>
        <w:rPr>
          <w:spacing w:val="-65"/>
        </w:rPr>
        <w:t> </w:t>
      </w:r>
      <w:r>
        <w:rPr>
          <w:spacing w:val="-65"/>
        </w:rPr>
      </w:r>
      <w:r>
        <w:rPr/>
        <w:t>务内容如下：</w:t>
      </w:r>
    </w:p>
    <w:p>
      <w:pPr>
        <w:pStyle w:val="BodyText"/>
        <w:spacing w:line="463" w:lineRule="auto" w:before="55"/>
        <w:ind w:right="1129" w:firstLine="360"/>
        <w:jc w:val="left"/>
      </w:pPr>
      <w:r>
        <w:rPr>
          <w:rFonts w:ascii="Times New Roman" w:hAnsi="Times New Roman" w:cs="Times New Roman" w:eastAsia="Times New Roman" w:hint="default"/>
          <w:b/>
          <w:bCs/>
        </w:rPr>
        <w:t>1</w:t>
      </w:r>
      <w:r>
        <w:rPr>
          <w:rFonts w:ascii="宋体" w:hAnsi="宋体" w:cs="宋体" w:eastAsia="宋体" w:hint="default"/>
          <w:b/>
          <w:bCs/>
        </w:rPr>
        <w:t>、影像耗材：</w:t>
      </w:r>
      <w:r>
        <w:rPr/>
        <w:t>公司的核心业务为激光有机光导鼓（</w:t>
      </w:r>
      <w:r>
        <w:rPr>
          <w:rFonts w:ascii="Times New Roman" w:hAnsi="Times New Roman" w:cs="Times New Roman" w:eastAsia="Times New Roman" w:hint="default"/>
        </w:rPr>
        <w:t>Organic Photo-Conductor Drum</w:t>
      </w:r>
      <w:r>
        <w:rPr/>
        <w:t>，简称</w:t>
      </w:r>
      <w:r>
        <w:rPr>
          <w:rFonts w:ascii="Times New Roman" w:hAnsi="Times New Roman" w:cs="Times New Roman" w:eastAsia="Times New Roman" w:hint="default"/>
        </w:rPr>
        <w:t>“</w:t>
      </w:r>
      <w:r>
        <w:rPr/>
        <w:t>激光 </w:t>
      </w:r>
      <w:r>
        <w:rPr>
          <w:rFonts w:ascii="Times New Roman" w:hAnsi="Times New Roman" w:cs="Times New Roman" w:eastAsia="Times New Roman" w:hint="default"/>
        </w:rPr>
        <w:t>OPC</w:t>
      </w:r>
      <w:r>
        <w:rPr>
          <w:rFonts w:ascii="Times New Roman" w:hAnsi="Times New Roman" w:cs="Times New Roman" w:eastAsia="Times New Roman" w:hint="default"/>
          <w:spacing w:val="5"/>
        </w:rPr>
        <w:t> </w:t>
      </w:r>
      <w:r>
        <w:rPr/>
        <w:t>鼓</w:t>
      </w:r>
      <w:r>
        <w:rPr>
          <w:rFonts w:ascii="Times New Roman" w:hAnsi="Times New Roman" w:cs="Times New Roman" w:eastAsia="Times New Roman" w:hint="default"/>
        </w:rPr>
        <w:t>”</w:t>
      </w:r>
      <w:r>
        <w:rPr/>
        <w:t>）系列产品的 </w:t>
      </w:r>
      <w:r>
        <w:rPr>
          <w:spacing w:val="-2"/>
        </w:rPr>
        <w:t>研发、生产和销售，该业务为公司的传统业务，也是公司营业收入与利润的主要来源。经过多年的发展，公司先后以自有技</w:t>
      </w:r>
      <w:r>
        <w:rPr>
          <w:spacing w:val="-67"/>
        </w:rPr>
        <w:t> </w:t>
      </w:r>
      <w:r>
        <w:rPr>
          <w:spacing w:val="-67"/>
        </w:rPr>
      </w:r>
      <w:r>
        <w:rPr>
          <w:spacing w:val="-2"/>
        </w:rPr>
        <w:t>术建成了十多条高度自动化的激光光导鼓生产线，实现了激光</w:t>
      </w:r>
      <w:r>
        <w:rPr>
          <w:rFonts w:ascii="Times New Roman" w:hAnsi="Times New Roman" w:cs="Times New Roman" w:eastAsia="Times New Roman" w:hint="default"/>
          <w:spacing w:val="-2"/>
        </w:rPr>
        <w:t>OPC</w:t>
      </w:r>
      <w:r>
        <w:rPr>
          <w:spacing w:val="-2"/>
        </w:rPr>
        <w:t>鼓制造的完全国产化和产业化。同时，为了更好地开拓市</w:t>
      </w:r>
      <w:r>
        <w:rPr>
          <w:spacing w:val="-53"/>
        </w:rPr>
        <w:t> </w:t>
      </w:r>
      <w:r>
        <w:rPr>
          <w:spacing w:val="-53"/>
        </w:rPr>
      </w:r>
      <w:r>
        <w:rPr>
          <w:spacing w:val="-2"/>
        </w:rPr>
        <w:t>场与服务客户，公司也经营碳粉、硒鼓以及其他打复印耗材的国际与国内贸易业务。目前，公司传统业务已纵向延伸到影像</w:t>
      </w:r>
      <w:r>
        <w:rPr>
          <w:spacing w:val="-65"/>
        </w:rPr>
        <w:t> </w:t>
      </w:r>
      <w:r>
        <w:rPr>
          <w:spacing w:val="-65"/>
        </w:rPr>
      </w:r>
      <w:r>
        <w:rPr/>
        <w:t>耗材产业链的多个环节。</w:t>
      </w:r>
    </w:p>
    <w:p>
      <w:pPr>
        <w:pStyle w:val="BodyText"/>
        <w:spacing w:line="458" w:lineRule="auto" w:before="65"/>
        <w:ind w:right="1032" w:firstLine="360"/>
        <w:jc w:val="left"/>
      </w:pPr>
      <w:r>
        <w:rPr>
          <w:rFonts w:ascii="Times New Roman" w:hAnsi="Times New Roman" w:cs="Times New Roman" w:eastAsia="Times New Roman" w:hint="default"/>
          <w:b/>
          <w:bCs/>
        </w:rPr>
        <w:t>2</w:t>
      </w:r>
      <w:r>
        <w:rPr>
          <w:rFonts w:ascii="宋体" w:hAnsi="宋体" w:cs="宋体" w:eastAsia="宋体" w:hint="default"/>
          <w:b/>
          <w:bCs/>
        </w:rPr>
        <w:t>、信息安全：</w:t>
      </w:r>
      <w:r>
        <w:rPr>
          <w:rFonts w:ascii="Times New Roman" w:hAnsi="Times New Roman" w:cs="Times New Roman" w:eastAsia="Times New Roman" w:hint="default"/>
        </w:rPr>
        <w:t>2019</w:t>
      </w:r>
      <w:r>
        <w:rPr/>
        <w:t>年度，公司收购了信息安全整体解决方案服务商</w:t>
      </w:r>
      <w:r>
        <w:rPr>
          <w:rFonts w:ascii="Times New Roman" w:hAnsi="Times New Roman" w:cs="Times New Roman" w:eastAsia="Times New Roman" w:hint="default"/>
        </w:rPr>
        <w:t>——</w:t>
      </w:r>
      <w:r>
        <w:rPr/>
        <w:t>福建省闽保信息技术有限公司</w:t>
      </w:r>
      <w:r>
        <w:rPr>
          <w:rFonts w:ascii="Times New Roman" w:hAnsi="Times New Roman" w:cs="Times New Roman" w:eastAsia="Times New Roman" w:hint="default"/>
        </w:rPr>
        <w:t>71.26%</w:t>
      </w:r>
      <w:r>
        <w:rPr/>
        <w:t>的股权。 </w:t>
      </w:r>
      <w:r>
        <w:rPr>
          <w:spacing w:val="-2"/>
        </w:rPr>
        <w:t>闽保信息是一家从事信息安全领域软件开发及系统集成的高新技术企业，专注于信息安全及保密技术与产品的研发、生产及</w:t>
      </w:r>
      <w:r>
        <w:rPr>
          <w:spacing w:val="-64"/>
        </w:rPr>
        <w:t> </w:t>
      </w:r>
      <w:r>
        <w:rPr>
          <w:spacing w:val="-64"/>
        </w:rPr>
      </w:r>
      <w:r>
        <w:rPr>
          <w:spacing w:val="-4"/>
        </w:rPr>
        <w:t>销售，其拥有</w:t>
      </w:r>
      <w:r>
        <w:rPr>
          <w:rFonts w:ascii="Times New Roman" w:hAnsi="Times New Roman" w:cs="Times New Roman" w:eastAsia="Times New Roman" w:hint="default"/>
          <w:spacing w:val="-4"/>
        </w:rPr>
        <w:t>CMMI5</w:t>
      </w:r>
      <w:r>
        <w:rPr>
          <w:spacing w:val="-4"/>
        </w:rPr>
        <w:t>（软件能力成熟度模型）认定、涉密信息系统集成乙级、信息安全服务资质（信息系统安全集成三级）、</w:t>
      </w:r>
      <w:r>
        <w:rPr>
          <w:spacing w:val="-86"/>
        </w:rPr>
        <w:t> </w:t>
      </w:r>
      <w:r>
        <w:rPr>
          <w:spacing w:val="-86"/>
        </w:rPr>
      </w:r>
      <w:r>
        <w:rPr/>
        <w:t>武器装备质量体系认证等多项信息安全及保密业务相关资质及证书。</w:t>
      </w:r>
    </w:p>
    <w:p>
      <w:pPr>
        <w:pStyle w:val="BodyText"/>
        <w:spacing w:line="477" w:lineRule="auto" w:before="68"/>
        <w:ind w:left="513" w:right="1129"/>
        <w:jc w:val="left"/>
      </w:pPr>
      <w:r>
        <w:rPr>
          <w:rFonts w:ascii="宋体" w:hAnsi="宋体" w:cs="宋体" w:eastAsia="宋体" w:hint="default"/>
          <w:b/>
          <w:bCs/>
        </w:rPr>
        <w:t>（二）公司主要产品及用途</w:t>
      </w:r>
      <w:r>
        <w:rPr>
          <w:rFonts w:ascii="宋体" w:hAnsi="宋体" w:cs="宋体" w:eastAsia="宋体" w:hint="default"/>
          <w:b/>
          <w:bCs/>
          <w:w w:val="99"/>
        </w:rPr>
        <w:t> </w:t>
      </w:r>
      <w:r>
        <w:rPr>
          <w:spacing w:val="-2"/>
        </w:rPr>
        <w:t>公司生产的主导产品为激光有机光导鼓系列产品。它是一类在激光的照射下能使光生载流子形成并迁移的新型高技术信</w:t>
      </w:r>
    </w:p>
    <w:p>
      <w:pPr>
        <w:pStyle w:val="BodyText"/>
        <w:spacing w:line="468" w:lineRule="auto" w:before="54"/>
        <w:ind w:right="1131"/>
        <w:jc w:val="both"/>
      </w:pPr>
      <w:r>
        <w:rPr>
          <w:spacing w:val="-2"/>
        </w:rPr>
        <w:t>息处理器件，是激光打印机、数码复印机、数字图文快印、激光传真机及多功能一体机等现代办公设备中最为核心的光电转</w:t>
      </w:r>
      <w:r>
        <w:rPr>
          <w:spacing w:val="-66"/>
        </w:rPr>
        <w:t> </w:t>
      </w:r>
      <w:r>
        <w:rPr>
          <w:spacing w:val="-66"/>
        </w:rPr>
      </w:r>
      <w:r>
        <w:rPr>
          <w:spacing w:val="-2"/>
        </w:rPr>
        <w:t>换及成像部件，直接决定打印、复印等影像输出的质量，是集现代功能材料、现代先进制造技术于一体的有机光电子信息产</w:t>
      </w:r>
      <w:r>
        <w:rPr>
          <w:spacing w:val="-64"/>
        </w:rPr>
        <w:t> </w:t>
      </w:r>
      <w:r>
        <w:rPr>
          <w:spacing w:val="-64"/>
        </w:rPr>
      </w:r>
      <w:r>
        <w:rPr>
          <w:spacing w:val="-2"/>
        </w:rPr>
        <w:t>品。激光</w:t>
      </w:r>
      <w:r>
        <w:rPr>
          <w:rFonts w:ascii="Times New Roman" w:hAnsi="Times New Roman" w:cs="Times New Roman" w:eastAsia="Times New Roman" w:hint="default"/>
          <w:spacing w:val="-2"/>
        </w:rPr>
        <w:t>OPC</w:t>
      </w:r>
      <w:r>
        <w:rPr>
          <w:spacing w:val="-2"/>
        </w:rPr>
        <w:t>鼓是硒鼓的核心元件，与碳粉、充电辊、磁辊及塑料件等部件共同构成完整的硒鼓，应用于激光打印机、数码</w:t>
      </w:r>
      <w:r>
        <w:rPr>
          <w:spacing w:val="-59"/>
        </w:rPr>
        <w:t> </w:t>
      </w:r>
      <w:r>
        <w:rPr>
          <w:spacing w:val="-59"/>
        </w:rPr>
      </w:r>
      <w:r>
        <w:rPr/>
        <w:t>复印机等现代化办公设备。具体对应关系如下：</w:t>
      </w:r>
    </w:p>
    <w:p>
      <w:pPr>
        <w:spacing w:after="0" w:line="468"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3"/>
          <w:szCs w:val="13"/>
        </w:rPr>
      </w:pPr>
    </w:p>
    <w:p>
      <w:pPr>
        <w:spacing w:line="6420" w:lineRule="exact"/>
        <w:ind w:left="153" w:right="0" w:firstLine="0"/>
        <w:rPr>
          <w:rFonts w:ascii="宋体" w:hAnsi="宋体" w:cs="宋体" w:eastAsia="宋体" w:hint="default"/>
          <w:sz w:val="20"/>
          <w:szCs w:val="20"/>
        </w:rPr>
      </w:pPr>
      <w:r>
        <w:rPr>
          <w:rFonts w:ascii="宋体" w:hAnsi="宋体" w:cs="宋体" w:eastAsia="宋体" w:hint="default"/>
          <w:position w:val="-127"/>
          <w:sz w:val="20"/>
          <w:szCs w:val="20"/>
        </w:rPr>
        <w:drawing>
          <wp:inline distT="0" distB="0" distL="0" distR="0">
            <wp:extent cx="6077584" cy="407670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2" cstate="print"/>
                    <a:stretch>
                      <a:fillRect/>
                    </a:stretch>
                  </pic:blipFill>
                  <pic:spPr>
                    <a:xfrm>
                      <a:off x="0" y="0"/>
                      <a:ext cx="6077584" cy="4076700"/>
                    </a:xfrm>
                    <a:prstGeom prst="rect">
                      <a:avLst/>
                    </a:prstGeom>
                  </pic:spPr>
                </pic:pic>
              </a:graphicData>
            </a:graphic>
          </wp:inline>
        </w:drawing>
      </w:r>
      <w:r>
        <w:rPr>
          <w:rFonts w:ascii="宋体" w:hAnsi="宋体" w:cs="宋体" w:eastAsia="宋体" w:hint="default"/>
          <w:position w:val="-127"/>
          <w:sz w:val="20"/>
          <w:szCs w:val="20"/>
        </w:rPr>
      </w:r>
    </w:p>
    <w:p>
      <w:pPr>
        <w:spacing w:line="240" w:lineRule="auto" w:before="6"/>
        <w:rPr>
          <w:rFonts w:ascii="宋体" w:hAnsi="宋体" w:cs="宋体" w:eastAsia="宋体" w:hint="default"/>
          <w:sz w:val="8"/>
          <w:szCs w:val="8"/>
        </w:rPr>
      </w:pPr>
    </w:p>
    <w:p>
      <w:pPr>
        <w:pStyle w:val="BodyText"/>
        <w:spacing w:line="465" w:lineRule="auto" w:before="44"/>
        <w:ind w:right="1131" w:firstLine="360"/>
        <w:jc w:val="both"/>
      </w:pPr>
      <w:r>
        <w:rPr>
          <w:spacing w:val="-2"/>
        </w:rPr>
        <w:t>闽保信息在发展过程中逐步形成了涵盖信息安全软件产品研发及销售、安全集成及安全服务的完整业务体系，其不断强</w:t>
      </w:r>
      <w:r>
        <w:rPr/>
        <w:t> </w:t>
      </w:r>
      <w:r>
        <w:rPr>
          <w:spacing w:val="-2"/>
        </w:rPr>
        <w:t>化技术创新能力，注重精准把握各类客户的定制需求，通过软硬件的结合从而为银行、党政、电力、军工、金融等众多领域</w:t>
      </w:r>
      <w:r>
        <w:rPr>
          <w:spacing w:val="-70"/>
        </w:rPr>
        <w:t> </w:t>
      </w:r>
      <w:r>
        <w:rPr>
          <w:spacing w:val="-70"/>
        </w:rPr>
      </w:r>
      <w:r>
        <w:rPr>
          <w:spacing w:val="-2"/>
        </w:rPr>
        <w:t>提供系统化、集成化的信息安全整体解决方案及咨询服务等业务。同时，闽保信息注重加强在等保、分保、区块链相关技术</w:t>
      </w:r>
      <w:r>
        <w:rPr>
          <w:spacing w:val="-67"/>
        </w:rPr>
        <w:t> </w:t>
      </w:r>
      <w:r>
        <w:rPr>
          <w:spacing w:val="-67"/>
        </w:rPr>
      </w:r>
      <w:r>
        <w:rPr/>
        <w:t>应用等信息安全产品的研发及一体化行业信息系统集成的建设，其主要产品包括</w:t>
      </w:r>
      <w:r>
        <w:rPr>
          <w:rFonts w:ascii="Times New Roman" w:hAnsi="Times New Roman" w:cs="Times New Roman" w:eastAsia="Times New Roman" w:hint="default"/>
        </w:rPr>
        <w:t>MB</w:t>
      </w:r>
      <w:r>
        <w:rPr/>
        <w:t>涉密计算机及移动存储介质保密管理系 统、</w:t>
      </w:r>
      <w:r>
        <w:rPr>
          <w:rFonts w:ascii="Times New Roman" w:hAnsi="Times New Roman" w:cs="Times New Roman" w:eastAsia="Times New Roman" w:hint="default"/>
        </w:rPr>
        <w:t>MB</w:t>
      </w:r>
      <w:r>
        <w:rPr/>
        <w:t>移动数据安全防护系统、</w:t>
      </w:r>
      <w:r>
        <w:rPr>
          <w:rFonts w:ascii="Times New Roman" w:hAnsi="Times New Roman" w:cs="Times New Roman" w:eastAsia="Times New Roman" w:hint="default"/>
        </w:rPr>
        <w:t>MB</w:t>
      </w:r>
      <w:r>
        <w:rPr/>
        <w:t>数据安全封存审计系统、</w:t>
      </w:r>
      <w:r>
        <w:rPr>
          <w:rFonts w:ascii="Times New Roman" w:hAnsi="Times New Roman" w:cs="Times New Roman" w:eastAsia="Times New Roman" w:hint="default"/>
        </w:rPr>
        <w:t>MB</w:t>
      </w:r>
      <w:r>
        <w:rPr/>
        <w:t>网络存储安全增强系统、</w:t>
      </w:r>
      <w:r>
        <w:rPr>
          <w:rFonts w:ascii="Times New Roman" w:hAnsi="Times New Roman" w:cs="Times New Roman" w:eastAsia="Times New Roman" w:hint="default"/>
        </w:rPr>
        <w:t>MB</w:t>
      </w:r>
      <w:r>
        <w:rPr/>
        <w:t>内网安全管理系统（主机监 控与审计系统）、</w:t>
      </w:r>
      <w:r>
        <w:rPr>
          <w:rFonts w:ascii="Times New Roman" w:hAnsi="Times New Roman" w:cs="Times New Roman" w:eastAsia="Times New Roman" w:hint="default"/>
        </w:rPr>
        <w:t>MB</w:t>
      </w:r>
      <w:r>
        <w:rPr/>
        <w:t>互联网出口检测系统等。</w:t>
      </w:r>
    </w:p>
    <w:p>
      <w:pPr>
        <w:pStyle w:val="BodyText"/>
        <w:spacing w:line="477" w:lineRule="auto" w:before="31"/>
        <w:ind w:left="513" w:right="1129"/>
        <w:jc w:val="left"/>
      </w:pPr>
      <w:r>
        <w:rPr>
          <w:rFonts w:ascii="宋体" w:hAnsi="宋体" w:cs="宋体" w:eastAsia="宋体" w:hint="default"/>
          <w:b/>
          <w:bCs/>
        </w:rPr>
        <w:t>（三）公司经营模式</w:t>
      </w:r>
      <w:r>
        <w:rPr>
          <w:rFonts w:ascii="宋体" w:hAnsi="宋体" w:cs="宋体" w:eastAsia="宋体" w:hint="default"/>
          <w:b/>
          <w:bCs/>
          <w:w w:val="99"/>
        </w:rPr>
        <w:t> </w:t>
      </w:r>
      <w:r>
        <w:rPr>
          <w:spacing w:val="-2"/>
        </w:rPr>
        <w:t>公司利用自有的核心研制技术及专用设备系统集成能力，自主研发与设计产品。依据产品设计标准及生产工艺要求，采</w:t>
      </w:r>
    </w:p>
    <w:p>
      <w:pPr>
        <w:pStyle w:val="BodyText"/>
        <w:spacing w:line="477" w:lineRule="auto" w:before="54"/>
        <w:ind w:right="0"/>
        <w:jc w:val="left"/>
      </w:pPr>
      <w:r>
        <w:rPr>
          <w:spacing w:val="-2"/>
        </w:rPr>
        <w:t>购原辅材料，按照标准自动化的生产流程完成整个产品的制造，经验收合格并实现对外销售。公司的激光有机光导鼓系列产</w:t>
      </w:r>
      <w:r>
        <w:rPr>
          <w:spacing w:val="-62"/>
        </w:rPr>
        <w:t> </w:t>
      </w:r>
      <w:r>
        <w:rPr>
          <w:spacing w:val="-62"/>
        </w:rPr>
      </w:r>
      <w:r>
        <w:rPr/>
        <w:t>品销售采用直销为主，经销为辅的模式。</w:t>
      </w:r>
    </w:p>
    <w:p>
      <w:pPr>
        <w:pStyle w:val="BodyText"/>
        <w:spacing w:line="477" w:lineRule="auto" w:before="54"/>
        <w:ind w:right="1128" w:firstLine="360"/>
        <w:jc w:val="both"/>
      </w:pPr>
      <w:r>
        <w:rPr>
          <w:spacing w:val="-2"/>
        </w:rPr>
        <w:t>闽保信息是技术驱动型公司，以为各类客户提供定制软件产品、保密信息类业务、软件开发及服务业务、系统集成及等</w:t>
      </w:r>
      <w:r>
        <w:rPr/>
        <w:t> </w:t>
      </w:r>
      <w:r>
        <w:rPr>
          <w:spacing w:val="-2"/>
        </w:rPr>
        <w:t>保、分保服务、代理各大信息类品牌渠道商为主营方向。其主要采取直销模式，并针对不同类型的客户特点采取差别性的销</w:t>
      </w:r>
      <w:r>
        <w:rPr>
          <w:spacing w:val="-64"/>
        </w:rPr>
        <w:t> </w:t>
      </w:r>
      <w:r>
        <w:rPr>
          <w:spacing w:val="-64"/>
        </w:rPr>
      </w:r>
      <w:r>
        <w:rPr>
          <w:spacing w:val="-2"/>
        </w:rPr>
        <w:t>售策略。客户主要分为两类，第一类为党、政机关及国有企业，该类机构具有较典型的层级结构，对分支机构采取垂直的纵</w:t>
      </w:r>
      <w:r>
        <w:rPr>
          <w:spacing w:val="-67"/>
        </w:rPr>
        <w:t> </w:t>
      </w:r>
      <w:r>
        <w:rPr>
          <w:spacing w:val="-67"/>
        </w:rPr>
      </w:r>
      <w:r>
        <w:rPr>
          <w:spacing w:val="-2"/>
        </w:rPr>
        <w:t>向管理模式，因此为保持整个系统运行的效率并保证安全性，分支机构在采购信息安全产品时通常与总部保持一致，针对这</w:t>
      </w:r>
      <w:r>
        <w:rPr>
          <w:spacing w:val="-61"/>
        </w:rPr>
        <w:t> </w:t>
      </w:r>
      <w:r>
        <w:rPr>
          <w:spacing w:val="-61"/>
        </w:rPr>
      </w:r>
      <w:r>
        <w:rPr>
          <w:spacing w:val="-2"/>
        </w:rPr>
        <w:t>类客户闽保信息根据政府发布的招标或邀标通知，以自身名义参与招投标，中标后签订销售合同，并安排相应的发货和安装</w:t>
      </w:r>
      <w:r>
        <w:rPr>
          <w:spacing w:val="-63"/>
        </w:rPr>
        <w:t> </w:t>
      </w:r>
      <w:r>
        <w:rPr>
          <w:spacing w:val="-63"/>
        </w:rPr>
      </w:r>
      <w:r>
        <w:rPr>
          <w:spacing w:val="-2"/>
        </w:rPr>
        <w:t>服务；第二类客户为合作伙伴单位，该类客户由营销部门负责业务推广，主要以建设产品销售渠道为主，联合各级合作单位</w:t>
      </w:r>
    </w:p>
    <w:p>
      <w:pPr>
        <w:spacing w:after="0" w:line="477"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right="1133"/>
        <w:jc w:val="left"/>
      </w:pPr>
      <w:r>
        <w:rPr/>
        <w:t>共同实现项目共赢。此外，为更针对性的执行产品行销，闽保信息设置了行业营销部门以实现精准营销。</w:t>
      </w:r>
    </w:p>
    <w:p>
      <w:pPr>
        <w:spacing w:line="240" w:lineRule="auto" w:before="10"/>
        <w:rPr>
          <w:rFonts w:ascii="宋体" w:hAnsi="宋体" w:cs="宋体" w:eastAsia="宋体" w:hint="default"/>
          <w:sz w:val="17"/>
          <w:szCs w:val="17"/>
        </w:rPr>
      </w:pPr>
    </w:p>
    <w:p>
      <w:pPr>
        <w:spacing w:line="477" w:lineRule="auto" w:before="0"/>
        <w:ind w:left="513" w:right="1129" w:firstLine="0"/>
        <w:jc w:val="left"/>
        <w:rPr>
          <w:rFonts w:ascii="宋体" w:hAnsi="宋体" w:cs="宋体" w:eastAsia="宋体" w:hint="default"/>
          <w:sz w:val="18"/>
          <w:szCs w:val="18"/>
        </w:rPr>
      </w:pPr>
      <w:r>
        <w:rPr>
          <w:rFonts w:ascii="宋体" w:hAnsi="宋体" w:cs="宋体" w:eastAsia="宋体" w:hint="default"/>
          <w:b/>
          <w:bCs/>
          <w:sz w:val="18"/>
          <w:szCs w:val="18"/>
        </w:rPr>
        <w:t>（四）公司主要业绩驱动因素</w:t>
      </w:r>
      <w:r>
        <w:rPr>
          <w:rFonts w:ascii="宋体" w:hAnsi="宋体" w:cs="宋体" w:eastAsia="宋体" w:hint="default"/>
          <w:b/>
          <w:bCs/>
          <w:w w:val="99"/>
          <w:sz w:val="18"/>
          <w:szCs w:val="18"/>
        </w:rPr>
        <w:t> </w:t>
      </w:r>
      <w:r>
        <w:rPr>
          <w:rFonts w:ascii="宋体" w:hAnsi="宋体" w:cs="宋体" w:eastAsia="宋体" w:hint="default"/>
          <w:spacing w:val="-2"/>
          <w:sz w:val="18"/>
          <w:szCs w:val="18"/>
        </w:rPr>
        <w:t>公司作为高新技术企业，在实际运营过程中，通过将各种专利及专有技术应用于产品生产、新型产品研发、设备技术改</w:t>
      </w:r>
    </w:p>
    <w:p>
      <w:pPr>
        <w:pStyle w:val="BodyText"/>
        <w:spacing w:line="477" w:lineRule="auto" w:before="54"/>
        <w:ind w:right="1133"/>
        <w:jc w:val="left"/>
      </w:pPr>
      <w:r>
        <w:rPr>
          <w:spacing w:val="-2"/>
        </w:rPr>
        <w:t>造及改善镀膜材料配方，以提高产品质量及生产效率，降低成本。同时，公司密切关注市场变化，在维护与巩固现有客户的</w:t>
      </w:r>
      <w:r>
        <w:rPr>
          <w:spacing w:val="-66"/>
        </w:rPr>
        <w:t> </w:t>
      </w:r>
      <w:r>
        <w:rPr>
          <w:spacing w:val="-66"/>
        </w:rPr>
      </w:r>
      <w:r>
        <w:rPr/>
        <w:t>基础上，加大市场开拓力度，增加新区域市场覆盖，并提高高端产品的销售比例，以提升公司经济效益。</w:t>
      </w:r>
    </w:p>
    <w:p>
      <w:pPr>
        <w:pStyle w:val="BodyText"/>
        <w:spacing w:line="477" w:lineRule="auto" w:before="54"/>
        <w:ind w:right="1130" w:firstLine="360"/>
        <w:jc w:val="both"/>
      </w:pPr>
      <w:r>
        <w:rPr>
          <w:spacing w:val="-2"/>
        </w:rPr>
        <w:t>闽保信息各产品线在自主创新的核心技术基础上，对客户需求和应用环境进行调研，结合自身现有解决方案，设计出与</w:t>
      </w:r>
      <w:r>
        <w:rPr/>
        <w:t> </w:t>
      </w:r>
      <w:r>
        <w:rPr>
          <w:spacing w:val="-2"/>
        </w:rPr>
        <w:t>客户业务联系紧密的信息安全产品与服务。目前，已在银行、党政、电力、军工、金融等领域推出了系列自主可控、高性价</w:t>
      </w:r>
      <w:r>
        <w:rPr>
          <w:spacing w:val="-71"/>
        </w:rPr>
        <w:t> </w:t>
      </w:r>
      <w:r>
        <w:rPr>
          <w:spacing w:val="-71"/>
        </w:rPr>
      </w:r>
      <w:r>
        <w:rPr>
          <w:spacing w:val="-2"/>
        </w:rPr>
        <w:t>比的安全类软硬件产品。闽保信息的大部分安全信息类产品已通过了国密、国测认证，为其在信息安全领域的市场开拓打下</w:t>
      </w:r>
      <w:r>
        <w:rPr>
          <w:spacing w:val="-66"/>
        </w:rPr>
        <w:t> </w:t>
      </w:r>
      <w:r>
        <w:rPr>
          <w:spacing w:val="-66"/>
        </w:rPr>
      </w:r>
      <w:r>
        <w:rPr>
          <w:spacing w:val="-2"/>
        </w:rPr>
        <w:t>了坚实基础，并在深耕行业市场的同时实现了区块链相关算法新技术在安全信息类产品用的应用，更加强了产品安全和保密</w:t>
      </w:r>
      <w:r>
        <w:rPr>
          <w:spacing w:val="-63"/>
        </w:rPr>
        <w:t> </w:t>
      </w:r>
      <w:r>
        <w:rPr>
          <w:spacing w:val="-63"/>
        </w:rPr>
      </w:r>
      <w:r>
        <w:rPr/>
        <w:t>性。</w:t>
      </w:r>
    </w:p>
    <w:p>
      <w:pPr>
        <w:pStyle w:val="Heading4"/>
        <w:spacing w:line="240" w:lineRule="auto" w:before="54"/>
        <w:ind w:right="1133"/>
        <w:jc w:val="left"/>
        <w:rPr>
          <w:b w:val="0"/>
          <w:bCs w:val="0"/>
        </w:rPr>
      </w:pPr>
      <w:r>
        <w:rPr/>
        <w:t>（五）行业的周期性、区域性或季节性特征</w:t>
      </w:r>
      <w:r>
        <w:rPr>
          <w:b w:val="0"/>
          <w:bCs w:val="0"/>
        </w:rPr>
      </w:r>
    </w:p>
    <w:p>
      <w:pPr>
        <w:spacing w:line="240" w:lineRule="auto" w:before="10"/>
        <w:rPr>
          <w:rFonts w:ascii="宋体" w:hAnsi="宋体" w:cs="宋体" w:eastAsia="宋体" w:hint="default"/>
          <w:b/>
          <w:bCs/>
          <w:sz w:val="17"/>
          <w:szCs w:val="17"/>
        </w:rPr>
      </w:pPr>
    </w:p>
    <w:p>
      <w:pPr>
        <w:pStyle w:val="BodyText"/>
        <w:spacing w:line="458" w:lineRule="auto"/>
        <w:ind w:right="1095" w:firstLine="360"/>
        <w:jc w:val="both"/>
      </w:pPr>
      <w:r>
        <w:rPr/>
        <w:t>公司激光 </w:t>
      </w:r>
      <w:r>
        <w:rPr>
          <w:rFonts w:ascii="Times New Roman" w:hAnsi="Times New Roman" w:cs="Times New Roman" w:eastAsia="Times New Roman" w:hint="default"/>
        </w:rPr>
        <w:t>OPC</w:t>
      </w:r>
      <w:r>
        <w:rPr>
          <w:rFonts w:ascii="Times New Roman" w:hAnsi="Times New Roman" w:cs="Times New Roman" w:eastAsia="Times New Roman" w:hint="default"/>
          <w:spacing w:val="-23"/>
        </w:rPr>
        <w:t> </w:t>
      </w:r>
      <w:r>
        <w:rPr/>
        <w:t>鼓等系列产品属于办公耗材，没有明显的销售淡季和旺季，因此本行业不存在明显的周期性和季节性特 </w:t>
      </w:r>
      <w:r>
        <w:rPr>
          <w:spacing w:val="-2"/>
        </w:rPr>
        <w:t>征，但通常每年下半年的市场需求较上半年更为旺盛。在我国，由于打复印耗材的生产主要集中在以广东省为主的珠江三角</w:t>
      </w:r>
      <w:r>
        <w:rPr>
          <w:spacing w:val="-63"/>
        </w:rPr>
        <w:t> </w:t>
      </w:r>
      <w:r>
        <w:rPr>
          <w:spacing w:val="-63"/>
        </w:rPr>
      </w:r>
      <w:r>
        <w:rPr/>
        <w:t>洲地区，特别是珠海作为世界打印耗材之都，集中了全球排名前几位的通用耗材生产厂家，对激光 </w:t>
      </w:r>
      <w:r>
        <w:rPr>
          <w:rFonts w:ascii="Times New Roman" w:hAnsi="Times New Roman" w:cs="Times New Roman" w:eastAsia="Times New Roman" w:hint="default"/>
        </w:rPr>
        <w:t>OPC</w:t>
      </w:r>
      <w:r>
        <w:rPr>
          <w:rFonts w:ascii="Times New Roman" w:hAnsi="Times New Roman" w:cs="Times New Roman" w:eastAsia="Times New Roman" w:hint="default"/>
          <w:spacing w:val="10"/>
        </w:rPr>
        <w:t> </w:t>
      </w:r>
      <w:r>
        <w:rPr/>
        <w:t>鼓的采购量较大， 但由于产品的终端用户遍布全国，乃至世界各地，因此就产品的终端用户来说，不存在明显的区域性特征。</w:t>
      </w:r>
    </w:p>
    <w:p>
      <w:pPr>
        <w:pStyle w:val="BodyText"/>
        <w:spacing w:line="477" w:lineRule="auto" w:before="68"/>
        <w:ind w:right="1129" w:firstLine="360"/>
        <w:jc w:val="both"/>
      </w:pPr>
      <w:r>
        <w:rPr>
          <w:spacing w:val="-2"/>
        </w:rPr>
        <w:t>信息安全方面，闽保信息作为信息安全系统集成和服务商，主要客户群体以政府部门及大中型企事业单位为主；客户群</w:t>
      </w:r>
      <w:r>
        <w:rPr/>
        <w:t> </w:t>
      </w:r>
      <w:r>
        <w:rPr>
          <w:spacing w:val="-2"/>
        </w:rPr>
        <w:t>体的业务主要是以信息安全系统集成、软件定制开发及服务居多；客户通常采取预算管理制度和产品集中采购制度，一般下</w:t>
      </w:r>
      <w:r>
        <w:rPr>
          <w:spacing w:val="-63"/>
        </w:rPr>
        <w:t> </w:t>
      </w:r>
      <w:r>
        <w:rPr>
          <w:spacing w:val="-63"/>
        </w:rPr>
      </w:r>
      <w:r>
        <w:rPr>
          <w:spacing w:val="-2"/>
        </w:rPr>
        <w:t>半年制定次年年度预算和投资计划，审批通常集中在次年的上半年，采购招标则安排在次年年中或下半年。因此，闽保信息</w:t>
      </w:r>
      <w:r>
        <w:rPr>
          <w:spacing w:val="-64"/>
        </w:rPr>
        <w:t> </w:t>
      </w:r>
      <w:r>
        <w:rPr>
          <w:spacing w:val="-64"/>
        </w:rPr>
      </w:r>
      <w:r>
        <w:rPr>
          <w:spacing w:val="-2"/>
        </w:rPr>
        <w:t>每年上半年销售较少，销售主要集中在下半年尤其是第四季度，闽保信息销售呈现较明显的季节性分布。同时，公司以项目</w:t>
      </w:r>
      <w:r>
        <w:rPr>
          <w:spacing w:val="-64"/>
        </w:rPr>
        <w:t> </w:t>
      </w:r>
      <w:r>
        <w:rPr>
          <w:spacing w:val="-64"/>
        </w:rPr>
      </w:r>
      <w:r>
        <w:rPr>
          <w:spacing w:val="-2"/>
        </w:rPr>
        <w:t>完成收到客户的评审验收单为准进行收入确认，存在往年项目在上半年完工验收的情况，收入记入上半年；由于一季节时逢</w:t>
      </w:r>
      <w:r>
        <w:rPr>
          <w:spacing w:val="-62"/>
        </w:rPr>
        <w:t> </w:t>
      </w:r>
      <w:r>
        <w:rPr>
          <w:spacing w:val="-62"/>
        </w:rPr>
      </w:r>
      <w:r>
        <w:rPr>
          <w:spacing w:val="-2"/>
        </w:rPr>
        <w:t>节假日较多，项目评审和验收多存在于二季度，会存在可能二季度销售高于一季度的现象。由于费用在年度内较为均衡地发</w:t>
      </w:r>
      <w:r>
        <w:rPr>
          <w:spacing w:val="-63"/>
        </w:rPr>
        <w:t> </w:t>
      </w:r>
      <w:r>
        <w:rPr>
          <w:spacing w:val="-63"/>
        </w:rPr>
      </w:r>
      <w:r>
        <w:rPr>
          <w:spacing w:val="-2"/>
        </w:rPr>
        <w:t>生，因而可能会造成公司第一季度、半年度甚至第三季度出现季节性亏损。闽保信息由于业务形态的特殊性，暂未有境外的</w:t>
      </w:r>
      <w:r>
        <w:rPr>
          <w:spacing w:val="-65"/>
        </w:rPr>
        <w:t> </w:t>
      </w:r>
      <w:r>
        <w:rPr>
          <w:spacing w:val="-65"/>
        </w:rPr>
      </w:r>
      <w:r>
        <w:rPr/>
        <w:t>客户群体；而境内业务也不存在明显的区域性特征。</w:t>
      </w:r>
    </w:p>
    <w:p>
      <w:pPr>
        <w:pStyle w:val="Heading4"/>
        <w:spacing w:line="240" w:lineRule="auto" w:before="54"/>
        <w:ind w:right="1133"/>
        <w:jc w:val="left"/>
        <w:rPr>
          <w:b w:val="0"/>
          <w:bCs w:val="0"/>
        </w:rPr>
      </w:pPr>
      <w:r>
        <w:rPr/>
        <w:t>（六）公司所属行业的发展阶段以及公司所处的行业地位</w:t>
      </w:r>
      <w:r>
        <w:rPr>
          <w:b w:val="0"/>
          <w:bCs w:val="0"/>
        </w:rPr>
      </w:r>
    </w:p>
    <w:p>
      <w:pPr>
        <w:spacing w:line="240" w:lineRule="auto" w:before="10"/>
        <w:rPr>
          <w:rFonts w:ascii="宋体" w:hAnsi="宋体" w:cs="宋体" w:eastAsia="宋体" w:hint="default"/>
          <w:b/>
          <w:bCs/>
          <w:sz w:val="17"/>
          <w:szCs w:val="17"/>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、影像耗材</w:t>
      </w:r>
      <w:r>
        <w:rPr>
          <w:b w:val="0"/>
          <w:bCs w:val="0"/>
        </w:rPr>
      </w:r>
    </w:p>
    <w:p>
      <w:pPr>
        <w:spacing w:line="240" w:lineRule="auto" w:before="10"/>
        <w:rPr>
          <w:rFonts w:ascii="宋体" w:hAnsi="宋体" w:cs="宋体" w:eastAsia="宋体" w:hint="default"/>
          <w:b/>
          <w:bCs/>
          <w:sz w:val="16"/>
          <w:szCs w:val="16"/>
        </w:rPr>
      </w:pPr>
    </w:p>
    <w:p>
      <w:pPr>
        <w:pStyle w:val="BodyText"/>
        <w:spacing w:line="458" w:lineRule="auto"/>
        <w:ind w:right="1129" w:firstLine="360"/>
        <w:jc w:val="both"/>
      </w:pPr>
      <w:r>
        <w:rPr>
          <w:rFonts w:ascii="Times New Roman" w:hAnsi="Times New Roman" w:cs="Times New Roman" w:eastAsia="Times New Roman" w:hint="default"/>
          <w:spacing w:val="-2"/>
        </w:rPr>
        <w:t>2000</w:t>
      </w:r>
      <w:r>
        <w:rPr>
          <w:spacing w:val="-2"/>
        </w:rPr>
        <w:t>年，我国引进了第一条</w:t>
      </w:r>
      <w:r>
        <w:rPr>
          <w:rFonts w:ascii="Times New Roman" w:hAnsi="Times New Roman" w:cs="Times New Roman" w:eastAsia="Times New Roman" w:hint="default"/>
          <w:spacing w:val="-2"/>
        </w:rPr>
        <w:t>OPC</w:t>
      </w:r>
      <w:r>
        <w:rPr>
          <w:spacing w:val="-2"/>
        </w:rPr>
        <w:t>鼓涂布生产线，开始了我国</w:t>
      </w:r>
      <w:r>
        <w:rPr>
          <w:rFonts w:ascii="Times New Roman" w:hAnsi="Times New Roman" w:cs="Times New Roman" w:eastAsia="Times New Roman" w:hint="default"/>
          <w:spacing w:val="-2"/>
        </w:rPr>
        <w:t>OPC</w:t>
      </w:r>
      <w:r>
        <w:rPr>
          <w:spacing w:val="-2"/>
        </w:rPr>
        <w:t>鼓的产业化进程。在国家政策的支持下，经过国内企业</w:t>
      </w:r>
      <w:r>
        <w:rPr/>
        <w:t> </w:t>
      </w:r>
      <w:r>
        <w:rPr>
          <w:spacing w:val="-2"/>
        </w:rPr>
        <w:t>的不断努力与创新，我国激光</w:t>
      </w:r>
      <w:r>
        <w:rPr>
          <w:rFonts w:ascii="Times New Roman" w:hAnsi="Times New Roman" w:cs="Times New Roman" w:eastAsia="Times New Roman" w:hint="default"/>
          <w:spacing w:val="-2"/>
        </w:rPr>
        <w:t>OPC</w:t>
      </w:r>
      <w:r>
        <w:rPr>
          <w:spacing w:val="-2"/>
        </w:rPr>
        <w:t>鼓产业取得了长足的发展和显著的成就。与此同时，随着市场的发展，行业内原装配套厂</w:t>
      </w:r>
      <w:r>
        <w:rPr>
          <w:spacing w:val="-56"/>
        </w:rPr>
        <w:t> </w:t>
      </w:r>
      <w:r>
        <w:rPr>
          <w:spacing w:val="-56"/>
        </w:rPr>
      </w:r>
      <w:r>
        <w:rPr>
          <w:spacing w:val="-2"/>
        </w:rPr>
        <w:t>商与通用耗材企业之间、各通用耗材企业之间的竞争也在不断加剧，行业已发展至充分竞争阶段，不具有自主研发能力与技</w:t>
      </w:r>
      <w:r>
        <w:rPr>
          <w:spacing w:val="-63"/>
        </w:rPr>
        <w:t> </w:t>
      </w:r>
      <w:r>
        <w:rPr>
          <w:spacing w:val="-63"/>
        </w:rPr>
      </w:r>
      <w:r>
        <w:rPr>
          <w:spacing w:val="-2"/>
        </w:rPr>
        <w:t>术创新能力的企业将被淘汰，行业优秀资源将向有显著成本、品质及技术优势的企业集中。</w:t>
      </w:r>
      <w:r>
        <w:rPr>
          <w:rFonts w:ascii="Times New Roman" w:hAnsi="Times New Roman" w:cs="Times New Roman" w:eastAsia="Times New Roman" w:hint="default"/>
          <w:spacing w:val="-2"/>
        </w:rPr>
        <w:t>2003</w:t>
      </w:r>
      <w:r>
        <w:rPr>
          <w:spacing w:val="-2"/>
        </w:rPr>
        <w:t>年，公司在国内率先以自有</w:t>
      </w:r>
      <w:r>
        <w:rPr>
          <w:spacing w:val="-59"/>
        </w:rPr>
        <w:t> </w:t>
      </w:r>
      <w:r>
        <w:rPr>
          <w:spacing w:val="-59"/>
        </w:rPr>
      </w:r>
      <w:r>
        <w:rPr>
          <w:spacing w:val="-2"/>
        </w:rPr>
        <w:t>技术建成了一条高度自动化的高分辨力激光</w:t>
      </w:r>
      <w:r>
        <w:rPr>
          <w:rFonts w:ascii="Times New Roman" w:hAnsi="Times New Roman" w:cs="Times New Roman" w:eastAsia="Times New Roman" w:hint="default"/>
          <w:spacing w:val="-2"/>
        </w:rPr>
        <w:t>OPC</w:t>
      </w:r>
      <w:r>
        <w:rPr>
          <w:spacing w:val="-2"/>
        </w:rPr>
        <w:t>鼓生产线，并成为国内第一家掌握高分辨力激光</w:t>
      </w:r>
      <w:r>
        <w:rPr>
          <w:rFonts w:ascii="Times New Roman" w:hAnsi="Times New Roman" w:cs="Times New Roman" w:eastAsia="Times New Roman" w:hint="default"/>
          <w:spacing w:val="-2"/>
        </w:rPr>
        <w:t>OPC</w:t>
      </w:r>
      <w:r>
        <w:rPr>
          <w:spacing w:val="-2"/>
        </w:rPr>
        <w:t>鼓生产工艺和生产线集</w:t>
      </w:r>
    </w:p>
    <w:p>
      <w:pPr>
        <w:spacing w:after="0" w:line="458"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51" w:lineRule="auto"/>
        <w:ind w:left="513" w:right="1129" w:hanging="361"/>
        <w:jc w:val="left"/>
      </w:pPr>
      <w:r>
        <w:rPr/>
        <w:t>成技术的厂家，摆脱了过去激光</w:t>
      </w:r>
      <w:r>
        <w:rPr>
          <w:rFonts w:ascii="Times New Roman" w:hAnsi="Times New Roman" w:cs="Times New Roman" w:eastAsia="Times New Roman" w:hint="default"/>
        </w:rPr>
        <w:t>OPC</w:t>
      </w:r>
      <w:r>
        <w:rPr/>
        <w:t>鼓生产只能依赖国外设备的局面，为我国激光有机光导鼓的发展掀开了新的篇章。 </w:t>
      </w:r>
      <w:r>
        <w:rPr>
          <w:spacing w:val="-2"/>
        </w:rPr>
        <w:t>公司是世界少数几家掌握激光光导鼓行业一整套核心技术并拥有专用设备系统集成能力的厂家。同时，通过十几年不断</w:t>
      </w:r>
    </w:p>
    <w:p>
      <w:pPr>
        <w:pStyle w:val="BodyText"/>
        <w:spacing w:line="240" w:lineRule="auto" w:before="74"/>
        <w:ind w:right="1133"/>
        <w:jc w:val="left"/>
      </w:pPr>
      <w:r>
        <w:rPr/>
        <w:t>努力，公司已发展成全球激光</w:t>
      </w:r>
      <w:r>
        <w:rPr>
          <w:rFonts w:ascii="Times New Roman" w:hAnsi="Times New Roman" w:cs="Times New Roman" w:eastAsia="Times New Roman" w:hint="default"/>
        </w:rPr>
        <w:t>OPC</w:t>
      </w:r>
      <w:r>
        <w:rPr/>
        <w:t>产业领域的领导企业之一。</w:t>
      </w:r>
    </w:p>
    <w:p>
      <w:pPr>
        <w:spacing w:line="240" w:lineRule="auto" w:before="9"/>
        <w:rPr>
          <w:rFonts w:ascii="宋体" w:hAnsi="宋体" w:cs="宋体" w:eastAsia="宋体" w:hint="default"/>
          <w:sz w:val="16"/>
          <w:szCs w:val="16"/>
        </w:rPr>
      </w:pPr>
    </w:p>
    <w:p>
      <w:pPr>
        <w:pStyle w:val="BodyText"/>
        <w:spacing w:line="451" w:lineRule="auto"/>
        <w:ind w:left="513" w:right="1152"/>
        <w:jc w:val="left"/>
      </w:pPr>
      <w:r>
        <w:rPr>
          <w:rFonts w:ascii="Times New Roman" w:hAnsi="Times New Roman" w:cs="Times New Roman" w:eastAsia="Times New Roman" w:hint="default"/>
          <w:b/>
          <w:bCs/>
        </w:rPr>
        <w:t>2</w:t>
      </w:r>
      <w:r>
        <w:rPr>
          <w:rFonts w:ascii="宋体" w:hAnsi="宋体" w:cs="宋体" w:eastAsia="宋体" w:hint="default"/>
          <w:b/>
          <w:bCs/>
        </w:rPr>
        <w:t>、信息安全</w:t>
      </w:r>
      <w:r>
        <w:rPr>
          <w:rFonts w:ascii="宋体" w:hAnsi="宋体" w:cs="宋体" w:eastAsia="宋体" w:hint="default"/>
          <w:b/>
          <w:bCs/>
          <w:w w:val="99"/>
        </w:rPr>
        <w:t> </w:t>
      </w:r>
      <w:r>
        <w:rPr/>
        <w:t>伴随着中国制造发展战略、</w:t>
      </w:r>
      <w:r>
        <w:rPr>
          <w:rFonts w:ascii="Times New Roman" w:hAnsi="Times New Roman" w:cs="Times New Roman" w:eastAsia="Times New Roman" w:hint="default"/>
        </w:rPr>
        <w:t>“</w:t>
      </w:r>
      <w:r>
        <w:rPr/>
        <w:t>一带一路</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行动计划、大数据、军民融合发展、网络安全保障等国家战略的推</w:t>
      </w:r>
    </w:p>
    <w:p>
      <w:pPr>
        <w:pStyle w:val="BodyText"/>
        <w:spacing w:line="477" w:lineRule="auto" w:before="43"/>
        <w:ind w:right="1034"/>
        <w:jc w:val="left"/>
      </w:pPr>
      <w:r>
        <w:rPr>
          <w:spacing w:val="-2"/>
        </w:rPr>
        <w:t>进实施，我国经济发展进入新常态。软件产业作为国家鼓励发展的战略性、基础性和先导性支柱产业，受益于国家对新一代</w:t>
      </w:r>
      <w:r>
        <w:rPr>
          <w:spacing w:val="-65"/>
        </w:rPr>
        <w:t> </w:t>
      </w:r>
      <w:r>
        <w:rPr>
          <w:spacing w:val="-65"/>
        </w:rPr>
      </w:r>
      <w:r>
        <w:rPr>
          <w:spacing w:val="-2"/>
        </w:rPr>
        <w:t>信息技术产业持续的政策和资金扶持，以及国民经济的发展和社会信息化的建设引导，软件产业市场规模将持续扩大。我国</w:t>
      </w:r>
      <w:r>
        <w:rPr>
          <w:spacing w:val="-63"/>
        </w:rPr>
        <w:t> </w:t>
      </w:r>
      <w:r>
        <w:rPr>
          <w:spacing w:val="-63"/>
        </w:rPr>
      </w:r>
      <w:r>
        <w:rPr/>
        <w:t>软件产业也面临转型发展的关键时期。随着信息通信技术的迅速发展和广泛渗透，在云计算、大数据、区块链、人工智能、 </w:t>
      </w:r>
      <w:r>
        <w:rPr>
          <w:spacing w:val="-2"/>
        </w:rPr>
        <w:t>物联网、移动互联网等新一代信息技术驱动下，信息领域新产品、新服务、新业态大量涌现，软件行业的创新转化进一步加</w:t>
      </w:r>
      <w:r>
        <w:rPr>
          <w:spacing w:val="-67"/>
        </w:rPr>
        <w:t> </w:t>
      </w:r>
      <w:r>
        <w:rPr>
          <w:spacing w:val="-67"/>
        </w:rPr>
      </w:r>
      <w:r>
        <w:rPr/>
        <w:t>快，社会各领域信息化水平得到进一步提升。</w:t>
      </w:r>
    </w:p>
    <w:p>
      <w:pPr>
        <w:pStyle w:val="BodyText"/>
        <w:spacing w:line="477" w:lineRule="auto" w:before="54"/>
        <w:ind w:right="1034" w:firstLine="360"/>
        <w:jc w:val="left"/>
      </w:pPr>
      <w:r>
        <w:rPr/>
        <w:t>随着我国经济的不断发展，且由于近年来的网络安全事故频发，政府、企业、个人都对信息安全的关注程度日益提高， </w:t>
      </w:r>
      <w:r>
        <w:rPr>
          <w:spacing w:val="-2"/>
        </w:rPr>
        <w:t>社会对信息安全的需求与日俱增，政府部门、重点行业在信息安全产品和服务上的投入也不断增加，促进了信息安全领域的</w:t>
      </w:r>
      <w:r>
        <w:rPr>
          <w:spacing w:val="-66"/>
        </w:rPr>
        <w:t> </w:t>
      </w:r>
      <w:r>
        <w:rPr>
          <w:spacing w:val="-66"/>
        </w:rPr>
      </w:r>
      <w:r>
        <w:rPr/>
        <w:t>持续增长。</w:t>
      </w:r>
    </w:p>
    <w:p>
      <w:pPr>
        <w:pStyle w:val="BodyText"/>
        <w:spacing w:line="477" w:lineRule="auto" w:before="54"/>
        <w:ind w:right="1131" w:firstLine="360"/>
        <w:jc w:val="both"/>
      </w:pPr>
      <w:r>
        <w:rPr>
          <w:spacing w:val="-2"/>
        </w:rPr>
        <w:t>伴随以上行业发展的良好机遇和不断完善的政策环境，闽保信息近两年经营业绩保持持续盈利。闽保信息原有管理团队</w:t>
      </w:r>
      <w:r>
        <w:rPr/>
        <w:t> </w:t>
      </w:r>
      <w:r>
        <w:rPr>
          <w:spacing w:val="-2"/>
        </w:rPr>
        <w:t>与母公司派驻团队优势互补、通力合作。闽保信息充分认识行业机遇，时刻关注客户需求及技术发展的动向，持续加大技术</w:t>
      </w:r>
      <w:r>
        <w:rPr>
          <w:spacing w:val="-65"/>
        </w:rPr>
        <w:t> </w:t>
      </w:r>
      <w:r>
        <w:rPr>
          <w:spacing w:val="-65"/>
        </w:rPr>
      </w:r>
      <w:r>
        <w:rPr>
          <w:spacing w:val="-2"/>
        </w:rPr>
        <w:t>研发的投入，提高服务质量和能力，加强市场推广和品牌影响力，完善营销体系，积极化解市场风险和技术风险，运用先进</w:t>
      </w:r>
      <w:r>
        <w:rPr>
          <w:spacing w:val="-67"/>
        </w:rPr>
        <w:t> </w:t>
      </w:r>
      <w:r>
        <w:rPr>
          <w:spacing w:val="-67"/>
        </w:rPr>
      </w:r>
      <w:r>
        <w:rPr/>
        <w:t>管理制度并制定具体防范措施，将管理风险和人员风险降低至可控范围内。</w:t>
      </w:r>
    </w:p>
    <w:p>
      <w:pPr>
        <w:pStyle w:val="BodyText"/>
        <w:spacing w:line="477" w:lineRule="auto" w:before="54"/>
        <w:ind w:left="513" w:right="1133"/>
        <w:jc w:val="left"/>
      </w:pPr>
      <w:r>
        <w:rPr>
          <w:rFonts w:ascii="宋体" w:hAnsi="宋体" w:cs="宋体" w:eastAsia="宋体" w:hint="default"/>
          <w:b/>
          <w:bCs/>
        </w:rPr>
        <w:t>（七）公司其他业务情况</w:t>
      </w:r>
      <w:r>
        <w:rPr>
          <w:rFonts w:ascii="宋体" w:hAnsi="宋体" w:cs="宋体" w:eastAsia="宋体" w:hint="default"/>
          <w:b/>
          <w:bCs/>
          <w:w w:val="99"/>
        </w:rPr>
        <w:t> </w:t>
      </w:r>
      <w:r>
        <w:rPr/>
        <w:t>新兴能源产业：</w:t>
      </w:r>
      <w:r>
        <w:rPr>
          <w:rFonts w:ascii="Times New Roman" w:hAnsi="Times New Roman" w:cs="Times New Roman" w:eastAsia="Times New Roman" w:hint="default"/>
        </w:rPr>
        <w:t>2018</w:t>
      </w:r>
      <w:r>
        <w:rPr/>
        <w:t>年度，为积极响应国家</w:t>
      </w:r>
      <w:r>
        <w:rPr>
          <w:rFonts w:ascii="Times New Roman" w:hAnsi="Times New Roman" w:cs="Times New Roman" w:eastAsia="Times New Roman" w:hint="default"/>
        </w:rPr>
        <w:t>“</w:t>
      </w:r>
      <w:r>
        <w:rPr/>
        <w:t>加快能源多元化，推动传统产业转型升级，培育新的经济增长点，促进绿</w:t>
      </w:r>
    </w:p>
    <w:p>
      <w:pPr>
        <w:pStyle w:val="BodyText"/>
        <w:spacing w:line="458" w:lineRule="auto" w:before="21"/>
        <w:ind w:right="1129"/>
        <w:jc w:val="both"/>
      </w:pPr>
      <w:r>
        <w:rPr>
          <w:spacing w:val="-1"/>
        </w:rPr>
        <w:t>色循环低碳发展</w:t>
      </w:r>
      <w:r>
        <w:rPr>
          <w:rFonts w:ascii="Times New Roman" w:hAnsi="Times New Roman" w:cs="Times New Roman" w:eastAsia="Times New Roman" w:hint="default"/>
          <w:spacing w:val="-1"/>
        </w:rPr>
        <w:t>”</w:t>
      </w:r>
      <w:r>
        <w:rPr>
          <w:spacing w:val="-1"/>
        </w:rPr>
        <w:t>的号召，公司投资参股了苏州奥加华新能源有限公司和</w:t>
      </w:r>
      <w:r>
        <w:rPr>
          <w:rFonts w:ascii="Times New Roman" w:hAnsi="Times New Roman" w:cs="Times New Roman" w:eastAsia="Times New Roman" w:hint="default"/>
          <w:spacing w:val="-1"/>
        </w:rPr>
        <w:t>Oorja</w:t>
      </w:r>
      <w:r>
        <w:rPr>
          <w:rFonts w:ascii="Times New Roman" w:hAnsi="Times New Roman" w:cs="Times New Roman" w:eastAsia="Times New Roman" w:hint="default"/>
          <w:spacing w:val="28"/>
        </w:rPr>
        <w:t> </w:t>
      </w:r>
      <w:r>
        <w:rPr>
          <w:rFonts w:ascii="Times New Roman" w:hAnsi="Times New Roman" w:cs="Times New Roman" w:eastAsia="Times New Roman" w:hint="default"/>
          <w:spacing w:val="-2"/>
        </w:rPr>
        <w:t>Corporation</w:t>
      </w:r>
      <w:r>
        <w:rPr>
          <w:spacing w:val="-2"/>
        </w:rPr>
        <w:t>公司，其主要是研究开发并生产制</w:t>
      </w:r>
      <w:r>
        <w:rPr>
          <w:spacing w:val="-81"/>
        </w:rPr>
        <w:t> </w:t>
      </w:r>
      <w:r>
        <w:rPr>
          <w:spacing w:val="-81"/>
        </w:rPr>
      </w:r>
      <w:r>
        <w:rPr>
          <w:spacing w:val="-1"/>
        </w:rPr>
        <w:t>造新型的燃料电池</w:t>
      </w:r>
      <w:r>
        <w:rPr>
          <w:rFonts w:ascii="Times New Roman" w:hAnsi="Times New Roman" w:cs="Times New Roman" w:eastAsia="Times New Roman" w:hint="default"/>
          <w:spacing w:val="-1"/>
        </w:rPr>
        <w:t>——</w:t>
      </w:r>
      <w:r>
        <w:rPr>
          <w:spacing w:val="-1"/>
        </w:rPr>
        <w:t>直接甲醇燃料电池（</w:t>
      </w:r>
      <w:r>
        <w:rPr>
          <w:rFonts w:ascii="Times New Roman" w:hAnsi="Times New Roman" w:cs="Times New Roman" w:eastAsia="Times New Roman" w:hint="default"/>
          <w:spacing w:val="-1"/>
        </w:rPr>
        <w:t>DMFC</w:t>
      </w:r>
      <w:r>
        <w:rPr>
          <w:spacing w:val="-1"/>
        </w:rPr>
        <w:t>）系列产品，该产品是将甲醇在</w:t>
      </w:r>
      <w:r>
        <w:rPr>
          <w:rFonts w:ascii="Times New Roman" w:hAnsi="Times New Roman" w:cs="Times New Roman" w:eastAsia="Times New Roman" w:hint="default"/>
          <w:spacing w:val="-1"/>
        </w:rPr>
        <w:t>DMFC</w:t>
      </w:r>
      <w:r>
        <w:rPr>
          <w:spacing w:val="-1"/>
        </w:rPr>
        <w:t>电池中进行电化学反应，直接将化</w:t>
      </w:r>
      <w:r>
        <w:rPr>
          <w:spacing w:val="-61"/>
        </w:rPr>
        <w:t> </w:t>
      </w:r>
      <w:r>
        <w:rPr>
          <w:spacing w:val="-61"/>
        </w:rPr>
      </w:r>
      <w:r>
        <w:rPr>
          <w:spacing w:val="-1"/>
        </w:rPr>
        <w:t>学能转化为电能，不需要将甲醇重整制氢这个过程。</w:t>
      </w:r>
      <w:r>
        <w:rPr>
          <w:rFonts w:ascii="Times New Roman" w:hAnsi="Times New Roman" w:cs="Times New Roman" w:eastAsia="Times New Roman" w:hint="default"/>
          <w:spacing w:val="-1"/>
        </w:rPr>
        <w:t>DMFC</w:t>
      </w:r>
      <w:r>
        <w:rPr>
          <w:spacing w:val="-1"/>
        </w:rPr>
        <w:t>电池产品，其电池结构比甲醇重整制氢燃料电池更为简单，效率</w:t>
      </w:r>
      <w:r>
        <w:rPr/>
        <w:t> </w:t>
      </w:r>
      <w:r>
        <w:rPr>
          <w:spacing w:val="-2"/>
        </w:rPr>
        <w:t>更为高效，但技术要求相对较高。目前，经过不断努力已经开发成功一系列技术领先的</w:t>
      </w:r>
      <w:r>
        <w:rPr>
          <w:rFonts w:ascii="Times New Roman" w:hAnsi="Times New Roman" w:cs="Times New Roman" w:eastAsia="Times New Roman" w:hint="default"/>
          <w:spacing w:val="-2"/>
        </w:rPr>
        <w:t>DMFC</w:t>
      </w:r>
      <w:r>
        <w:rPr>
          <w:spacing w:val="-2"/>
        </w:rPr>
        <w:t>动力级燃料电池产品，部分产</w:t>
      </w:r>
      <w:r>
        <w:rPr>
          <w:spacing w:val="-38"/>
        </w:rPr>
        <w:t> </w:t>
      </w:r>
      <w:r>
        <w:rPr>
          <w:spacing w:val="-38"/>
        </w:rPr>
      </w:r>
      <w:r>
        <w:rPr>
          <w:spacing w:val="-2"/>
        </w:rPr>
        <w:t>品已与相关电动汽车（包括家用汽车和物流载重车）厂商进行测试，试验进展良好，发布了全球首款直接甲醇燃料电池物流</w:t>
      </w:r>
      <w:r>
        <w:rPr>
          <w:spacing w:val="-62"/>
        </w:rPr>
        <w:t> </w:t>
      </w:r>
      <w:r>
        <w:rPr>
          <w:spacing w:val="-62"/>
        </w:rPr>
      </w:r>
      <w:r>
        <w:rPr>
          <w:spacing w:val="-2"/>
        </w:rPr>
        <w:t>车。并且由于甲醇电池具有自发电和储能应急时间长的优势，其可以应用在电动汽车、通信基站、军工、船舶动力、长航时</w:t>
      </w:r>
      <w:r>
        <w:rPr>
          <w:spacing w:val="-68"/>
        </w:rPr>
        <w:t> </w:t>
      </w:r>
      <w:r>
        <w:rPr>
          <w:spacing w:val="-68"/>
        </w:rPr>
      </w:r>
      <w:r>
        <w:rPr>
          <w:spacing w:val="-2"/>
        </w:rPr>
        <w:t>无人机、微电网及新型分布式电站等领域。另一方面，公司于</w:t>
      </w:r>
      <w:r>
        <w:rPr>
          <w:rFonts w:ascii="Times New Roman" w:hAnsi="Times New Roman" w:cs="Times New Roman" w:eastAsia="Times New Roman" w:hint="default"/>
          <w:spacing w:val="-2"/>
        </w:rPr>
        <w:t>2019</w:t>
      </w:r>
      <w:r>
        <w:rPr>
          <w:spacing w:val="-2"/>
        </w:rPr>
        <w:t>年度全资设立了苏州恒久丰德新能源技术有限公司，主要</w:t>
      </w:r>
      <w:r>
        <w:rPr>
          <w:spacing w:val="-61"/>
        </w:rPr>
        <w:t> </w:t>
      </w:r>
      <w:r>
        <w:rPr>
          <w:spacing w:val="-61"/>
        </w:rPr>
      </w:r>
      <w:r>
        <w:rPr/>
        <w:t>从事新能源领域的核心材料、系统集成的研究与开发。</w:t>
      </w:r>
    </w:p>
    <w:p>
      <w:pPr>
        <w:pStyle w:val="BodyText"/>
        <w:spacing w:line="463" w:lineRule="auto" w:before="68"/>
        <w:ind w:right="1132" w:firstLine="360"/>
        <w:jc w:val="both"/>
      </w:pPr>
      <w:r>
        <w:rPr>
          <w:spacing w:val="-2"/>
        </w:rPr>
        <w:t>综上所述，公司立足于有机光导鼓等光电子器件及碳粉等先进功能材料为核心而形成的影像产业链，通过收购闽保信息</w:t>
      </w:r>
      <w:r>
        <w:rPr/>
        <w:t> </w:t>
      </w:r>
      <w:r>
        <w:rPr>
          <w:spacing w:val="-1"/>
        </w:rPr>
        <w:t>及参股投资直接甲醇燃料电池（</w:t>
      </w:r>
      <w:r>
        <w:rPr>
          <w:rFonts w:ascii="Times New Roman" w:hAnsi="Times New Roman" w:cs="Times New Roman" w:eastAsia="Times New Roman" w:hint="default"/>
          <w:spacing w:val="-1"/>
        </w:rPr>
        <w:t>DMFC</w:t>
      </w:r>
      <w:r>
        <w:rPr>
          <w:spacing w:val="-1"/>
        </w:rPr>
        <w:t>）项目，得以快速切入信息安全和能源系统管理领域，丰富和拓展了公司业务，已经</w:t>
      </w:r>
      <w:r>
        <w:rPr/>
        <w:t> </w:t>
      </w:r>
      <w:r>
        <w:rPr>
          <w:spacing w:val="-2"/>
        </w:rPr>
        <w:t>初步形成了</w:t>
      </w:r>
      <w:r>
        <w:rPr>
          <w:rFonts w:ascii="Times New Roman" w:hAnsi="Times New Roman" w:cs="Times New Roman" w:eastAsia="Times New Roman" w:hint="default"/>
          <w:spacing w:val="-2"/>
        </w:rPr>
        <w:t>“</w:t>
      </w:r>
      <w:r>
        <w:rPr>
          <w:spacing w:val="-2"/>
        </w:rPr>
        <w:t>影像耗材</w:t>
      </w:r>
      <w:r>
        <w:rPr>
          <w:rFonts w:ascii="Times New Roman" w:hAnsi="Times New Roman" w:cs="Times New Roman" w:eastAsia="Times New Roman" w:hint="default"/>
          <w:spacing w:val="-2"/>
        </w:rPr>
        <w:t>+</w:t>
      </w:r>
      <w:r>
        <w:rPr>
          <w:spacing w:val="-2"/>
        </w:rPr>
        <w:t>信息安全</w:t>
      </w:r>
      <w:r>
        <w:rPr>
          <w:rFonts w:ascii="Times New Roman" w:hAnsi="Times New Roman" w:cs="Times New Roman" w:eastAsia="Times New Roman" w:hint="default"/>
          <w:spacing w:val="-2"/>
        </w:rPr>
        <w:t>+</w:t>
      </w:r>
      <w:r>
        <w:rPr>
          <w:spacing w:val="-2"/>
        </w:rPr>
        <w:t>新兴能源</w:t>
      </w:r>
      <w:r>
        <w:rPr>
          <w:rFonts w:ascii="Times New Roman" w:hAnsi="Times New Roman" w:cs="Times New Roman" w:eastAsia="Times New Roman" w:hint="default"/>
          <w:spacing w:val="-2"/>
        </w:rPr>
        <w:t>”</w:t>
      </w:r>
      <w:r>
        <w:rPr>
          <w:spacing w:val="-2"/>
        </w:rPr>
        <w:t>的产业格局和战略布局，且各产业之间具有相关的协同增强效应，为公司的未来</w:t>
      </w:r>
    </w:p>
    <w:p>
      <w:pPr>
        <w:spacing w:after="0" w:line="463"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left="472" w:right="1127"/>
        <w:jc w:val="left"/>
      </w:pPr>
      <w:r>
        <w:rPr/>
        <w:t>发展打开了广阔的发展空间。</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2"/>
        <w:spacing w:line="240" w:lineRule="auto"/>
        <w:ind w:left="472" w:right="1127"/>
        <w:jc w:val="left"/>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before="0"/>
        <w:ind w:left="472" w:right="1127"/>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宋体" w:hAnsi="宋体" w:cs="宋体" w:eastAsia="宋体" w:hint="default"/>
          <w:b/>
          <w:bCs/>
          <w:sz w:val="25"/>
          <w:szCs w:val="25"/>
        </w:rPr>
      </w:pPr>
    </w:p>
    <w:tbl>
      <w:tblPr>
        <w:tblW w:w="0" w:type="auto"/>
        <w:jc w:val="left"/>
        <w:tblInd w:w="112" w:type="dxa"/>
        <w:tblLayout w:type="fixed"/>
        <w:tblCellMar>
          <w:top w:w="0" w:type="dxa"/>
          <w:left w:w="0" w:type="dxa"/>
          <w:bottom w:w="0" w:type="dxa"/>
          <w:right w:w="0" w:type="dxa"/>
        </w:tblCellMar>
        <w:tblLook w:val="01E0"/>
      </w:tblPr>
      <w:tblGrid>
        <w:gridCol w:w="2127"/>
        <w:gridCol w:w="8224"/>
      </w:tblGrid>
      <w:tr>
        <w:trPr>
          <w:trHeight w:val="187" w:hRule="exact"/>
        </w:trPr>
        <w:tc>
          <w:tcPr>
            <w:tcW w:w="2127"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21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主要资产</w:t>
            </w:r>
          </w:p>
        </w:tc>
        <w:tc>
          <w:tcPr>
            <w:tcW w:w="82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2127"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82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期末较期初减少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20.76%</w:t>
            </w:r>
            <w:r>
              <w:rPr>
                <w:rFonts w:ascii="宋体" w:hAnsi="宋体" w:cs="宋体" w:eastAsia="宋体" w:hint="default"/>
                <w:sz w:val="18"/>
                <w:szCs w:val="18"/>
              </w:rPr>
              <w:t>，系对股权投资采用权益法核算形成的投资损失所致。</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82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期末较期初增加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6.43%</w:t>
            </w:r>
            <w:r>
              <w:rPr>
                <w:rFonts w:ascii="宋体" w:hAnsi="宋体" w:cs="宋体" w:eastAsia="宋体" w:hint="default"/>
                <w:sz w:val="18"/>
                <w:szCs w:val="18"/>
              </w:rPr>
              <w:t>，系并购闽保公司资产增加所致。</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82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期末较期初增加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23.33%</w:t>
            </w:r>
            <w:r>
              <w:rPr>
                <w:rFonts w:ascii="宋体" w:hAnsi="宋体" w:cs="宋体" w:eastAsia="宋体" w:hint="default"/>
                <w:sz w:val="18"/>
                <w:szCs w:val="18"/>
              </w:rPr>
              <w:t>，系并购闽保公司资产增加所致。</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82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期末较期初增加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，系新增工程中心和厂房设计勘查费所致。</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8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期末较期初增加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17.65%</w:t>
            </w:r>
            <w:r>
              <w:rPr>
                <w:rFonts w:ascii="宋体" w:hAnsi="宋体" w:cs="宋体" w:eastAsia="宋体" w:hint="default"/>
                <w:sz w:val="18"/>
                <w:szCs w:val="18"/>
              </w:rPr>
              <w:t>，系银行存款增加所致。</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8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期末较期初减少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，系外汇掉期到期所致。</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8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期末较期初减少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26.94%</w:t>
            </w:r>
            <w:r>
              <w:rPr>
                <w:rFonts w:ascii="宋体" w:hAnsi="宋体" w:cs="宋体" w:eastAsia="宋体" w:hint="default"/>
                <w:sz w:val="18"/>
                <w:szCs w:val="18"/>
              </w:rPr>
              <w:t>，系银行承兑票据减少所致。</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8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期末较期初增加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48.19%</w:t>
            </w:r>
            <w:r>
              <w:rPr>
                <w:rFonts w:ascii="宋体" w:hAnsi="宋体" w:cs="宋体" w:eastAsia="宋体" w:hint="default"/>
                <w:sz w:val="18"/>
                <w:szCs w:val="18"/>
              </w:rPr>
              <w:t>，系应收货款增加所致。</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8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期末较期初增加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95.02%</w:t>
            </w:r>
            <w:r>
              <w:rPr>
                <w:rFonts w:ascii="宋体" w:hAnsi="宋体" w:cs="宋体" w:eastAsia="宋体" w:hint="default"/>
                <w:sz w:val="18"/>
                <w:szCs w:val="18"/>
              </w:rPr>
              <w:t>，系并购闽保公司的预付货款增加所致。</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8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期末较期初增加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557.27%</w:t>
            </w:r>
            <w:r>
              <w:rPr>
                <w:rFonts w:ascii="宋体" w:hAnsi="宋体" w:cs="宋体" w:eastAsia="宋体" w:hint="default"/>
                <w:sz w:val="18"/>
                <w:szCs w:val="18"/>
              </w:rPr>
              <w:t>，系并购闽保公司的其他应收货款增加所致。</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8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期末较期初减少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16.51%</w:t>
            </w:r>
            <w:r>
              <w:rPr>
                <w:rFonts w:ascii="宋体" w:hAnsi="宋体" w:cs="宋体" w:eastAsia="宋体" w:hint="default"/>
                <w:sz w:val="18"/>
                <w:szCs w:val="18"/>
              </w:rPr>
              <w:t>，系库存商品减少所致。</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8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期末较期初减少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67.52%</w:t>
            </w:r>
            <w:r>
              <w:rPr>
                <w:rFonts w:ascii="宋体" w:hAnsi="宋体" w:cs="宋体" w:eastAsia="宋体" w:hint="default"/>
                <w:sz w:val="18"/>
                <w:szCs w:val="18"/>
              </w:rPr>
              <w:t>，系新金融工具准则下购买的理财至报告日到期赎回后转入其他流动资产所致。</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8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期末较期初增加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701.85%</w:t>
            </w:r>
            <w:r>
              <w:rPr>
                <w:rFonts w:ascii="宋体" w:hAnsi="宋体" w:cs="宋体" w:eastAsia="宋体" w:hint="default"/>
                <w:sz w:val="18"/>
                <w:szCs w:val="18"/>
              </w:rPr>
              <w:t>，系新金融工具准则下购买的理财至报告日到期赎回增加所致。</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8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期末较期初增加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，系并购闽保公司所致。</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8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期末较期初增加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，系并购闽保公司所致。</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8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期末较期初减少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49.20%</w:t>
            </w:r>
            <w:r>
              <w:rPr>
                <w:rFonts w:ascii="宋体" w:hAnsi="宋体" w:cs="宋体" w:eastAsia="宋体" w:hint="default"/>
                <w:sz w:val="18"/>
                <w:szCs w:val="18"/>
              </w:rPr>
              <w:t>，主要系长期待摊费用摊销所致。</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8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期末较期初增加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79.83%</w:t>
            </w:r>
            <w:r>
              <w:rPr>
                <w:rFonts w:ascii="宋体" w:hAnsi="宋体" w:cs="宋体" w:eastAsia="宋体" w:hint="default"/>
                <w:sz w:val="18"/>
                <w:szCs w:val="18"/>
              </w:rPr>
              <w:t>，主要系根据信用减值准备计提的递延所得税资产增加所致。</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8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期末较期初增加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367.34%</w:t>
            </w:r>
            <w:r>
              <w:rPr>
                <w:rFonts w:ascii="宋体" w:hAnsi="宋体" w:cs="宋体" w:eastAsia="宋体" w:hint="default"/>
                <w:sz w:val="18"/>
                <w:szCs w:val="18"/>
              </w:rPr>
              <w:t>，主要系预付款增加所致。</w:t>
            </w:r>
          </w:p>
        </w:tc>
      </w:tr>
    </w:tbl>
    <w:p>
      <w:pPr>
        <w:spacing w:line="240" w:lineRule="auto" w:before="3"/>
        <w:rPr>
          <w:rFonts w:ascii="宋体" w:hAnsi="宋体" w:cs="宋体" w:eastAsia="宋体" w:hint="default"/>
          <w:b/>
          <w:bCs/>
          <w:sz w:val="19"/>
          <w:szCs w:val="19"/>
        </w:rPr>
      </w:pPr>
    </w:p>
    <w:p>
      <w:pPr>
        <w:pStyle w:val="Heading3"/>
        <w:spacing w:line="240" w:lineRule="auto"/>
        <w:ind w:left="472" w:right="1127"/>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472" w:right="1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left="472" w:right="1127"/>
        <w:jc w:val="left"/>
        <w:rPr>
          <w:b w:val="0"/>
          <w:bCs w:val="0"/>
        </w:rPr>
      </w:pPr>
      <w:r>
        <w:rPr/>
        <w:t>三、核心竞争力分析</w:t>
      </w:r>
      <w:r>
        <w:rPr>
          <w:b w:val="0"/>
          <w:bCs w:val="0"/>
        </w:rPr>
      </w:r>
    </w:p>
    <w:p>
      <w:pPr>
        <w:spacing w:line="240" w:lineRule="auto" w:before="7"/>
        <w:rPr>
          <w:rFonts w:ascii="宋体" w:hAnsi="宋体" w:cs="宋体" w:eastAsia="宋体" w:hint="default"/>
          <w:b/>
          <w:bCs/>
          <w:sz w:val="32"/>
          <w:szCs w:val="32"/>
        </w:rPr>
      </w:pPr>
    </w:p>
    <w:p>
      <w:pPr>
        <w:pStyle w:val="BodyText"/>
        <w:spacing w:line="451" w:lineRule="auto"/>
        <w:ind w:left="833" w:right="1127"/>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）技术优势</w:t>
      </w:r>
      <w:r>
        <w:rPr>
          <w:rFonts w:ascii="宋体" w:hAnsi="宋体" w:cs="宋体" w:eastAsia="宋体" w:hint="default"/>
          <w:b/>
          <w:bCs/>
          <w:w w:val="99"/>
        </w:rPr>
        <w:t> </w:t>
      </w:r>
      <w:r>
        <w:rPr>
          <w:spacing w:val="-1"/>
        </w:rPr>
        <w:t>公司具有强大的设备集成及整条产线的灵活改造能力；具有独特的</w:t>
      </w:r>
      <w:r>
        <w:rPr>
          <w:rFonts w:ascii="Times New Roman" w:hAnsi="Times New Roman" w:cs="Times New Roman" w:eastAsia="Times New Roman" w:hint="default"/>
          <w:spacing w:val="-1"/>
        </w:rPr>
        <w:t>“</w:t>
      </w:r>
      <w:r>
        <w:rPr>
          <w:spacing w:val="-1"/>
        </w:rPr>
        <w:t>一体两翼，双线联动</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连续镀膜，一次成型</w:t>
      </w:r>
      <w:r>
        <w:rPr>
          <w:rFonts w:ascii="Times New Roman" w:hAnsi="Times New Roman" w:cs="Times New Roman" w:eastAsia="Times New Roman" w:hint="default"/>
          <w:spacing w:val="-1"/>
        </w:rPr>
        <w:t>”</w:t>
      </w:r>
      <w:r>
        <w:rPr>
          <w:spacing w:val="-1"/>
        </w:rPr>
        <w:t>、自</w:t>
      </w:r>
      <w:r>
        <w:rPr/>
      </w:r>
    </w:p>
    <w:p>
      <w:pPr>
        <w:pStyle w:val="BodyText"/>
        <w:spacing w:line="240" w:lineRule="auto" w:before="43"/>
        <w:ind w:left="472" w:right="0"/>
        <w:jc w:val="left"/>
      </w:pPr>
      <w:r>
        <w:rPr/>
        <w:t>动视检与装配等精湛的工艺流程；具有成膜性高、性能稳定、高迁移率的多种镀膜材料的技术配方。报告期内，公司共申请</w:t>
      </w:r>
    </w:p>
    <w:p>
      <w:pPr>
        <w:spacing w:line="240" w:lineRule="auto" w:before="10"/>
        <w:rPr>
          <w:rFonts w:ascii="宋体" w:hAnsi="宋体" w:cs="宋体" w:eastAsia="宋体" w:hint="default"/>
          <w:sz w:val="17"/>
          <w:szCs w:val="17"/>
        </w:rPr>
      </w:pPr>
    </w:p>
    <w:p>
      <w:pPr>
        <w:pStyle w:val="BodyText"/>
        <w:spacing w:line="240" w:lineRule="auto"/>
        <w:ind w:left="472" w:right="1127"/>
        <w:jc w:val="left"/>
        <w:rPr>
          <w:rFonts w:ascii="Times New Roman" w:hAnsi="Times New Roman" w:cs="Times New Roman" w:eastAsia="Times New Roman" w:hint="default"/>
        </w:rPr>
      </w:pPr>
      <w:r>
        <w:rPr>
          <w:rFonts w:ascii="Times New Roman" w:hAnsi="Times New Roman" w:cs="Times New Roman" w:eastAsia="Times New Roman" w:hint="default"/>
        </w:rPr>
        <w:t>6</w:t>
      </w:r>
      <w:r>
        <w:rPr/>
        <w:t>项实用新型专利，</w:t>
      </w:r>
      <w:r>
        <w:rPr>
          <w:rFonts w:ascii="Times New Roman" w:hAnsi="Times New Roman" w:cs="Times New Roman" w:eastAsia="Times New Roman" w:hint="default"/>
        </w:rPr>
        <w:t>5</w:t>
      </w:r>
      <w:r>
        <w:rPr/>
        <w:t>项发明专利。截至目前，公司共有</w:t>
      </w:r>
      <w:r>
        <w:rPr>
          <w:rFonts w:ascii="Times New Roman" w:hAnsi="Times New Roman" w:cs="Times New Roman" w:eastAsia="Times New Roman" w:hint="default"/>
        </w:rPr>
        <w:t>4</w:t>
      </w:r>
      <w:r>
        <w:rPr/>
        <w:t>项发明专利，</w:t>
      </w:r>
      <w:r>
        <w:rPr>
          <w:rFonts w:ascii="Times New Roman" w:hAnsi="Times New Roman" w:cs="Times New Roman" w:eastAsia="Times New Roman" w:hint="default"/>
        </w:rPr>
        <w:t>9</w:t>
      </w:r>
      <w:r>
        <w:rPr/>
        <w:t>项实用新型专利，</w:t>
      </w:r>
      <w:r>
        <w:rPr>
          <w:rFonts w:ascii="Times New Roman" w:hAnsi="Times New Roman" w:cs="Times New Roman" w:eastAsia="Times New Roman" w:hint="default"/>
        </w:rPr>
        <w:t>15</w:t>
      </w:r>
      <w:r>
        <w:rPr/>
        <w:t>项外观专利获得授权，另有</w:t>
      </w:r>
      <w:r>
        <w:rPr>
          <w:rFonts w:ascii="Times New Roman" w:hAnsi="Times New Roman" w:cs="Times New Roman" w:eastAsia="Times New Roman" w:hint="default"/>
        </w:rPr>
        <w:t>16</w:t>
      </w:r>
    </w:p>
    <w:p>
      <w:pPr>
        <w:spacing w:after="0" w:line="240" w:lineRule="auto"/>
        <w:jc w:val="left"/>
        <w:rPr>
          <w:rFonts w:ascii="Times New Roman" w:hAnsi="Times New Roman" w:cs="Times New Roman" w:eastAsia="Times New Roman" w:hint="default"/>
        </w:rPr>
        <w:sectPr>
          <w:pgSz w:w="11910" w:h="16840"/>
          <w:pgMar w:header="745" w:footer="980" w:top="1060" w:bottom="1160" w:left="66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6"/>
          <w:szCs w:val="16"/>
        </w:rPr>
      </w:pPr>
    </w:p>
    <w:p>
      <w:pPr>
        <w:pStyle w:val="BodyText"/>
        <w:spacing w:line="477" w:lineRule="auto" w:before="44"/>
        <w:ind w:left="513" w:right="1129" w:hanging="361"/>
        <w:jc w:val="left"/>
      </w:pPr>
      <w:r>
        <w:rPr/>
        <w:t>项发明专利进入实审阶段。 </w:t>
      </w:r>
      <w:r>
        <w:rPr>
          <w:spacing w:val="-2"/>
        </w:rPr>
        <w:t>闽保信息在保密信息安全检查、管理、监控、运维审计、档案安全数字化管理系统、漏洞扫描等开发等领域形成了自主</w:t>
      </w:r>
    </w:p>
    <w:p>
      <w:pPr>
        <w:pStyle w:val="BodyText"/>
        <w:spacing w:line="470" w:lineRule="auto" w:before="54"/>
        <w:ind w:right="1130"/>
        <w:jc w:val="both"/>
      </w:pPr>
      <w:r>
        <w:rPr>
          <w:spacing w:val="-2"/>
        </w:rPr>
        <w:t>核心技术，在多个领域具有较为完整的自主技术体系和产业化体系。闽保信息的大部分安全信息类产品已通过了国密、国测</w:t>
      </w:r>
      <w:r>
        <w:rPr>
          <w:spacing w:val="-63"/>
        </w:rPr>
        <w:t> </w:t>
      </w:r>
      <w:r>
        <w:rPr>
          <w:spacing w:val="-63"/>
        </w:rPr>
      </w:r>
      <w:r>
        <w:rPr>
          <w:spacing w:val="-2"/>
        </w:rPr>
        <w:t>认证，在银行、党政、电力、军工、金融等多个领域推出了系列自主可控、高性价比的安全类软硬件产品。报告期内，闽保</w:t>
      </w:r>
      <w:r>
        <w:rPr>
          <w:spacing w:val="-65"/>
        </w:rPr>
        <w:t> </w:t>
      </w:r>
      <w:r>
        <w:rPr>
          <w:spacing w:val="-65"/>
        </w:rPr>
      </w:r>
      <w:r>
        <w:rPr/>
        <w:t>信息获得</w:t>
      </w:r>
      <w:r>
        <w:rPr>
          <w:rFonts w:ascii="Times New Roman" w:hAnsi="Times New Roman" w:cs="Times New Roman" w:eastAsia="Times New Roman" w:hint="default"/>
        </w:rPr>
        <w:t>CMMI5</w:t>
      </w:r>
      <w:r>
        <w:rPr/>
        <w:t>（软件能力成熟度模型）认定、涉密信息系统集成乙级资质证书、福建省涉密纸介质销毁定点单位资质证 </w:t>
      </w:r>
      <w:r>
        <w:rPr>
          <w:spacing w:val="-2"/>
        </w:rPr>
        <w:t>书、福建省涉密计算机维修、销毁定点单位资质证书、高新技术企业证书等。截至目前，闽保信息获得信息安全类软件开发</w:t>
      </w:r>
      <w:r>
        <w:rPr>
          <w:spacing w:val="-66"/>
        </w:rPr>
        <w:t> </w:t>
      </w:r>
      <w:r>
        <w:rPr>
          <w:spacing w:val="-66"/>
        </w:rPr>
      </w:r>
      <w:r>
        <w:rPr/>
        <w:t>著作权共</w:t>
      </w:r>
      <w:r>
        <w:rPr>
          <w:rFonts w:ascii="Times New Roman" w:hAnsi="Times New Roman" w:cs="Times New Roman" w:eastAsia="Times New Roman" w:hint="default"/>
        </w:rPr>
        <w:t>25</w:t>
      </w:r>
      <w:r>
        <w:rPr/>
        <w:t>项。</w:t>
      </w:r>
    </w:p>
    <w:p>
      <w:pPr>
        <w:pStyle w:val="BodyText"/>
        <w:spacing w:line="451" w:lineRule="auto" w:before="27"/>
        <w:ind w:left="513" w:right="1127"/>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）研发优势</w:t>
      </w:r>
      <w:r>
        <w:rPr>
          <w:rFonts w:ascii="宋体" w:hAnsi="宋体" w:cs="宋体" w:eastAsia="宋体" w:hint="default"/>
          <w:b/>
          <w:bCs/>
          <w:w w:val="99"/>
        </w:rPr>
        <w:t> </w:t>
      </w:r>
      <w:r>
        <w:rPr>
          <w:spacing w:val="-1"/>
        </w:rPr>
        <w:t>公司设有</w:t>
      </w:r>
      <w:r>
        <w:rPr>
          <w:rFonts w:ascii="Times New Roman" w:hAnsi="Times New Roman" w:cs="Times New Roman" w:eastAsia="Times New Roman" w:hint="default"/>
          <w:spacing w:val="-1"/>
        </w:rPr>
        <w:t>“</w:t>
      </w:r>
      <w:r>
        <w:rPr>
          <w:spacing w:val="-1"/>
        </w:rPr>
        <w:t>江苏省省级企业技术中心</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苏州市有机光导工程技术研究中心</w:t>
      </w:r>
      <w:r>
        <w:rPr>
          <w:rFonts w:ascii="Times New Roman" w:hAnsi="Times New Roman" w:cs="Times New Roman" w:eastAsia="Times New Roman" w:hint="default"/>
          <w:spacing w:val="-1"/>
        </w:rPr>
        <w:t>”</w:t>
      </w:r>
      <w:r>
        <w:rPr>
          <w:spacing w:val="-1"/>
        </w:rPr>
        <w:t>。公司拥有较雄厚的研发实力，能够快速根</w:t>
      </w:r>
    </w:p>
    <w:p>
      <w:pPr>
        <w:pStyle w:val="BodyText"/>
        <w:spacing w:line="463" w:lineRule="auto" w:before="44"/>
        <w:ind w:right="1131"/>
        <w:jc w:val="both"/>
      </w:pPr>
      <w:r>
        <w:rPr>
          <w:spacing w:val="-2"/>
        </w:rPr>
        <w:t>据市场需要对自身产品类型做出调整，研究设计出符合客户需求的特色产品。公司生产的产品不仅覆盖激光</w:t>
      </w:r>
      <w:r>
        <w:rPr>
          <w:rFonts w:ascii="Times New Roman" w:hAnsi="Times New Roman" w:cs="Times New Roman" w:eastAsia="Times New Roman" w:hint="default"/>
          <w:spacing w:val="-2"/>
        </w:rPr>
        <w:t>OPC</w:t>
      </w:r>
      <w:r>
        <w:rPr>
          <w:spacing w:val="-2"/>
        </w:rPr>
        <w:t>鼓市场中主</w:t>
      </w:r>
      <w:r>
        <w:rPr>
          <w:spacing w:val="-52"/>
        </w:rPr>
        <w:t> </w:t>
      </w:r>
      <w:r>
        <w:rPr>
          <w:spacing w:val="-52"/>
        </w:rPr>
      </w:r>
      <w:r>
        <w:rPr>
          <w:spacing w:val="-2"/>
        </w:rPr>
        <w:t>流的小直径鼓芯，还能根据客户需求，定制中大直径的工程机鼓芯及特定再生鼓芯等，以丰富的产品品种满足多样化、个性</w:t>
      </w:r>
      <w:r>
        <w:rPr>
          <w:spacing w:val="-65"/>
        </w:rPr>
        <w:t> </w:t>
      </w:r>
      <w:r>
        <w:rPr>
          <w:spacing w:val="-65"/>
        </w:rPr>
      </w:r>
      <w:r>
        <w:rPr/>
        <w:t>化的市场需求。公司形成的对市场需求快速响应的研发模式，使公司在市场拓展方面显示强有力的竞争优势。</w:t>
      </w:r>
    </w:p>
    <w:p>
      <w:pPr>
        <w:pStyle w:val="BodyText"/>
        <w:spacing w:line="477" w:lineRule="auto" w:before="65"/>
        <w:ind w:right="1129" w:firstLine="360"/>
        <w:jc w:val="both"/>
      </w:pPr>
      <w:r>
        <w:rPr>
          <w:spacing w:val="-2"/>
        </w:rPr>
        <w:t>闽保信息坚持自主创新的研发策略，自成立以来以保密信息化软件产品为起点，扩张区块链相关加密算法、区块链点对</w:t>
      </w:r>
      <w:r>
        <w:rPr/>
        <w:t> </w:t>
      </w:r>
      <w:r>
        <w:rPr>
          <w:spacing w:val="-2"/>
        </w:rPr>
        <w:t>点信息的传输与加密、敏感信息的加密与解密技术应用于产品研发中，推动大数据云服务平台、电子交互手册等产品研发迭</w:t>
      </w:r>
      <w:r>
        <w:rPr>
          <w:spacing w:val="-63"/>
        </w:rPr>
        <w:t> </w:t>
      </w:r>
      <w:r>
        <w:rPr>
          <w:spacing w:val="-63"/>
        </w:rPr>
      </w:r>
      <w:r>
        <w:rPr/>
        <w:t>代。</w:t>
      </w:r>
    </w:p>
    <w:p>
      <w:pPr>
        <w:pStyle w:val="BodyText"/>
        <w:spacing w:line="451" w:lineRule="auto" w:before="54"/>
        <w:ind w:left="513" w:right="1129"/>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）人才优势</w:t>
      </w:r>
      <w:r>
        <w:rPr>
          <w:rFonts w:ascii="宋体" w:hAnsi="宋体" w:cs="宋体" w:eastAsia="宋体" w:hint="default"/>
          <w:b/>
          <w:bCs/>
          <w:w w:val="99"/>
        </w:rPr>
        <w:t> </w:t>
      </w:r>
      <w:r>
        <w:rPr>
          <w:spacing w:val="-2"/>
        </w:rPr>
        <w:t>公司拥有一支由博士、硕士研究生等组成的专业研发技术团队，专业知识涵盖功能材料、高分子物理与化学、金属材料</w:t>
      </w:r>
    </w:p>
    <w:p>
      <w:pPr>
        <w:pStyle w:val="BodyText"/>
        <w:spacing w:line="477" w:lineRule="auto" w:before="74"/>
        <w:ind w:right="1133"/>
        <w:jc w:val="both"/>
      </w:pPr>
      <w:r>
        <w:rPr>
          <w:spacing w:val="-2"/>
        </w:rPr>
        <w:t>与加工、光机电一体化、集成控制与制造、研发与工程管理等领域，并随着公司的发展，积累了丰富的经验，形成了一整套</w:t>
      </w:r>
      <w:r>
        <w:rPr>
          <w:spacing w:val="-68"/>
        </w:rPr>
        <w:t> </w:t>
      </w:r>
      <w:r>
        <w:rPr>
          <w:spacing w:val="-68"/>
        </w:rPr>
      </w:r>
      <w:r>
        <w:rPr/>
        <w:t>核心技术体系，为公司的持续发展和创新奠定了强有力的基础。</w:t>
      </w:r>
    </w:p>
    <w:p>
      <w:pPr>
        <w:pStyle w:val="BodyText"/>
        <w:spacing w:line="468" w:lineRule="auto" w:before="54"/>
        <w:ind w:right="0" w:firstLine="360"/>
        <w:jc w:val="left"/>
      </w:pPr>
      <w:r>
        <w:rPr>
          <w:spacing w:val="-2"/>
        </w:rPr>
        <w:t>闽保信息持续加大内部培养和外部引进人才的力度，加强员工岗前培训和团队建设，建立了科学化、规范化、系统化的</w:t>
      </w:r>
      <w:r>
        <w:rPr/>
        <w:t> </w:t>
      </w:r>
      <w:r>
        <w:rPr>
          <w:spacing w:val="-4"/>
        </w:rPr>
        <w:t>人力资源培训体系。闽保信息积极培养复合型人才，形成合理的人才梯队，不断加强团队凝聚力，全面提高员工的工作热情。</w:t>
      </w:r>
      <w:r>
        <w:rPr>
          <w:spacing w:val="-46"/>
        </w:rPr>
        <w:t> </w:t>
      </w:r>
      <w:r>
        <w:rPr>
          <w:spacing w:val="-46"/>
        </w:rPr>
      </w:r>
      <w:r>
        <w:rPr/>
        <w:t>闽保信息的技术、研发人员占比约为</w:t>
      </w:r>
      <w:r>
        <w:rPr>
          <w:rFonts w:ascii="Times New Roman" w:hAnsi="Times New Roman" w:cs="Times New Roman" w:eastAsia="Times New Roman" w:hint="default"/>
        </w:rPr>
        <w:t>65%</w:t>
      </w:r>
      <w:r>
        <w:rPr/>
        <w:t>。同时，与福州大学计算机系进行产、学、研相结合的合作，共同培养系统集成和 应用方面的实用型人才。</w:t>
      </w:r>
    </w:p>
    <w:p>
      <w:pPr>
        <w:pStyle w:val="BodyText"/>
        <w:spacing w:line="451" w:lineRule="auto" w:before="61"/>
        <w:ind w:left="513" w:right="1129"/>
        <w:jc w:val="left"/>
      </w:pPr>
      <w:r>
        <w:rPr>
          <w:rFonts w:ascii="宋体" w:hAnsi="宋体" w:cs="宋体" w:eastAsia="宋体" w:hint="default"/>
          <w:b/>
          <w:bCs/>
        </w:rPr>
        <w:t>（</w:t>
      </w:r>
      <w:r>
        <w:rPr>
          <w:rFonts w:ascii="Times New Roman" w:hAnsi="Times New Roman" w:cs="Times New Roman" w:eastAsia="Times New Roman" w:hint="default"/>
          <w:b/>
          <w:bCs/>
        </w:rPr>
        <w:t>4</w:t>
      </w:r>
      <w:r>
        <w:rPr>
          <w:rFonts w:ascii="宋体" w:hAnsi="宋体" w:cs="宋体" w:eastAsia="宋体" w:hint="default"/>
          <w:b/>
          <w:bCs/>
        </w:rPr>
        <w:t>）质量管理优势</w:t>
      </w:r>
      <w:r>
        <w:rPr>
          <w:rFonts w:ascii="宋体" w:hAnsi="宋体" w:cs="宋体" w:eastAsia="宋体" w:hint="default"/>
          <w:b/>
          <w:bCs/>
          <w:w w:val="99"/>
        </w:rPr>
        <w:t> </w:t>
      </w:r>
      <w:r>
        <w:rPr>
          <w:spacing w:val="-2"/>
        </w:rPr>
        <w:t>品牌是旗帜，品质是旗杆。公司激光</w:t>
      </w:r>
      <w:r>
        <w:rPr>
          <w:rFonts w:ascii="Times New Roman" w:hAnsi="Times New Roman" w:cs="Times New Roman" w:eastAsia="Times New Roman" w:hint="default"/>
          <w:spacing w:val="-2"/>
        </w:rPr>
        <w:t>OPC</w:t>
      </w:r>
      <w:r>
        <w:rPr>
          <w:spacing w:val="-2"/>
        </w:rPr>
        <w:t>鼓生产遵守严格的质量控制企业标准，建立规范化、职责分明的全面质量控制</w:t>
      </w:r>
    </w:p>
    <w:p>
      <w:pPr>
        <w:pStyle w:val="BodyText"/>
        <w:spacing w:line="463" w:lineRule="auto" w:before="44"/>
        <w:ind w:right="1131"/>
        <w:jc w:val="both"/>
      </w:pPr>
      <w:r>
        <w:rPr>
          <w:spacing w:val="-1"/>
        </w:rPr>
        <w:t>体系，并获得《</w:t>
      </w:r>
      <w:r>
        <w:rPr>
          <w:rFonts w:ascii="Times New Roman" w:hAnsi="Times New Roman" w:cs="Times New Roman" w:eastAsia="Times New Roman" w:hint="default"/>
          <w:spacing w:val="-1"/>
        </w:rPr>
        <w:t>ISO</w:t>
      </w:r>
      <w:r>
        <w:rPr>
          <w:spacing w:val="-1"/>
        </w:rPr>
        <w:t>质量体系认证</w:t>
      </w:r>
      <w:r>
        <w:rPr>
          <w:rFonts w:ascii="Times New Roman" w:hAnsi="Times New Roman" w:cs="Times New Roman" w:eastAsia="Times New Roman" w:hint="default"/>
          <w:spacing w:val="-1"/>
        </w:rPr>
        <w:t>9001</w:t>
      </w:r>
      <w:r>
        <w:rPr>
          <w:spacing w:val="-1"/>
        </w:rPr>
        <w:t>》。鉴于公司良好的质量控制能力与丰富的经验，公司作为主起草与参与起草单位制</w:t>
      </w:r>
      <w:r>
        <w:rPr>
          <w:spacing w:val="-50"/>
        </w:rPr>
        <w:t> </w:t>
      </w:r>
      <w:r>
        <w:rPr>
          <w:spacing w:val="-50"/>
        </w:rPr>
      </w:r>
      <w:r>
        <w:rPr>
          <w:spacing w:val="-2"/>
        </w:rPr>
        <w:t>订了《彩色激光打印机用有机光导鼓》等多项国家标准、行业标准，并被全国复印机械标准化技术委员会评为第五届标准化</w:t>
      </w:r>
      <w:r>
        <w:rPr>
          <w:spacing w:val="-64"/>
        </w:rPr>
        <w:t> </w:t>
      </w:r>
      <w:r>
        <w:rPr>
          <w:spacing w:val="-64"/>
        </w:rPr>
      </w:r>
      <w:r>
        <w:rPr/>
        <w:t>工作先进单位。</w:t>
      </w:r>
    </w:p>
    <w:p>
      <w:pPr>
        <w:pStyle w:val="BodyText"/>
        <w:spacing w:line="451" w:lineRule="auto" w:before="65"/>
        <w:ind w:right="1039" w:firstLine="360"/>
        <w:jc w:val="left"/>
      </w:pPr>
      <w:r>
        <w:rPr/>
        <w:t>闽保信息拥有完善的质量管理体系，先后通过《信息安全管理体系认证</w:t>
      </w:r>
      <w:r>
        <w:rPr>
          <w:rFonts w:ascii="Times New Roman" w:hAnsi="Times New Roman" w:cs="Times New Roman" w:eastAsia="Times New Roman" w:hint="default"/>
        </w:rPr>
        <w:t>ISO</w:t>
      </w:r>
      <w:r>
        <w:rPr/>
        <w:t>质量体系认证</w:t>
      </w:r>
      <w:r>
        <w:rPr>
          <w:rFonts w:ascii="Times New Roman" w:hAnsi="Times New Roman" w:cs="Times New Roman" w:eastAsia="Times New Roman" w:hint="default"/>
        </w:rPr>
        <w:t>27001</w:t>
      </w:r>
      <w:r>
        <w:rPr/>
        <w:t>》、《信息技术服务管 </w:t>
      </w:r>
      <w:r>
        <w:rPr>
          <w:spacing w:val="-1"/>
        </w:rPr>
        <w:t>理体系认证</w:t>
      </w:r>
      <w:r>
        <w:rPr>
          <w:rFonts w:ascii="Times New Roman" w:hAnsi="Times New Roman" w:cs="Times New Roman" w:eastAsia="Times New Roman" w:hint="default"/>
          <w:spacing w:val="-1"/>
        </w:rPr>
        <w:t>20000-1</w:t>
      </w:r>
      <w:r>
        <w:rPr>
          <w:spacing w:val="-1"/>
        </w:rPr>
        <w:t>》、《</w:t>
      </w:r>
      <w:r>
        <w:rPr>
          <w:rFonts w:ascii="Times New Roman" w:hAnsi="Times New Roman" w:cs="Times New Roman" w:eastAsia="Times New Roman" w:hint="default"/>
          <w:spacing w:val="-1"/>
        </w:rPr>
        <w:t>ISO</w:t>
      </w:r>
      <w:r>
        <w:rPr>
          <w:spacing w:val="-1"/>
        </w:rPr>
        <w:t>质量体系认证</w:t>
      </w:r>
      <w:r>
        <w:rPr>
          <w:rFonts w:ascii="Times New Roman" w:hAnsi="Times New Roman" w:cs="Times New Roman" w:eastAsia="Times New Roman" w:hint="default"/>
          <w:spacing w:val="-1"/>
        </w:rPr>
        <w:t>9001</w:t>
      </w:r>
      <w:r>
        <w:rPr>
          <w:spacing w:val="-1"/>
        </w:rPr>
        <w:t>》、《</w:t>
      </w:r>
      <w:r>
        <w:rPr>
          <w:rFonts w:ascii="Times New Roman" w:hAnsi="Times New Roman" w:cs="Times New Roman" w:eastAsia="Times New Roman" w:hint="default"/>
          <w:spacing w:val="-1"/>
        </w:rPr>
        <w:t>ISO</w:t>
      </w:r>
      <w:r>
        <w:rPr>
          <w:spacing w:val="-1"/>
        </w:rPr>
        <w:t>质量体系认证</w:t>
      </w:r>
      <w:r>
        <w:rPr>
          <w:rFonts w:ascii="Times New Roman" w:hAnsi="Times New Roman" w:cs="Times New Roman" w:eastAsia="Times New Roman" w:hint="default"/>
          <w:spacing w:val="-1"/>
        </w:rPr>
        <w:t>14001</w:t>
      </w:r>
      <w:r>
        <w:rPr>
          <w:spacing w:val="-1"/>
        </w:rPr>
        <w:t>》、《</w:t>
      </w:r>
      <w:r>
        <w:rPr>
          <w:rFonts w:ascii="Times New Roman" w:hAnsi="Times New Roman" w:cs="Times New Roman" w:eastAsia="Times New Roman" w:hint="default"/>
          <w:spacing w:val="-1"/>
        </w:rPr>
        <w:t>ISO</w:t>
      </w:r>
      <w:r>
        <w:rPr>
          <w:spacing w:val="-1"/>
        </w:rPr>
        <w:t>质量体系认证</w:t>
      </w:r>
      <w:r>
        <w:rPr>
          <w:rFonts w:ascii="Times New Roman" w:hAnsi="Times New Roman" w:cs="Times New Roman" w:eastAsia="Times New Roman" w:hint="default"/>
          <w:spacing w:val="-1"/>
        </w:rPr>
        <w:t>18001</w:t>
      </w:r>
      <w:r>
        <w:rPr>
          <w:spacing w:val="-1"/>
        </w:rPr>
        <w:t>》等体系认证。</w:t>
      </w:r>
    </w:p>
    <w:p>
      <w:pPr>
        <w:spacing w:after="0" w:line="451"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045" w:right="1133"/>
        <w:jc w:val="left"/>
        <w:rPr>
          <w:b w:val="0"/>
          <w:bCs w:val="0"/>
        </w:rPr>
      </w:pPr>
      <w:bookmarkStart w:name="_bookmark3" w:id="4"/>
      <w:bookmarkEnd w:id="4"/>
      <w:r>
        <w:rPr>
          <w:b w:val="0"/>
          <w:bCs w:val="0"/>
        </w:rPr>
      </w:r>
      <w:r>
        <w:rPr/>
        <w:t>第四节经营情况讨论与分析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133"/>
        <w:jc w:val="left"/>
        <w:rPr>
          <w:b w:val="0"/>
          <w:bCs w:val="0"/>
        </w:rPr>
      </w:pPr>
      <w:r>
        <w:rPr/>
        <w:t>一、概述</w:t>
      </w:r>
      <w:r>
        <w:rPr>
          <w:b w:val="0"/>
          <w:bCs w:val="0"/>
        </w:rPr>
      </w:r>
    </w:p>
    <w:p>
      <w:pPr>
        <w:spacing w:line="240" w:lineRule="auto" w:before="7"/>
        <w:rPr>
          <w:rFonts w:ascii="宋体" w:hAnsi="宋体" w:cs="宋体" w:eastAsia="宋体" w:hint="default"/>
          <w:b/>
          <w:bCs/>
          <w:sz w:val="32"/>
          <w:szCs w:val="32"/>
        </w:rPr>
      </w:pPr>
    </w:p>
    <w:p>
      <w:pPr>
        <w:pStyle w:val="BodyText"/>
        <w:spacing w:line="468" w:lineRule="auto"/>
        <w:ind w:right="1034" w:firstLine="360"/>
        <w:jc w:val="left"/>
      </w:pPr>
      <w:r>
        <w:rPr>
          <w:rFonts w:ascii="Times New Roman" w:hAnsi="Times New Roman" w:cs="Times New Roman" w:eastAsia="Times New Roman" w:hint="default"/>
          <w:spacing w:val="-2"/>
        </w:rPr>
        <w:t>2019</w:t>
      </w:r>
      <w:r>
        <w:rPr>
          <w:spacing w:val="-2"/>
        </w:rPr>
        <w:t>年度，面对复杂多变的国内外经济形势与市场环境，一方面，公司坚持立足于以有机光导鼓等光电子器件及碳粉等</w:t>
      </w:r>
      <w:r>
        <w:rPr/>
        <w:t> 先进功能材料为核心而形成的产业链，深耕以打印、复印、图文和数码快印为功能特征的影像产业，稳中求进，布局长远， </w:t>
      </w:r>
      <w:r>
        <w:rPr>
          <w:spacing w:val="-4"/>
        </w:rPr>
        <w:t>在保证业务规模稳定发展的基础上，努力提高企业经营质量，提升创新能动力，为公司可持续发展奠定良好基础；另一方面，</w:t>
      </w:r>
      <w:r>
        <w:rPr>
          <w:spacing w:val="-46"/>
        </w:rPr>
        <w:t> </w:t>
      </w:r>
      <w:r>
        <w:rPr>
          <w:spacing w:val="-46"/>
        </w:rPr>
      </w:r>
      <w:r>
        <w:rPr/>
        <w:t>公司收购了福建省闽保信息技术有限公司，快速切入信息安全与保密技术的软件产品和服务产业。</w:t>
      </w:r>
    </w:p>
    <w:p>
      <w:pPr>
        <w:pStyle w:val="BodyText"/>
        <w:spacing w:line="240" w:lineRule="auto" w:before="61"/>
        <w:ind w:left="513" w:right="0"/>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）经营业绩：</w:t>
      </w:r>
      <w:r>
        <w:rPr>
          <w:rFonts w:ascii="Times New Roman" w:hAnsi="Times New Roman" w:cs="Times New Roman" w:eastAsia="Times New Roman" w:hint="default"/>
        </w:rPr>
        <w:t>2019</w:t>
      </w:r>
      <w:r>
        <w:rPr/>
        <w:t>年度，公司实现营业总收入</w:t>
      </w:r>
      <w:r>
        <w:rPr>
          <w:rFonts w:ascii="Times New Roman" w:hAnsi="Times New Roman" w:cs="Times New Roman" w:eastAsia="Times New Roman" w:hint="default"/>
        </w:rPr>
        <w:t>3.16</w:t>
      </w:r>
      <w:r>
        <w:rPr/>
        <w:t>亿元，较上年同期下降</w:t>
      </w:r>
      <w:r>
        <w:rPr>
          <w:rFonts w:ascii="Times New Roman" w:hAnsi="Times New Roman" w:cs="Times New Roman" w:eastAsia="Times New Roman" w:hint="default"/>
        </w:rPr>
        <w:t>0.76%</w:t>
      </w:r>
      <w:r>
        <w:rPr/>
        <w:t>；实现归属于母公司所有者的净利润</w:t>
      </w:r>
    </w:p>
    <w:p>
      <w:pPr>
        <w:spacing w:line="240" w:lineRule="auto" w:before="10"/>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2,092.90</w:t>
      </w:r>
      <w:r>
        <w:rPr/>
        <w:t>万元，较上年同期下降</w:t>
      </w:r>
      <w:r>
        <w:rPr>
          <w:rFonts w:ascii="Times New Roman" w:hAnsi="Times New Roman" w:cs="Times New Roman" w:eastAsia="Times New Roman" w:hint="default"/>
        </w:rPr>
        <w:t>39.62%</w:t>
      </w:r>
      <w:r>
        <w:rPr/>
        <w:t>；实现每股收益</w:t>
      </w:r>
      <w:r>
        <w:rPr>
          <w:rFonts w:ascii="Times New Roman" w:hAnsi="Times New Roman" w:cs="Times New Roman" w:eastAsia="Times New Roman" w:hint="default"/>
        </w:rPr>
        <w:t>0.078</w:t>
      </w:r>
      <w:r>
        <w:rPr/>
        <w:t>元，较上年同期下降</w:t>
      </w:r>
      <w:r>
        <w:rPr>
          <w:rFonts w:ascii="Times New Roman" w:hAnsi="Times New Roman" w:cs="Times New Roman" w:eastAsia="Times New Roman" w:hint="default"/>
        </w:rPr>
        <w:t>39.53%</w:t>
      </w: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日，公司总资产</w:t>
      </w:r>
    </w:p>
    <w:p>
      <w:pPr>
        <w:spacing w:line="240" w:lineRule="auto" w:before="9"/>
        <w:rPr>
          <w:rFonts w:ascii="宋体" w:hAnsi="宋体" w:cs="宋体" w:eastAsia="宋体" w:hint="default"/>
          <w:sz w:val="16"/>
          <w:szCs w:val="16"/>
        </w:rPr>
      </w:pPr>
    </w:p>
    <w:p>
      <w:pPr>
        <w:pStyle w:val="BodyText"/>
        <w:spacing w:line="451" w:lineRule="auto"/>
        <w:ind w:left="513" w:right="1168" w:hanging="361"/>
        <w:jc w:val="left"/>
      </w:pPr>
      <w:r>
        <w:rPr>
          <w:rFonts w:ascii="Times New Roman" w:hAnsi="Times New Roman" w:cs="Times New Roman" w:eastAsia="Times New Roman" w:hint="default"/>
        </w:rPr>
        <w:t>8.46</w:t>
      </w:r>
      <w:r>
        <w:rPr/>
        <w:t>亿元，较期初增长</w:t>
      </w:r>
      <w:r>
        <w:rPr>
          <w:rFonts w:ascii="Times New Roman" w:hAnsi="Times New Roman" w:cs="Times New Roman" w:eastAsia="Times New Roman" w:hint="default"/>
        </w:rPr>
        <w:t>23.03%</w:t>
      </w:r>
      <w:r>
        <w:rPr/>
        <w:t>；归属于母公司所有者权益</w:t>
      </w:r>
      <w:r>
        <w:rPr>
          <w:rFonts w:ascii="Times New Roman" w:hAnsi="Times New Roman" w:cs="Times New Roman" w:eastAsia="Times New Roman" w:hint="default"/>
        </w:rPr>
        <w:t>5.77</w:t>
      </w:r>
      <w:r>
        <w:rPr/>
        <w:t>亿元，较期初增长</w:t>
      </w:r>
      <w:r>
        <w:rPr>
          <w:rFonts w:ascii="Times New Roman" w:hAnsi="Times New Roman" w:cs="Times New Roman" w:eastAsia="Times New Roman" w:hint="default"/>
        </w:rPr>
        <w:t>1.90%</w:t>
      </w:r>
      <w:r>
        <w:rPr/>
        <w:t>。 报告期内，公司传统业务即激光有机光导鼓销售数量约</w:t>
      </w:r>
      <w:r>
        <w:rPr>
          <w:rFonts w:ascii="Times New Roman" w:hAnsi="Times New Roman" w:cs="Times New Roman" w:eastAsia="Times New Roman" w:hint="default"/>
        </w:rPr>
        <w:t>7,000</w:t>
      </w:r>
      <w:r>
        <w:rPr/>
        <w:t>万支；打复印耗材贸易业务特别是碳粉随着市场的不断开</w:t>
      </w:r>
    </w:p>
    <w:p>
      <w:pPr>
        <w:pStyle w:val="BodyText"/>
        <w:spacing w:line="240" w:lineRule="auto" w:before="43"/>
        <w:ind w:right="1133"/>
        <w:jc w:val="left"/>
      </w:pPr>
      <w:r>
        <w:rPr/>
        <w:t>拓，销售呈现快速增长态势。合并范围新增了闽保信息的信息安全产品，整体业务结构更加丰富、产品结构更加合理。</w:t>
      </w:r>
    </w:p>
    <w:p>
      <w:pPr>
        <w:spacing w:line="240" w:lineRule="auto" w:before="10"/>
        <w:rPr>
          <w:rFonts w:ascii="宋体" w:hAnsi="宋体" w:cs="宋体" w:eastAsia="宋体" w:hint="default"/>
          <w:sz w:val="17"/>
          <w:szCs w:val="17"/>
        </w:rPr>
      </w:pPr>
    </w:p>
    <w:p>
      <w:pPr>
        <w:pStyle w:val="BodyText"/>
        <w:spacing w:line="468" w:lineRule="auto"/>
        <w:ind w:right="1032" w:firstLine="360"/>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）内部控制：</w:t>
      </w:r>
      <w:r>
        <w:rPr/>
        <w:t>公司积极完善企业内部控制体系，积极完善各项规章制度。完善了《董事会议事规则》、《监事会议 </w:t>
      </w:r>
      <w:r>
        <w:rPr>
          <w:spacing w:val="-4"/>
        </w:rPr>
        <w:t>事规则》、《股东大会议事规则》、《内部审计制度》、《信息披露管理制度》等规章制度，不断完善公司的管理制度体系，</w:t>
      </w:r>
      <w:r>
        <w:rPr>
          <w:spacing w:val="-46"/>
        </w:rPr>
        <w:t> </w:t>
      </w:r>
      <w:r>
        <w:rPr>
          <w:spacing w:val="-46"/>
        </w:rPr>
      </w:r>
      <w:r>
        <w:rPr>
          <w:spacing w:val="-2"/>
        </w:rPr>
        <w:t>对子公司闽保信息主要制度进行查漏补缺，利用制度指引公司规范运作，保障规范运作的标准，不断强化重大事项的内部报</w:t>
      </w:r>
      <w:r>
        <w:rPr>
          <w:spacing w:val="-63"/>
        </w:rPr>
        <w:t> </w:t>
      </w:r>
      <w:r>
        <w:rPr>
          <w:spacing w:val="-63"/>
        </w:rPr>
      </w:r>
      <w:r>
        <w:rPr/>
        <w:t>送流程。</w:t>
      </w:r>
    </w:p>
    <w:p>
      <w:pPr>
        <w:pStyle w:val="BodyText"/>
        <w:spacing w:line="460" w:lineRule="auto" w:before="62"/>
        <w:ind w:right="1044" w:firstLine="360"/>
        <w:jc w:val="both"/>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）市场营销：</w:t>
      </w:r>
      <w:r>
        <w:rPr/>
        <w:t>报告期内，公司以市场为导向，优化产品结构，提高高附加值的高端激光</w:t>
      </w:r>
      <w:r>
        <w:rPr>
          <w:rFonts w:ascii="Times New Roman" w:hAnsi="Times New Roman" w:cs="Times New Roman" w:eastAsia="Times New Roman" w:hint="default"/>
        </w:rPr>
        <w:t>OPC</w:t>
      </w:r>
      <w:r>
        <w:rPr/>
        <w:t>鼓的销售比例，加大激 </w:t>
      </w:r>
      <w:r>
        <w:rPr>
          <w:spacing w:val="-2"/>
        </w:rPr>
        <w:t>光</w:t>
      </w:r>
      <w:r>
        <w:rPr>
          <w:rFonts w:ascii="Times New Roman" w:hAnsi="Times New Roman" w:cs="Times New Roman" w:eastAsia="Times New Roman" w:hint="default"/>
          <w:spacing w:val="-2"/>
        </w:rPr>
        <w:t>OPC</w:t>
      </w:r>
      <w:r>
        <w:rPr>
          <w:spacing w:val="-2"/>
        </w:rPr>
        <w:t>鼓与配套耗材组合销售力度，以进一步增加公司盈利能力，巩固与强化公司在国内激光</w:t>
      </w:r>
      <w:r>
        <w:rPr>
          <w:rFonts w:ascii="Times New Roman" w:hAnsi="Times New Roman" w:cs="Times New Roman" w:eastAsia="Times New Roman" w:hint="default"/>
          <w:spacing w:val="-2"/>
        </w:rPr>
        <w:t>OPC</w:t>
      </w:r>
      <w:r>
        <w:rPr>
          <w:spacing w:val="-2"/>
        </w:rPr>
        <w:t>鼓的行业地位、品牌及竞</w:t>
      </w:r>
      <w:r>
        <w:rPr>
          <w:spacing w:val="-47"/>
        </w:rPr>
        <w:t> </w:t>
      </w:r>
      <w:r>
        <w:rPr>
          <w:spacing w:val="-47"/>
        </w:rPr>
      </w:r>
      <w:r>
        <w:rPr/>
        <w:t>争优势。持续实施</w:t>
      </w:r>
      <w:r>
        <w:rPr>
          <w:rFonts w:ascii="Times New Roman" w:hAnsi="Times New Roman" w:cs="Times New Roman" w:eastAsia="Times New Roman" w:hint="default"/>
        </w:rPr>
        <w:t>“</w:t>
      </w:r>
      <w:r>
        <w:rPr/>
        <w:t>走出去</w:t>
      </w:r>
      <w:r>
        <w:rPr>
          <w:rFonts w:ascii="Times New Roman" w:hAnsi="Times New Roman" w:cs="Times New Roman" w:eastAsia="Times New Roman" w:hint="default"/>
        </w:rPr>
        <w:t>”</w:t>
      </w:r>
      <w:r>
        <w:rPr/>
        <w:t>战略，积极参加国内外重要展会，开拓国际市场，更好地利用国外市场及资源，加大国际营销力 </w:t>
      </w:r>
      <w:r>
        <w:rPr>
          <w:spacing w:val="-2"/>
        </w:rPr>
        <w:t>度，深入拓展欧洲、北美洲、南美洲、东南亚、非洲等国外市场，进一步提升出口规模，建立以品牌、技术、规模及协作竞</w:t>
      </w:r>
      <w:r>
        <w:rPr>
          <w:spacing w:val="-70"/>
        </w:rPr>
        <w:t> </w:t>
      </w:r>
      <w:r>
        <w:rPr>
          <w:spacing w:val="-70"/>
        </w:rPr>
      </w:r>
      <w:r>
        <w:rPr>
          <w:spacing w:val="-2"/>
        </w:rPr>
        <w:t>争为目标的国际化道路。闽保信息继续以信息安全软件产品销售及相关等保、分保的安全集成项目为基础，不断扩展已有成</w:t>
      </w:r>
      <w:r>
        <w:rPr>
          <w:spacing w:val="-63"/>
        </w:rPr>
        <w:t> </w:t>
      </w:r>
      <w:r>
        <w:rPr>
          <w:spacing w:val="-63"/>
        </w:rPr>
      </w:r>
      <w:r>
        <w:rPr>
          <w:spacing w:val="-4"/>
        </w:rPr>
        <w:t>果，由点到面深耕福建本地市场，同时由内而外的辐射核心行业外围，加大省外市场的开拓力度，积极优化客户质量和结构。</w:t>
      </w:r>
    </w:p>
    <w:p>
      <w:pPr>
        <w:pStyle w:val="BodyText"/>
        <w:spacing w:line="463" w:lineRule="auto" w:before="67"/>
        <w:ind w:right="1130" w:firstLine="360"/>
        <w:jc w:val="both"/>
      </w:pPr>
      <w:r>
        <w:rPr>
          <w:rFonts w:ascii="宋体" w:hAnsi="宋体" w:cs="宋体" w:eastAsia="宋体" w:hint="default"/>
          <w:b/>
          <w:bCs/>
          <w:spacing w:val="-1"/>
        </w:rPr>
        <w:t>（</w:t>
      </w:r>
      <w:r>
        <w:rPr>
          <w:rFonts w:ascii="Times New Roman" w:hAnsi="Times New Roman" w:cs="Times New Roman" w:eastAsia="Times New Roman" w:hint="default"/>
          <w:b/>
          <w:bCs/>
          <w:spacing w:val="-1"/>
        </w:rPr>
        <w:t>4</w:t>
      </w:r>
      <w:r>
        <w:rPr>
          <w:rFonts w:ascii="宋体" w:hAnsi="宋体" w:cs="宋体" w:eastAsia="宋体" w:hint="default"/>
          <w:b/>
          <w:bCs/>
          <w:spacing w:val="-1"/>
        </w:rPr>
        <w:t>）技术研发：</w:t>
      </w:r>
      <w:r>
        <w:rPr>
          <w:spacing w:val="-1"/>
        </w:rPr>
        <w:t>公司设有</w:t>
      </w:r>
      <w:r>
        <w:rPr>
          <w:rFonts w:ascii="Times New Roman" w:hAnsi="Times New Roman" w:cs="Times New Roman" w:eastAsia="Times New Roman" w:hint="default"/>
          <w:spacing w:val="-1"/>
        </w:rPr>
        <w:t>“</w:t>
      </w:r>
      <w:r>
        <w:rPr>
          <w:spacing w:val="-1"/>
        </w:rPr>
        <w:t>江苏省省级企业技术中心</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苏州市市级企业技术中心</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苏州市有机光导工程技术研究中</w:t>
      </w:r>
      <w:r>
        <w:rPr/>
        <w:t> 心</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苏州市新型纳米激光光导鼓工程技术研究中心</w:t>
      </w:r>
      <w:r>
        <w:rPr>
          <w:rFonts w:ascii="Times New Roman" w:hAnsi="Times New Roman" w:cs="Times New Roman" w:eastAsia="Times New Roman" w:hint="default"/>
        </w:rPr>
        <w:t>”</w:t>
      </w:r>
      <w:r>
        <w:rPr/>
        <w:t>。报告期内，公司凭借自身的技术平台与创新实力，持续、自主地研 </w:t>
      </w:r>
      <w:r>
        <w:rPr>
          <w:spacing w:val="-2"/>
        </w:rPr>
        <w:t>发与改进相关产品，优化产品结构，以适应不断变化的市场与客户需求，为提升公司产品竞争优势提供有力的支持。闽保信</w:t>
      </w:r>
      <w:r>
        <w:rPr>
          <w:spacing w:val="-65"/>
        </w:rPr>
        <w:t> </w:t>
      </w:r>
      <w:r>
        <w:rPr>
          <w:spacing w:val="-65"/>
        </w:rPr>
      </w:r>
      <w:r>
        <w:rPr>
          <w:spacing w:val="-2"/>
        </w:rPr>
        <w:t>息坚持自主创新的研发策略，自成立以来以保密信息化软件产品为起点，扩张区块链相关加密算法、区块链点对点信息的传</w:t>
      </w:r>
      <w:r>
        <w:rPr>
          <w:spacing w:val="-63"/>
        </w:rPr>
        <w:t> </w:t>
      </w:r>
      <w:r>
        <w:rPr>
          <w:spacing w:val="-63"/>
        </w:rPr>
      </w:r>
      <w:r>
        <w:rPr/>
        <w:t>输与加密、敏感信息的加密与解密技术应用于产品研发中，推动大数据云服务平台、电子交互手册等产品研发迭代。</w:t>
      </w:r>
    </w:p>
    <w:p>
      <w:pPr>
        <w:pStyle w:val="BodyText"/>
        <w:spacing w:line="240" w:lineRule="auto" w:before="65"/>
        <w:ind w:left="513" w:right="0"/>
        <w:jc w:val="left"/>
      </w:pPr>
      <w:r>
        <w:rPr>
          <w:rFonts w:ascii="宋体" w:hAnsi="宋体" w:cs="宋体" w:eastAsia="宋体" w:hint="default"/>
          <w:b/>
          <w:bCs/>
        </w:rPr>
        <w:t>（</w:t>
      </w:r>
      <w:r>
        <w:rPr>
          <w:rFonts w:ascii="Times New Roman" w:hAnsi="Times New Roman" w:cs="Times New Roman" w:eastAsia="Times New Roman" w:hint="default"/>
          <w:b/>
          <w:bCs/>
        </w:rPr>
        <w:t>5</w:t>
      </w:r>
      <w:r>
        <w:rPr>
          <w:rFonts w:ascii="宋体" w:hAnsi="宋体" w:cs="宋体" w:eastAsia="宋体" w:hint="default"/>
          <w:b/>
          <w:bCs/>
        </w:rPr>
        <w:t>）产业整合：</w:t>
      </w:r>
      <w:r>
        <w:rPr/>
        <w:t>产业整合着眼于公司未来的发展战略与长远利益。报告期内，公司以有机光导鼓及相关技术作为核心</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right="1130"/>
        <w:jc w:val="both"/>
      </w:pPr>
      <w:r>
        <w:rPr>
          <w:spacing w:val="-2"/>
        </w:rPr>
        <w:t>产业基础，继续深化行业资源的整合，特别是加大对碳粉的市场开拓与销售，优化公司产品与其他打印耗材的匹配性与组合</w:t>
      </w:r>
      <w:r>
        <w:rPr>
          <w:spacing w:val="-62"/>
        </w:rPr>
        <w:t> </w:t>
      </w:r>
      <w:r>
        <w:rPr>
          <w:spacing w:val="-62"/>
        </w:rPr>
      </w:r>
      <w:r>
        <w:rPr>
          <w:spacing w:val="-2"/>
        </w:rPr>
        <w:t>性能，充分发挥行业资源在产品、技术、人才等方面的协同效应与优势互补作用，为客户提供更加多元化且性能卓越的影像</w:t>
      </w:r>
      <w:r>
        <w:rPr>
          <w:spacing w:val="-64"/>
        </w:rPr>
        <w:t> </w:t>
      </w:r>
      <w:r>
        <w:rPr>
          <w:spacing w:val="-64"/>
        </w:rPr>
      </w:r>
      <w:r>
        <w:rPr>
          <w:spacing w:val="-2"/>
        </w:rPr>
        <w:t>耗材产品。同时，不断加强与闽保信息的产业融合，一方面，依托现有的以硬件处理信息的技术产品优势，结合闽保信息以</w:t>
      </w:r>
      <w:r>
        <w:rPr>
          <w:spacing w:val="-67"/>
        </w:rPr>
        <w:t> </w:t>
      </w:r>
      <w:r>
        <w:rPr>
          <w:spacing w:val="-67"/>
        </w:rPr>
      </w:r>
      <w:r>
        <w:rPr>
          <w:spacing w:val="-2"/>
        </w:rPr>
        <w:t>软件处理信息的产业特点，形成以软硬件结合处理信息的技术互补优势，进一步扩大市场的发展空间和拓展以信息安全和保</w:t>
      </w:r>
      <w:r>
        <w:rPr>
          <w:spacing w:val="-64"/>
        </w:rPr>
        <w:t> </w:t>
      </w:r>
      <w:r>
        <w:rPr>
          <w:spacing w:val="-64"/>
        </w:rPr>
      </w:r>
      <w:r>
        <w:rPr>
          <w:spacing w:val="-2"/>
        </w:rPr>
        <w:t>密为特点的新的产业发展机会。另一方面，依托闽保信息多年来在信息安全和系统集成领域的技术成果以及较强的软件开发</w:t>
      </w:r>
      <w:r>
        <w:rPr>
          <w:spacing w:val="-62"/>
        </w:rPr>
        <w:t> </w:t>
      </w:r>
      <w:r>
        <w:rPr>
          <w:spacing w:val="-62"/>
        </w:rPr>
      </w:r>
      <w:r>
        <w:rPr>
          <w:spacing w:val="-2"/>
        </w:rPr>
        <w:t>能力，进一步加强公司产品的保密性和安全性，提高产品品质，扩展产品使用领域，增强公司在打印、复印和数码快印以及</w:t>
      </w:r>
      <w:r>
        <w:rPr>
          <w:spacing w:val="-67"/>
        </w:rPr>
        <w:t> </w:t>
      </w:r>
      <w:r>
        <w:rPr>
          <w:spacing w:val="-67"/>
        </w:rPr>
      </w:r>
      <w:r>
        <w:rPr>
          <w:spacing w:val="-2"/>
        </w:rPr>
        <w:t>智慧云共享等影像产业领域的综合竞争力；此外，充分利用公司本身在新材料领域的长期技术积累和闽保信息较强的软件及</w:t>
      </w:r>
      <w:r>
        <w:rPr>
          <w:spacing w:val="-64"/>
        </w:rPr>
        <w:t> </w:t>
      </w:r>
      <w:r>
        <w:rPr>
          <w:spacing w:val="-64"/>
        </w:rPr>
      </w:r>
      <w:r>
        <w:rPr/>
        <w:t>系统开发能力，增强在新能源核心材料及管理系统方面的竞争力。</w:t>
      </w:r>
    </w:p>
    <w:p>
      <w:pPr>
        <w:pStyle w:val="BodyText"/>
        <w:spacing w:line="465" w:lineRule="auto" w:before="54"/>
        <w:ind w:right="1129" w:firstLine="360"/>
        <w:jc w:val="both"/>
      </w:pPr>
      <w:r>
        <w:rPr>
          <w:rFonts w:ascii="宋体" w:hAnsi="宋体" w:cs="宋体" w:eastAsia="宋体" w:hint="default"/>
          <w:b/>
          <w:bCs/>
        </w:rPr>
        <w:t>（</w:t>
      </w:r>
      <w:r>
        <w:rPr>
          <w:rFonts w:ascii="Times New Roman" w:hAnsi="Times New Roman" w:cs="Times New Roman" w:eastAsia="Times New Roman" w:hint="default"/>
          <w:b/>
          <w:bCs/>
        </w:rPr>
        <w:t>6</w:t>
      </w:r>
      <w:r>
        <w:rPr>
          <w:rFonts w:ascii="宋体" w:hAnsi="宋体" w:cs="宋体" w:eastAsia="宋体" w:hint="default"/>
          <w:b/>
          <w:bCs/>
        </w:rPr>
        <w:t>）资本运作：</w:t>
      </w:r>
      <w:r>
        <w:rPr/>
        <w:t>（</w:t>
      </w:r>
      <w:r>
        <w:rPr>
          <w:rFonts w:ascii="Times New Roman" w:hAnsi="Times New Roman" w:cs="Times New Roman" w:eastAsia="Times New Roman" w:hint="default"/>
        </w:rPr>
        <w:t>1</w:t>
      </w:r>
      <w:r>
        <w:rPr/>
        <w:t>）公司以支付现金</w:t>
      </w:r>
      <w:r>
        <w:rPr>
          <w:rFonts w:ascii="Times New Roman" w:hAnsi="Times New Roman" w:cs="Times New Roman" w:eastAsia="Times New Roman" w:hint="default"/>
        </w:rPr>
        <w:t>139,664,517.25</w:t>
      </w:r>
      <w:r>
        <w:rPr/>
        <w:t>元的方式，收购了福建省闽保信息技术有限公司</w:t>
      </w:r>
      <w:r>
        <w:rPr>
          <w:rFonts w:ascii="Times New Roman" w:hAnsi="Times New Roman" w:cs="Times New Roman" w:eastAsia="Times New Roman" w:hint="default"/>
        </w:rPr>
        <w:t>71.26%</w:t>
      </w:r>
      <w:r>
        <w:rPr/>
        <w:t>股权，标 志着公司从以激光 </w:t>
      </w:r>
      <w:r>
        <w:rPr>
          <w:rFonts w:ascii="Times New Roman" w:hAnsi="Times New Roman" w:cs="Times New Roman" w:eastAsia="Times New Roman" w:hint="default"/>
        </w:rPr>
        <w:t>OPC</w:t>
      </w:r>
      <w:r>
        <w:rPr>
          <w:rFonts w:ascii="Times New Roman" w:hAnsi="Times New Roman" w:cs="Times New Roman" w:eastAsia="Times New Roman" w:hint="default"/>
          <w:spacing w:val="-24"/>
        </w:rPr>
        <w:t> </w:t>
      </w:r>
      <w:r>
        <w:rPr/>
        <w:t>鼓为主导产品的影像耗材硬件供应商，向信息安全、保密技术为基础的软件产品和服务的延伸与拓 展；（</w:t>
      </w:r>
      <w:r>
        <w:rPr>
          <w:rFonts w:ascii="Times New Roman" w:hAnsi="Times New Roman" w:cs="Times New Roman" w:eastAsia="Times New Roman" w:hint="default"/>
        </w:rPr>
        <w:t>2</w:t>
      </w:r>
      <w:r>
        <w:rPr/>
        <w:t>）为推动公司长期发展战略的实施，公司全资设立了恒久影像及恒久丰德新能源。恒久影像的主营业务为影像产业 </w:t>
      </w:r>
      <w:r>
        <w:rPr>
          <w:spacing w:val="-2"/>
        </w:rPr>
        <w:t>相关技术和系统整体解决方案的研究与开发；打印、复印、图文与数码印刷相关联的整机设备、核心部件、系统集成、数据</w:t>
      </w:r>
      <w:r>
        <w:rPr>
          <w:spacing w:val="-68"/>
        </w:rPr>
        <w:t> </w:t>
      </w:r>
      <w:r>
        <w:rPr>
          <w:spacing w:val="-68"/>
        </w:rPr>
      </w:r>
      <w:r>
        <w:rPr>
          <w:spacing w:val="-2"/>
        </w:rPr>
        <w:t>处理与保密、云打印和互联网共享影像输出以及信息安全增强可控等技术产品与解决方案的研发、生产制造与销售管理和服</w:t>
      </w:r>
      <w:r>
        <w:rPr>
          <w:spacing w:val="-64"/>
        </w:rPr>
        <w:t> </w:t>
      </w:r>
      <w:r>
        <w:rPr>
          <w:spacing w:val="-64"/>
        </w:rPr>
      </w:r>
      <w:r>
        <w:rPr>
          <w:spacing w:val="-2"/>
        </w:rPr>
        <w:t>务等。恒久丰德新能源的主营业务为研究开发、生产制造和销售管理新型长寿命高能锂电池、新型轻便型与高功率动力级燃</w:t>
      </w:r>
      <w:r>
        <w:rPr>
          <w:spacing w:val="-63"/>
        </w:rPr>
        <w:t> </w:t>
      </w:r>
      <w:r>
        <w:rPr>
          <w:spacing w:val="-63"/>
        </w:rPr>
      </w:r>
      <w:r>
        <w:rPr>
          <w:spacing w:val="-2"/>
        </w:rPr>
        <w:t>料电池、新型超级电容器以及新型高转换效率光伏电池的单体、组合系统以及核心功能材料和零部件；研究开发电池电源组</w:t>
      </w:r>
      <w:r>
        <w:rPr>
          <w:spacing w:val="-62"/>
        </w:rPr>
        <w:t> </w:t>
      </w:r>
      <w:r>
        <w:rPr>
          <w:spacing w:val="-62"/>
        </w:rPr>
      </w:r>
      <w:r>
        <w:rPr/>
        <w:t>合系统的能量优化管理技术、高效安全的互充与快充技术以及新型应用领域的整体解决方案等。</w:t>
      </w:r>
    </w:p>
    <w:p>
      <w:pPr>
        <w:pStyle w:val="BodyText"/>
        <w:spacing w:line="463" w:lineRule="auto" w:before="63"/>
        <w:ind w:right="1129" w:firstLine="360"/>
        <w:jc w:val="both"/>
      </w:pPr>
      <w:r>
        <w:rPr>
          <w:rFonts w:ascii="宋体" w:hAnsi="宋体" w:cs="宋体" w:eastAsia="宋体" w:hint="default"/>
          <w:b/>
          <w:bCs/>
        </w:rPr>
        <w:t>（</w:t>
      </w:r>
      <w:r>
        <w:rPr>
          <w:rFonts w:ascii="Times New Roman" w:hAnsi="Times New Roman" w:cs="Times New Roman" w:eastAsia="Times New Roman" w:hint="default"/>
          <w:b/>
          <w:bCs/>
        </w:rPr>
        <w:t>7</w:t>
      </w:r>
      <w:r>
        <w:rPr>
          <w:rFonts w:ascii="宋体" w:hAnsi="宋体" w:cs="宋体" w:eastAsia="宋体" w:hint="default"/>
          <w:b/>
          <w:bCs/>
        </w:rPr>
        <w:t>）募投项目：</w:t>
      </w:r>
      <w:r>
        <w:rPr/>
        <w:t>报告期内，公司募投项目</w:t>
      </w:r>
      <w:r>
        <w:rPr>
          <w:rFonts w:ascii="Times New Roman" w:hAnsi="Times New Roman" w:cs="Times New Roman" w:eastAsia="Times New Roman" w:hint="default"/>
        </w:rPr>
        <w:t>“</w:t>
      </w:r>
      <w:r>
        <w:rPr/>
        <w:t>有机光电工程技术中心建设项目</w:t>
      </w:r>
      <w:r>
        <w:rPr>
          <w:rFonts w:ascii="Times New Roman" w:hAnsi="Times New Roman" w:cs="Times New Roman" w:eastAsia="Times New Roman" w:hint="default"/>
        </w:rPr>
        <w:t>”</w:t>
      </w:r>
      <w:r>
        <w:rPr/>
        <w:t>鉴于其实施单位吴中恒久所取得的土地使 </w:t>
      </w:r>
      <w:r>
        <w:rPr>
          <w:spacing w:val="-2"/>
        </w:rPr>
        <w:t>用权的变化情况，为了更加高效、集中地开发、利用土地，同时兼顾公司未来有机光电领域的研发需求，公司重新进行了建</w:t>
      </w:r>
      <w:r>
        <w:rPr>
          <w:spacing w:val="-65"/>
        </w:rPr>
        <w:t> </w:t>
      </w:r>
      <w:r>
        <w:rPr>
          <w:spacing w:val="-65"/>
        </w:rPr>
      </w:r>
      <w:r>
        <w:rPr>
          <w:spacing w:val="-2"/>
        </w:rPr>
        <w:t>设方案的规划，项目实施时间也相应延期。目前，</w:t>
      </w:r>
      <w:r>
        <w:rPr>
          <w:rFonts w:ascii="Times New Roman" w:hAnsi="Times New Roman" w:cs="Times New Roman" w:eastAsia="Times New Roman" w:hint="default"/>
          <w:spacing w:val="-2"/>
        </w:rPr>
        <w:t>“</w:t>
      </w:r>
      <w:r>
        <w:rPr>
          <w:spacing w:val="-2"/>
        </w:rPr>
        <w:t>有机光电工程技术中心建设项目</w:t>
      </w:r>
      <w:r>
        <w:rPr>
          <w:rFonts w:ascii="Times New Roman" w:hAnsi="Times New Roman" w:cs="Times New Roman" w:eastAsia="Times New Roman" w:hint="default"/>
          <w:spacing w:val="-2"/>
        </w:rPr>
        <w:t>”</w:t>
      </w:r>
      <w:r>
        <w:rPr>
          <w:spacing w:val="-2"/>
        </w:rPr>
        <w:t>施工图纸已审核结束并收到吴中区建筑</w:t>
      </w:r>
      <w:r>
        <w:rPr>
          <w:spacing w:val="-45"/>
        </w:rPr>
        <w:t> </w:t>
      </w:r>
      <w:r>
        <w:rPr>
          <w:spacing w:val="-2"/>
        </w:rPr>
        <w:t>工程施工图审查中心的审查合格书，和苏州市行政审批局下发的新建设工程规划许可证；公司正办理施工许可证，考察建筑</w:t>
      </w:r>
      <w:r>
        <w:rPr>
          <w:spacing w:val="-62"/>
        </w:rPr>
        <w:t> </w:t>
      </w:r>
      <w:r>
        <w:rPr>
          <w:spacing w:val="-62"/>
        </w:rPr>
      </w:r>
      <w:r>
        <w:rPr/>
        <w:t>商进行招投标工作。公司将加快项目的开工建设，争取早日发挥募投项目效益。</w:t>
      </w:r>
    </w:p>
    <w:p>
      <w:pPr>
        <w:pStyle w:val="BodyText"/>
        <w:spacing w:line="465" w:lineRule="auto" w:before="65"/>
        <w:ind w:right="1128" w:firstLine="360"/>
        <w:jc w:val="both"/>
      </w:pPr>
      <w:r>
        <w:rPr>
          <w:rFonts w:ascii="宋体" w:hAnsi="宋体" w:cs="宋体" w:eastAsia="宋体" w:hint="default"/>
          <w:b/>
          <w:bCs/>
        </w:rPr>
        <w:t>（</w:t>
      </w:r>
      <w:r>
        <w:rPr>
          <w:rFonts w:ascii="Times New Roman" w:hAnsi="Times New Roman" w:cs="Times New Roman" w:eastAsia="Times New Roman" w:hint="default"/>
          <w:b/>
          <w:bCs/>
        </w:rPr>
        <w:t>8</w:t>
      </w:r>
      <w:r>
        <w:rPr>
          <w:rFonts w:ascii="宋体" w:hAnsi="宋体" w:cs="宋体" w:eastAsia="宋体" w:hint="default"/>
          <w:b/>
          <w:bCs/>
        </w:rPr>
        <w:t>）人力资源：</w:t>
      </w:r>
      <w:r>
        <w:rPr/>
        <w:t>报告期内，公司通过内配外引的方式加强核心管理团队建设，为公司的集团化人才管理夯实了基础； </w:t>
      </w:r>
      <w:r>
        <w:rPr>
          <w:spacing w:val="-2"/>
        </w:rPr>
        <w:t>改革生产线员工的薪酬与考核制度，提高了员工的工作积极性；积极开展内、外部专题培训，恒久人的责任意识和工作技能</w:t>
      </w:r>
      <w:r>
        <w:rPr>
          <w:spacing w:val="-64"/>
        </w:rPr>
        <w:t> </w:t>
      </w:r>
      <w:r>
        <w:rPr>
          <w:spacing w:val="-64"/>
        </w:rPr>
      </w:r>
      <w:r>
        <w:rPr>
          <w:spacing w:val="-2"/>
        </w:rPr>
        <w:t>得到了进一步提高，增强了公司整体凝聚力与战斗力；</w:t>
      </w:r>
      <w:r>
        <w:rPr>
          <w:rFonts w:ascii="Times New Roman" w:hAnsi="Times New Roman" w:cs="Times New Roman" w:eastAsia="Times New Roman" w:hint="default"/>
          <w:spacing w:val="-2"/>
        </w:rPr>
        <w:t>2019</w:t>
      </w:r>
      <w:r>
        <w:rPr>
          <w:spacing w:val="-2"/>
        </w:rPr>
        <w:t>年，恒久科技获评苏州高新区</w:t>
      </w:r>
      <w:r>
        <w:rPr>
          <w:rFonts w:ascii="Times New Roman" w:hAnsi="Times New Roman" w:cs="Times New Roman" w:eastAsia="Times New Roman" w:hint="default"/>
          <w:spacing w:val="-2"/>
        </w:rPr>
        <w:t>“</w:t>
      </w:r>
      <w:r>
        <w:rPr>
          <w:spacing w:val="-2"/>
        </w:rPr>
        <w:t>和谐劳动关系企业</w:t>
      </w:r>
      <w:r>
        <w:rPr>
          <w:rFonts w:ascii="Times New Roman" w:hAnsi="Times New Roman" w:cs="Times New Roman" w:eastAsia="Times New Roman" w:hint="default"/>
          <w:spacing w:val="-2"/>
        </w:rPr>
        <w:t>”</w:t>
      </w:r>
      <w:r>
        <w:rPr>
          <w:spacing w:val="-2"/>
        </w:rPr>
        <w:t>称号。闽保信</w:t>
      </w:r>
      <w:r>
        <w:rPr>
          <w:spacing w:val="-38"/>
        </w:rPr>
        <w:t> </w:t>
      </w:r>
      <w:r>
        <w:rPr>
          <w:spacing w:val="-38"/>
        </w:rPr>
      </w:r>
      <w:r>
        <w:rPr>
          <w:spacing w:val="-2"/>
        </w:rPr>
        <w:t>息能够积极吸纳公司的优秀管理经验，制定出更加合理的薪酬和考评制度，不断改善工作环境，提高员工的生活待遇和个人</w:t>
      </w:r>
      <w:r>
        <w:rPr>
          <w:spacing w:val="-62"/>
        </w:rPr>
        <w:t> </w:t>
      </w:r>
      <w:r>
        <w:rPr>
          <w:spacing w:val="-62"/>
        </w:rPr>
      </w:r>
      <w:r>
        <w:rPr>
          <w:spacing w:val="-2"/>
        </w:rPr>
        <w:t>成就感，创造积极向上的企业文化，保证有业绩、有能力的骨干不断晋升，积极拓展人才引进渠道，吸引培养以及稳定优秀</w:t>
      </w:r>
      <w:r>
        <w:rPr>
          <w:spacing w:val="-67"/>
        </w:rPr>
        <w:t> </w:t>
      </w:r>
      <w:r>
        <w:rPr>
          <w:spacing w:val="-67"/>
        </w:rPr>
      </w:r>
      <w:r>
        <w:rPr/>
        <w:t>人才，同时不断加大内部人才的发掘和培养力度，强化岗位培训。</w:t>
      </w:r>
    </w:p>
    <w:p>
      <w:pPr>
        <w:spacing w:after="0" w:line="465" w:lineRule="auto"/>
        <w:jc w:val="both"/>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spacing w:line="544" w:lineRule="auto" w:before="0"/>
        <w:ind w:left="152" w:right="64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1133"/>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1"/>
        <w:gridCol w:w="1599"/>
        <w:gridCol w:w="1588"/>
        <w:gridCol w:w="1597"/>
      </w:tblGrid>
      <w:tr>
        <w:trPr>
          <w:trHeight w:val="206"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3187" w:type="dxa"/>
            <w:gridSpan w:val="2"/>
            <w:vMerge/>
            <w:tcBorders>
              <w:left w:val="single" w:sz="4" w:space="0" w:color="000000"/>
              <w:bottom w:val="single" w:sz="4" w:space="0" w:color="000000"/>
              <w:right w:val="single" w:sz="4" w:space="0" w:color="000000"/>
            </w:tcBorders>
            <w:shd w:val="clear" w:color="auto" w:fill="D2D2D2"/>
          </w:tcPr>
          <w:p>
            <w:pPr/>
          </w:p>
        </w:tc>
        <w:tc>
          <w:tcPr>
            <w:tcW w:w="15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tcBorders>
              <w:left w:val="single" w:sz="4" w:space="0" w:color="000000"/>
              <w:bottom w:val="nil" w:sz="6" w:space="0" w:color="auto"/>
              <w:right w:val="single" w:sz="4" w:space="0" w:color="000000"/>
            </w:tcBorders>
            <w:shd w:val="clear" w:color="auto" w:fill="D2D2D2"/>
          </w:tcPr>
          <w:p>
            <w:pPr/>
          </w:p>
        </w:tc>
      </w:tr>
      <w:tr>
        <w:trPr>
          <w:trHeight w:val="207"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9"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6"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316,379,060.65</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599"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318,813,645.89</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100%</w:t>
            </w:r>
          </w:p>
        </w:tc>
        <w:tc>
          <w:tcPr>
            <w:tcW w:w="15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-0.76%</w:t>
            </w:r>
          </w:p>
        </w:tc>
      </w:tr>
      <w:tr>
        <w:trPr>
          <w:trHeight w:val="398"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233,569,435.21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73.83%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252,867,919.81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79.31%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-7.63%</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61,957,254.08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19.58%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63,653,942.26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19.97%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-2.67%</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商业保理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2,580,285.93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2,291,783.82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0.72%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12.59%</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信息安全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18,272,085.43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5.77%</w:t>
            </w:r>
          </w:p>
        </w:tc>
        <w:tc>
          <w:tcPr>
            <w:tcW w:w="1599"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激光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OPC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鼓</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233,569,435.21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73.83%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252,867,919.81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79.31%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-7.63%</w:t>
            </w:r>
          </w:p>
        </w:tc>
      </w:tr>
      <w:tr>
        <w:trPr>
          <w:trHeight w:val="71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4"/>
              <w:jc w:val="left"/>
              <w:rPr>
                <w:rFonts w:ascii="宋体" w:hAnsi="宋体" w:cs="宋体" w:eastAsia="宋体" w:hint="default"/>
                <w:sz w:val="18"/>
                <w:szCs w:val="18"/>
              </w:rPr>
            </w:pPr>
            <w:r>
              <w:rPr>
                <w:rFonts w:ascii="宋体" w:hAnsi="宋体" w:cs="宋体" w:eastAsia="宋体" w:hint="default"/>
                <w:spacing w:val="-9"/>
                <w:sz w:val="18"/>
                <w:szCs w:val="18"/>
              </w:rPr>
              <w:t>碳粉、硒鼓及其他耗</w:t>
            </w:r>
            <w:r>
              <w:rPr>
                <w:rFonts w:ascii="宋体" w:hAnsi="宋体" w:cs="宋体" w:eastAsia="宋体" w:hint="default"/>
                <w:sz w:val="18"/>
                <w:szCs w:val="18"/>
              </w:rPr>
              <w:t> 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61,957,254.08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19.58%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63,653,942.26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19.97%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-2.67%</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商业保理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2,580,285.93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2,291,783.82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0.72%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12.59%</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分级保护业务收入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10,384,492.40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3.28%</w:t>
            </w:r>
          </w:p>
        </w:tc>
        <w:tc>
          <w:tcPr>
            <w:tcW w:w="1599"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软件开发及运维收 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7,887,593.03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2.49%</w:t>
            </w:r>
          </w:p>
        </w:tc>
        <w:tc>
          <w:tcPr>
            <w:tcW w:w="1599"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241,507,086.25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76.33%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237,943,204.04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74.63%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外销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74,871,974.40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23.67%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80,870,441.85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25.37%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-7.42%</w:t>
            </w:r>
          </w:p>
        </w:tc>
      </w:tr>
    </w:tbl>
    <w:p>
      <w:pPr>
        <w:pStyle w:val="BodyText"/>
        <w:spacing w:line="240" w:lineRule="auto" w:before="49"/>
        <w:ind w:right="1133"/>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240" w:lineRule="auto" w:before="103"/>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96"/>
        <w:gridCol w:w="1020"/>
        <w:gridCol w:w="1009"/>
        <w:gridCol w:w="1013"/>
        <w:gridCol w:w="1011"/>
        <w:gridCol w:w="1003"/>
        <w:gridCol w:w="1006"/>
        <w:gridCol w:w="1001"/>
        <w:gridCol w:w="1003"/>
      </w:tblGrid>
      <w:tr>
        <w:trPr>
          <w:trHeight w:val="207" w:hRule="exact"/>
        </w:trPr>
        <w:tc>
          <w:tcPr>
            <w:tcW w:w="1496" w:type="dxa"/>
            <w:tcBorders>
              <w:top w:val="single" w:sz="4" w:space="0" w:color="000000"/>
              <w:left w:val="single" w:sz="4" w:space="0" w:color="000000"/>
              <w:bottom w:val="nil" w:sz="6" w:space="0" w:color="auto"/>
              <w:right w:val="single" w:sz="4" w:space="0" w:color="000000"/>
            </w:tcBorders>
            <w:shd w:val="clear" w:color="auto" w:fill="D2D2D2"/>
          </w:tcPr>
          <w:p>
            <w:pPr/>
          </w:p>
        </w:tc>
        <w:tc>
          <w:tcPr>
            <w:tcW w:w="4052"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4013"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192" w:hRule="exact"/>
        </w:trPr>
        <w:tc>
          <w:tcPr>
            <w:tcW w:w="1496" w:type="dxa"/>
            <w:vMerge w:val="restart"/>
            <w:tcBorders>
              <w:top w:val="nil" w:sz="6" w:space="0" w:color="auto"/>
              <w:left w:val="single" w:sz="4" w:space="0" w:color="000000"/>
              <w:right w:val="single" w:sz="4" w:space="0" w:color="000000"/>
            </w:tcBorders>
            <w:shd w:val="clear" w:color="auto" w:fill="D2D2D2"/>
          </w:tcPr>
          <w:p>
            <w:pPr/>
          </w:p>
        </w:tc>
        <w:tc>
          <w:tcPr>
            <w:tcW w:w="4052" w:type="dxa"/>
            <w:gridSpan w:val="4"/>
            <w:vMerge/>
            <w:tcBorders>
              <w:left w:val="single" w:sz="4" w:space="0" w:color="000000"/>
              <w:bottom w:val="single" w:sz="4" w:space="0" w:color="000000"/>
              <w:right w:val="single" w:sz="4" w:space="0" w:color="000000"/>
            </w:tcBorders>
            <w:shd w:val="clear" w:color="auto" w:fill="D2D2D2"/>
          </w:tcPr>
          <w:p>
            <w:pPr/>
          </w:p>
        </w:tc>
        <w:tc>
          <w:tcPr>
            <w:tcW w:w="4013" w:type="dxa"/>
            <w:gridSpan w:val="4"/>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496" w:type="dxa"/>
            <w:vMerge/>
            <w:tcBorders>
              <w:left w:val="single" w:sz="4" w:space="0" w:color="000000"/>
              <w:bottom w:val="nil" w:sz="6" w:space="0" w:color="auto"/>
              <w:right w:val="single" w:sz="4" w:space="0" w:color="000000"/>
            </w:tcBorders>
            <w:shd w:val="clear" w:color="auto" w:fill="D2D2D2"/>
          </w:tcPr>
          <w:p>
            <w:pPr/>
          </w:p>
        </w:tc>
        <w:tc>
          <w:tcPr>
            <w:tcW w:w="10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1"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204" w:hRule="exact"/>
        </w:trPr>
        <w:tc>
          <w:tcPr>
            <w:tcW w:w="14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20" w:type="dxa"/>
            <w:vMerge/>
            <w:tcBorders>
              <w:left w:val="single" w:sz="4" w:space="0" w:color="000000"/>
              <w:bottom w:val="single" w:sz="4" w:space="0" w:color="000000"/>
              <w:right w:val="single" w:sz="4" w:space="0" w:color="000000"/>
            </w:tcBorders>
            <w:shd w:val="clear" w:color="auto" w:fill="D2D2D2"/>
          </w:tcPr>
          <w:p>
            <w:pPr/>
          </w:p>
        </w:tc>
        <w:tc>
          <w:tcPr>
            <w:tcW w:w="1009" w:type="dxa"/>
            <w:vMerge/>
            <w:tcBorders>
              <w:left w:val="single" w:sz="4" w:space="0" w:color="000000"/>
              <w:bottom w:val="single" w:sz="4" w:space="0" w:color="000000"/>
              <w:right w:val="single" w:sz="4" w:space="0" w:color="000000"/>
            </w:tcBorders>
            <w:shd w:val="clear" w:color="auto" w:fill="D2D2D2"/>
          </w:tcPr>
          <w:p>
            <w:pPr/>
          </w:p>
        </w:tc>
        <w:tc>
          <w:tcPr>
            <w:tcW w:w="1013" w:type="dxa"/>
            <w:vMerge/>
            <w:tcBorders>
              <w:left w:val="single" w:sz="4" w:space="0" w:color="000000"/>
              <w:bottom w:val="single" w:sz="4" w:space="0" w:color="000000"/>
              <w:right w:val="single" w:sz="4" w:space="0" w:color="000000"/>
            </w:tcBorders>
            <w:shd w:val="clear" w:color="auto" w:fill="D2D2D2"/>
          </w:tcPr>
          <w:p>
            <w:pPr/>
          </w:p>
        </w:tc>
        <w:tc>
          <w:tcPr>
            <w:tcW w:w="1011"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c>
          <w:tcPr>
            <w:tcW w:w="1006" w:type="dxa"/>
            <w:vMerge/>
            <w:tcBorders>
              <w:left w:val="single" w:sz="4" w:space="0" w:color="000000"/>
              <w:bottom w:val="single" w:sz="4" w:space="0" w:color="000000"/>
              <w:right w:val="single" w:sz="4" w:space="0" w:color="000000"/>
            </w:tcBorders>
            <w:shd w:val="clear" w:color="auto" w:fill="D2D2D2"/>
          </w:tcPr>
          <w:p>
            <w:pPr/>
          </w:p>
        </w:tc>
        <w:tc>
          <w:tcPr>
            <w:tcW w:w="1001"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r>
      <w:tr>
        <w:trPr>
          <w:trHeight w:val="163" w:hRule="exact"/>
        </w:trPr>
        <w:tc>
          <w:tcPr>
            <w:tcW w:w="14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20" w:type="dxa"/>
            <w:vMerge w:val="restart"/>
            <w:tcBorders>
              <w:top w:val="single" w:sz="4" w:space="0" w:color="000000"/>
              <w:left w:val="single" w:sz="10" w:space="0" w:color="D2D2D2"/>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68,351,053.9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1009" w:type="dxa"/>
            <w:vMerge w:val="restart"/>
            <w:tcBorders>
              <w:top w:val="single" w:sz="4" w:space="0" w:color="000000"/>
              <w:left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71,697,552.2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1013" w:type="dxa"/>
            <w:vMerge w:val="restart"/>
            <w:tcBorders>
              <w:top w:val="single" w:sz="4" w:space="0" w:color="000000"/>
              <w:left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71,019,067.8</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4</w:t>
            </w:r>
          </w:p>
        </w:tc>
        <w:tc>
          <w:tcPr>
            <w:tcW w:w="1011"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105,311,386.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59</w:t>
            </w:r>
          </w:p>
        </w:tc>
        <w:tc>
          <w:tcPr>
            <w:tcW w:w="1003"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60,867,612.2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1006" w:type="dxa"/>
            <w:vMerge w:val="restart"/>
            <w:tcBorders>
              <w:top w:val="single" w:sz="4" w:space="0" w:color="000000"/>
              <w:left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74,559,048.8</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2</w:t>
            </w:r>
          </w:p>
        </w:tc>
        <w:tc>
          <w:tcPr>
            <w:tcW w:w="1001" w:type="dxa"/>
            <w:vMerge w:val="restart"/>
            <w:tcBorders>
              <w:top w:val="single" w:sz="4" w:space="0" w:color="000000"/>
              <w:left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89,389,655.8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1003" w:type="dxa"/>
            <w:vMerge w:val="restart"/>
            <w:tcBorders>
              <w:top w:val="single" w:sz="4" w:space="0" w:color="000000"/>
              <w:left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93,997,328.9</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7</w:t>
            </w:r>
          </w:p>
        </w:tc>
      </w:tr>
      <w:tr>
        <w:trPr>
          <w:trHeight w:val="391" w:hRule="exact"/>
        </w:trPr>
        <w:tc>
          <w:tcPr>
            <w:tcW w:w="14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20" w:type="dxa"/>
            <w:vMerge/>
            <w:tcBorders>
              <w:left w:val="single" w:sz="10" w:space="0" w:color="D2D2D2"/>
              <w:right w:val="single" w:sz="4" w:space="0" w:color="000000"/>
            </w:tcBorders>
          </w:tcPr>
          <w:p>
            <w:pPr/>
          </w:p>
        </w:tc>
        <w:tc>
          <w:tcPr>
            <w:tcW w:w="1009" w:type="dxa"/>
            <w:vMerge/>
            <w:tcBorders>
              <w:left w:val="single" w:sz="4" w:space="0" w:color="000000"/>
              <w:right w:val="single" w:sz="4" w:space="0" w:color="000000"/>
            </w:tcBorders>
          </w:tcPr>
          <w:p>
            <w:pPr/>
          </w:p>
        </w:tc>
        <w:tc>
          <w:tcPr>
            <w:tcW w:w="1013"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003" w:type="dxa"/>
            <w:vMerge/>
            <w:tcBorders>
              <w:left w:val="single" w:sz="4" w:space="0" w:color="000000"/>
              <w:right w:val="single" w:sz="4" w:space="0" w:color="000000"/>
            </w:tcBorders>
          </w:tcPr>
          <w:p>
            <w:pPr/>
          </w:p>
        </w:tc>
        <w:tc>
          <w:tcPr>
            <w:tcW w:w="100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003" w:type="dxa"/>
            <w:vMerge/>
            <w:tcBorders>
              <w:left w:val="single" w:sz="4" w:space="0" w:color="000000"/>
              <w:right w:val="single" w:sz="4" w:space="0" w:color="000000"/>
            </w:tcBorders>
          </w:tcPr>
          <w:p>
            <w:pPr/>
          </w:p>
        </w:tc>
      </w:tr>
      <w:tr>
        <w:trPr>
          <w:trHeight w:val="161" w:hRule="exact"/>
        </w:trPr>
        <w:tc>
          <w:tcPr>
            <w:tcW w:w="14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20" w:type="dxa"/>
            <w:vMerge/>
            <w:tcBorders>
              <w:left w:val="single" w:sz="10" w:space="0" w:color="D2D2D2"/>
              <w:bottom w:val="single" w:sz="4" w:space="0" w:color="000000"/>
              <w:right w:val="single" w:sz="4" w:space="0" w:color="000000"/>
            </w:tcBorders>
          </w:tcPr>
          <w:p>
            <w:pPr/>
          </w:p>
        </w:tc>
        <w:tc>
          <w:tcPr>
            <w:tcW w:w="1009" w:type="dxa"/>
            <w:vMerge/>
            <w:tcBorders>
              <w:left w:val="single" w:sz="4" w:space="0" w:color="000000"/>
              <w:bottom w:val="single" w:sz="4" w:space="0" w:color="000000"/>
              <w:right w:val="single" w:sz="4" w:space="0" w:color="000000"/>
            </w:tcBorders>
          </w:tcPr>
          <w:p>
            <w:pPr/>
          </w:p>
        </w:tc>
        <w:tc>
          <w:tcPr>
            <w:tcW w:w="1013" w:type="dxa"/>
            <w:vMerge/>
            <w:tcBorders>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03" w:type="dxa"/>
            <w:vMerge/>
            <w:tcBorders>
              <w:left w:val="single" w:sz="4" w:space="0" w:color="000000"/>
              <w:bottom w:val="single" w:sz="4" w:space="0" w:color="000000"/>
              <w:right w:val="single" w:sz="4" w:space="0" w:color="000000"/>
            </w:tcBorders>
          </w:tcPr>
          <w:p>
            <w:pPr/>
          </w:p>
        </w:tc>
        <w:tc>
          <w:tcPr>
            <w:tcW w:w="1006" w:type="dxa"/>
            <w:vMerge/>
            <w:tcBorders>
              <w:left w:val="single" w:sz="4" w:space="0" w:color="000000"/>
              <w:bottom w:val="single" w:sz="4" w:space="0" w:color="000000"/>
              <w:right w:val="single" w:sz="4" w:space="0" w:color="000000"/>
            </w:tcBorders>
          </w:tcPr>
          <w:p>
            <w:pPr/>
          </w:p>
        </w:tc>
        <w:tc>
          <w:tcPr>
            <w:tcW w:w="1001" w:type="dxa"/>
            <w:vMerge/>
            <w:tcBorders>
              <w:left w:val="single" w:sz="4" w:space="0" w:color="000000"/>
              <w:bottom w:val="single" w:sz="4" w:space="0" w:color="000000"/>
              <w:right w:val="single" w:sz="4" w:space="0" w:color="000000"/>
            </w:tcBorders>
          </w:tcPr>
          <w:p>
            <w:pPr/>
          </w:p>
        </w:tc>
        <w:tc>
          <w:tcPr>
            <w:tcW w:w="1003" w:type="dxa"/>
            <w:vMerge/>
            <w:tcBorders>
              <w:left w:val="single" w:sz="4" w:space="0" w:color="000000"/>
              <w:bottom w:val="single" w:sz="4" w:space="0" w:color="000000"/>
              <w:right w:val="single" w:sz="4" w:space="0" w:color="000000"/>
            </w:tcBorders>
          </w:tcPr>
          <w:p>
            <w:pPr/>
          </w:p>
        </w:tc>
      </w:tr>
      <w:tr>
        <w:trPr>
          <w:trHeight w:val="715"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3"/>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0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2,836,080.36</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7,363,960.62</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4,884,489.04</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5,844,448.82</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3,314,904.92</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9,705,878.59</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10,527,713.5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11,111,250.3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说明经营季节性（或周期性）发生的原因及波动风险</w:t>
      </w:r>
    </w:p>
    <w:p>
      <w:pPr>
        <w:spacing w:line="240" w:lineRule="auto" w:before="1"/>
        <w:rPr>
          <w:rFonts w:ascii="宋体" w:hAnsi="宋体" w:cs="宋体" w:eastAsia="宋体" w:hint="default"/>
          <w:sz w:val="15"/>
          <w:szCs w:val="15"/>
        </w:rPr>
      </w:pPr>
    </w:p>
    <w:p>
      <w:pPr>
        <w:pStyle w:val="BodyText"/>
        <w:spacing w:line="458" w:lineRule="auto"/>
        <w:ind w:right="0" w:firstLine="360"/>
        <w:jc w:val="left"/>
      </w:pPr>
      <w:r>
        <w:rPr/>
        <w:t>公司激光 </w:t>
      </w:r>
      <w:r>
        <w:rPr>
          <w:rFonts w:ascii="Times New Roman" w:hAnsi="Times New Roman" w:cs="Times New Roman" w:eastAsia="Times New Roman" w:hint="default"/>
        </w:rPr>
        <w:t>OPC</w:t>
      </w:r>
      <w:r>
        <w:rPr>
          <w:rFonts w:ascii="Times New Roman" w:hAnsi="Times New Roman" w:cs="Times New Roman" w:eastAsia="Times New Roman" w:hint="default"/>
          <w:spacing w:val="-6"/>
        </w:rPr>
        <w:t> </w:t>
      </w:r>
      <w:r>
        <w:rPr/>
        <w:t>鼓等系列产品属于办公耗材，没有明显的销售淡季和旺季，因此本行业不存在明显的周期性和季节性特 </w:t>
      </w:r>
      <w:r>
        <w:rPr>
          <w:spacing w:val="-2"/>
        </w:rPr>
        <w:t>征，但通常每年下半年的市场需求较上半年更为旺盛。在我国，由于打复印耗材的生产主要集中在以广东省为主的珠江三角</w:t>
      </w:r>
      <w:r>
        <w:rPr>
          <w:spacing w:val="-62"/>
        </w:rPr>
        <w:t> </w:t>
      </w:r>
      <w:r>
        <w:rPr>
          <w:spacing w:val="-62"/>
        </w:rPr>
      </w:r>
      <w:r>
        <w:rPr/>
        <w:t>洲地区，特别是珠海作为世界打印耗材之都，集中了全球排名前几位的通用耗材生产厂家，对激光 </w:t>
      </w:r>
      <w:r>
        <w:rPr>
          <w:rFonts w:ascii="Times New Roman" w:hAnsi="Times New Roman" w:cs="Times New Roman" w:eastAsia="Times New Roman" w:hint="default"/>
        </w:rPr>
        <w:t>OPC </w:t>
      </w:r>
      <w:r>
        <w:rPr/>
        <w:t>鼓的采购量较大， 但由于产品的终端用户遍布全国，乃至世界各地，因此就产品的终端用户来说，不存在明显的区域性特征。</w:t>
      </w:r>
    </w:p>
    <w:p>
      <w:pPr>
        <w:pStyle w:val="BodyText"/>
        <w:spacing w:line="477" w:lineRule="auto" w:before="68"/>
        <w:ind w:right="1130" w:firstLine="360"/>
        <w:jc w:val="both"/>
      </w:pPr>
      <w:r>
        <w:rPr>
          <w:spacing w:val="-2"/>
        </w:rPr>
        <w:t>信息安全方面，闽保信息作为信息安全系统集成和服务商，主要客户群体以政府部门及大中型企事业单位为主；客户群</w:t>
      </w:r>
      <w:r>
        <w:rPr/>
        <w:t> </w:t>
      </w:r>
      <w:r>
        <w:rPr>
          <w:spacing w:val="-2"/>
        </w:rPr>
        <w:t>体的业务主要是以信息安全系统集成、软件定制开发及服务居多；客户通常采取预算管理制度和产品集中采购制度，一般下</w:t>
      </w:r>
      <w:r>
        <w:rPr>
          <w:spacing w:val="-63"/>
        </w:rPr>
        <w:t> </w:t>
      </w:r>
      <w:r>
        <w:rPr>
          <w:spacing w:val="-63"/>
        </w:rPr>
      </w:r>
      <w:r>
        <w:rPr>
          <w:spacing w:val="-2"/>
        </w:rPr>
        <w:t>半年制定次年年度预算和投资计划，审批通常集中在次年的上半年，采购招标则安排在次年年中或下半年。因此，闽保信息</w:t>
      </w:r>
      <w:r>
        <w:rPr>
          <w:spacing w:val="-63"/>
        </w:rPr>
        <w:t> </w:t>
      </w:r>
      <w:r>
        <w:rPr>
          <w:spacing w:val="-63"/>
        </w:rPr>
      </w:r>
      <w:r>
        <w:rPr>
          <w:spacing w:val="-2"/>
        </w:rPr>
        <w:t>每年上半年销售较少，销售主要集中在下半年尤其是第四季度，闽保信息销售呈现较明显的季节性分布。同时，公司以项目</w:t>
      </w:r>
      <w:r>
        <w:rPr>
          <w:spacing w:val="-64"/>
        </w:rPr>
        <w:t> </w:t>
      </w:r>
      <w:r>
        <w:rPr>
          <w:spacing w:val="-64"/>
        </w:rPr>
      </w:r>
      <w:r>
        <w:rPr>
          <w:spacing w:val="-2"/>
        </w:rPr>
        <w:t>完成收到客户的评审验收单为准进行收入确认，存在往年项目在上半年完工验收的情况，收入记入上半年；由于一季节时逢</w:t>
      </w:r>
      <w:r>
        <w:rPr>
          <w:spacing w:val="-63"/>
        </w:rPr>
        <w:t> </w:t>
      </w:r>
      <w:r>
        <w:rPr>
          <w:spacing w:val="-63"/>
        </w:rPr>
      </w:r>
      <w:r>
        <w:rPr>
          <w:spacing w:val="-2"/>
        </w:rPr>
        <w:t>节假日较多，项目评审和验收多存在于二季度，会存在可能二季度销售高于一季度的现象。由于费用在年度内较为均衡地发</w:t>
      </w:r>
      <w:r>
        <w:rPr>
          <w:spacing w:val="-63"/>
        </w:rPr>
        <w:t> </w:t>
      </w:r>
      <w:r>
        <w:rPr>
          <w:spacing w:val="-63"/>
        </w:rPr>
      </w:r>
      <w:r>
        <w:rPr>
          <w:spacing w:val="-2"/>
        </w:rPr>
        <w:t>生，因而可能会造成公司第一季度、半年度甚至第三季度出现季节性亏损。闽保信息由于业务形态的特殊性，暂未有境外的</w:t>
      </w:r>
      <w:r>
        <w:rPr>
          <w:spacing w:val="-65"/>
        </w:rPr>
        <w:t> </w:t>
      </w:r>
      <w:r>
        <w:rPr>
          <w:spacing w:val="-65"/>
        </w:rPr>
      </w:r>
      <w:r>
        <w:rPr/>
        <w:t>客户群体；而境内业务也不存在明显的区域性特征。</w:t>
      </w:r>
    </w:p>
    <w:p>
      <w:pPr>
        <w:spacing w:line="240" w:lineRule="auto" w:before="6"/>
        <w:rPr>
          <w:rFonts w:ascii="宋体" w:hAnsi="宋体" w:cs="宋体" w:eastAsia="宋体" w:hint="default"/>
          <w:sz w:val="19"/>
          <w:szCs w:val="19"/>
        </w:rPr>
      </w:pPr>
    </w:p>
    <w:p>
      <w:pPr>
        <w:pStyle w:val="Heading3"/>
        <w:spacing w:line="240" w:lineRule="auto" w:before="0"/>
        <w:ind w:right="1133"/>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44"/>
        <w:ind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right="-17"/>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left="-32" w:right="0"/>
        <w:jc w:val="left"/>
      </w:pPr>
      <w:r>
        <w:rPr/>
        <w:t>单位：元</w:t>
      </w:r>
    </w:p>
    <w:p>
      <w:pPr>
        <w:spacing w:after="0" w:line="240" w:lineRule="auto"/>
        <w:jc w:val="left"/>
        <w:sectPr>
          <w:type w:val="continuous"/>
          <w:pgSz w:w="11910" w:h="16840"/>
          <w:pgMar w:top="1060" w:bottom="1160" w:left="980" w:right="0"/>
          <w:cols w:num="2" w:equalWidth="0">
            <w:col w:w="9066" w:space="40"/>
            <w:col w:w="1824"/>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233,569,435.21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180,568,016.81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-8.75%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61,957,254.08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53,690,994.65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-4.84%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信息安全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18,272,085.43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3,480,572.03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80.95%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激光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OPC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鼓</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233,569,435.21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180,568,016.81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-8.75%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0.95%</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碳粉、硒鼓及其 他耗材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61,957,254.08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53,690,994.65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1.98%</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分级保护业务收 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10,384,492.40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1,811,115.60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82.56%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软件开发及运维 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7,887,593.03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1,669,456.43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78.83%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内销</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241,507,086.25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187,689,217.11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-5.23%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5.52%</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外销</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74,871,974.40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50,945,908.95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31.96%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-7.42%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-10.56%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2.40%</w:t>
            </w:r>
          </w:p>
        </w:tc>
      </w:tr>
    </w:tbl>
    <w:p>
      <w:pPr>
        <w:pStyle w:val="BodyText"/>
        <w:spacing w:line="240" w:lineRule="auto" w:before="49"/>
        <w:ind w:right="1133"/>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before="0"/>
        <w:ind w:right="1133"/>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08"/>
        <w:gridCol w:w="1571"/>
        <w:gridCol w:w="1604"/>
        <w:gridCol w:w="1596"/>
        <w:gridCol w:w="1594"/>
        <w:gridCol w:w="1594"/>
      </w:tblGrid>
      <w:tr>
        <w:trPr>
          <w:trHeight w:val="401"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激光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OPC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鼓制造业</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万支</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-3.85%</w:t>
            </w:r>
          </w:p>
        </w:tc>
      </w:tr>
      <w:tr>
        <w:trPr>
          <w:trHeight w:val="401"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万支</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-29.74%</w:t>
            </w:r>
          </w:p>
        </w:tc>
      </w:tr>
      <w:tr>
        <w:trPr>
          <w:trHeight w:val="404"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万支</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-33.51%</w:t>
            </w:r>
          </w:p>
        </w:tc>
      </w:tr>
    </w:tbl>
    <w:p>
      <w:pPr>
        <w:pStyle w:val="BodyText"/>
        <w:spacing w:line="240" w:lineRule="auto" w:before="49"/>
        <w:ind w:right="1133"/>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434" w:lineRule="auto" w:before="101"/>
        <w:ind w:right="10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报告期内，公司激光</w:t>
      </w:r>
      <w:r>
        <w:rPr>
          <w:rFonts w:ascii="Times New Roman" w:hAnsi="Times New Roman" w:cs="Times New Roman" w:eastAsia="Times New Roman" w:hint="default"/>
        </w:rPr>
        <w:t>OPC</w:t>
      </w:r>
      <w:r>
        <w:rPr/>
        <w:t>鼓库存量下降</w:t>
      </w:r>
      <w:r>
        <w:rPr>
          <w:rFonts w:ascii="Times New Roman" w:hAnsi="Times New Roman" w:cs="Times New Roman" w:eastAsia="Times New Roman" w:hint="default"/>
        </w:rPr>
        <w:t>33.51%</w:t>
      </w:r>
      <w:r>
        <w:rPr/>
        <w:t>，主要系公司根据</w:t>
      </w:r>
      <w:r>
        <w:rPr>
          <w:rFonts w:ascii="Times New Roman" w:hAnsi="Times New Roman" w:cs="Times New Roman" w:eastAsia="Times New Roman" w:hint="default"/>
        </w:rPr>
        <w:t>2018</w:t>
      </w:r>
      <w:r>
        <w:rPr/>
        <w:t>年底库存量调整了当期生产计划，同时加强营销力度、 开拓市场渠道。</w:t>
      </w:r>
    </w:p>
    <w:p>
      <w:pPr>
        <w:spacing w:line="240" w:lineRule="auto" w:before="12"/>
        <w:rPr>
          <w:rFonts w:ascii="宋体" w:hAnsi="宋体" w:cs="宋体" w:eastAsia="宋体" w:hint="default"/>
          <w:sz w:val="21"/>
          <w:szCs w:val="21"/>
        </w:rPr>
      </w:pPr>
    </w:p>
    <w:p>
      <w:pPr>
        <w:pStyle w:val="Heading3"/>
        <w:spacing w:line="240" w:lineRule="auto" w:before="0"/>
        <w:ind w:right="1133"/>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before="0"/>
        <w:ind w:right="1133"/>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行业和产品分类</w:t>
      </w:r>
    </w:p>
    <w:p>
      <w:pPr>
        <w:pStyle w:val="BodyText"/>
        <w:spacing w:line="240" w:lineRule="auto" w:before="117"/>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135,809,423.38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56.91%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154,029,858.67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60.40%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-11.83%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16,901,977.09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18,809,424.91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-10.14%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27,856,616.34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24,449,409.90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13.94%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出口征退税差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599,886.62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53,690,994.65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56,422,893.59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商业保理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运营成本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895,542.57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704,770.49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27.07%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信息安全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硬件成本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809,003.80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信息安全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其他软件成本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1,002,111.80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信息安全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1,669,456.43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left="0" w:right="1131"/>
        <w:jc w:val="right"/>
      </w:pPr>
      <w:r>
        <w:rPr/>
        <w:t>单位：元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激光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OPC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鼓</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135,809,423.38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56.91%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154,029,858.67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60.40%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-11.83%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激光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OPC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鼓</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16,901,977.09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18,809,424.91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-10.14%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激光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OPC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鼓</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27,856,616.34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24,449,409.90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13.94%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激光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OPC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鼓</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出口征退税差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599,886.62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碳粉、硒鼓及其 他耗材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53,690,994.65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22.50%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56,422,893.59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22.13%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商业保理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运营成本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895,542.57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704,770.49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27.07%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分级保护业务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硬件成本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809,003.80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分级保护业务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其他软件成本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1,002,111.80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0.42%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软件开发及运维</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1,669,456.43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说明</w:t>
      </w:r>
    </w:p>
    <w:p>
      <w:pPr>
        <w:pStyle w:val="BodyText"/>
        <w:spacing w:line="300" w:lineRule="auto" w:before="115"/>
        <w:ind w:right="1129"/>
        <w:jc w:val="left"/>
      </w:pPr>
      <w:r>
        <w:rPr>
          <w:spacing w:val="-2"/>
        </w:rPr>
        <w:t>信息安全行业中分级保护业务和软件开发及运维业务为公司</w:t>
      </w:r>
      <w:r>
        <w:rPr>
          <w:rFonts w:ascii="Times New Roman" w:hAnsi="Times New Roman" w:cs="Times New Roman" w:eastAsia="Times New Roman" w:hint="default"/>
          <w:spacing w:val="-2"/>
        </w:rPr>
        <w:t>2019</w:t>
      </w:r>
      <w:r>
        <w:rPr>
          <w:spacing w:val="-2"/>
        </w:rPr>
        <w:t>年度新收购的闽保公司业务，</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月，纳入合并报表范</w:t>
      </w:r>
      <w:r>
        <w:rPr>
          <w:spacing w:val="-51"/>
        </w:rPr>
        <w:t> </w:t>
      </w:r>
      <w:r>
        <w:rPr>
          <w:spacing w:val="-51"/>
        </w:rPr>
      </w:r>
      <w:r>
        <w:rPr/>
        <w:t>围。</w:t>
      </w:r>
    </w:p>
    <w:p>
      <w:pPr>
        <w:pStyle w:val="BodyText"/>
        <w:spacing w:line="338" w:lineRule="auto" w:before="72"/>
        <w:ind w:right="1844"/>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主营业务成本构成</w:t>
      </w:r>
    </w:p>
    <w:p>
      <w:pPr>
        <w:pStyle w:val="BodyText"/>
        <w:spacing w:line="240" w:lineRule="auto" w:before="43"/>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135,809,423.38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56.91%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154,029,858.67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60.40%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-11.83%</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16,901,977.09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18,809,424.91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-10.14%</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27,856,616.34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11.67%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24,449,409.90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13.94%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出口征退税差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599,886.62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材料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53,690,994.64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56,422,893.59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运营成本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895,542.57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704,770.49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27.07%</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硬件成本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809,003.80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0.34%</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其他软件成本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1,002,111.80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0.42%</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1,669,456.43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13"/>
        <w:rPr>
          <w:rFonts w:ascii="宋体" w:hAnsi="宋体" w:cs="宋体" w:eastAsia="宋体" w:hint="default"/>
          <w:sz w:val="13"/>
          <w:szCs w:val="13"/>
        </w:rPr>
      </w:pPr>
    </w:p>
    <w:p>
      <w:pPr>
        <w:pStyle w:val="BodyText"/>
        <w:spacing w:line="240" w:lineRule="auto"/>
        <w:ind w:left="513" w:right="1133"/>
        <w:jc w:val="left"/>
      </w:pPr>
      <w:r>
        <w:rPr/>
        <w:t>公司合并范围较上年同期增加了恒久影像、恒久丰德、闽保信息及其子公司，详情如下：</w:t>
      </w:r>
    </w:p>
    <w:p>
      <w:pPr>
        <w:spacing w:line="240" w:lineRule="auto" w:before="10"/>
        <w:rPr>
          <w:rFonts w:ascii="宋体" w:hAnsi="宋体" w:cs="宋体" w:eastAsia="宋体" w:hint="default"/>
          <w:sz w:val="17"/>
          <w:szCs w:val="17"/>
        </w:rPr>
      </w:pPr>
    </w:p>
    <w:p>
      <w:pPr>
        <w:pStyle w:val="BodyText"/>
        <w:spacing w:line="448" w:lineRule="auto"/>
        <w:ind w:right="1169" w:firstLine="36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日，公司完成设立全资子公司苏州恒久影像科技有限公司，注册资本</w:t>
      </w:r>
      <w:r>
        <w:rPr>
          <w:rFonts w:ascii="Times New Roman" w:hAnsi="Times New Roman" w:cs="Times New Roman" w:eastAsia="Times New Roman" w:hint="default"/>
        </w:rPr>
        <w:t>5,000</w:t>
      </w:r>
      <w:r>
        <w:rPr/>
        <w:t>万元人民币，报告期末尚未 缴纳出资，该子公司自设立起纳入合并范围。</w:t>
      </w:r>
    </w:p>
    <w:p>
      <w:pPr>
        <w:spacing w:after="0" w:line="44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51" w:lineRule="auto"/>
        <w:ind w:right="1128" w:firstLine="360"/>
        <w:jc w:val="both"/>
      </w:pP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14</w:t>
      </w:r>
      <w:r>
        <w:rPr>
          <w:spacing w:val="-1"/>
        </w:rPr>
        <w:t>日，公司完成设立全资子公司苏州恒久丰德新能源技术有限公司，注册资本</w:t>
      </w:r>
      <w:r>
        <w:rPr>
          <w:rFonts w:ascii="Times New Roman" w:hAnsi="Times New Roman" w:cs="Times New Roman" w:eastAsia="Times New Roman" w:hint="default"/>
          <w:spacing w:val="-1"/>
        </w:rPr>
        <w:t>5,000</w:t>
      </w:r>
      <w:r>
        <w:rPr>
          <w:spacing w:val="-1"/>
        </w:rPr>
        <w:t>万元人民币，报告期</w:t>
      </w:r>
      <w:r>
        <w:rPr/>
        <w:t> 末尚未缴纳出资，该子公司自设立起纳入合并范围。</w:t>
      </w:r>
    </w:p>
    <w:p>
      <w:pPr>
        <w:pStyle w:val="BodyText"/>
        <w:spacing w:line="463" w:lineRule="auto" w:before="74"/>
        <w:ind w:right="1128" w:firstLine="360"/>
        <w:jc w:val="both"/>
      </w:pP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11</w:t>
      </w:r>
      <w:r>
        <w:rPr>
          <w:spacing w:val="-1"/>
        </w:rPr>
        <w:t>月，公司收购福建省闽保信息技术有限公司</w:t>
      </w:r>
      <w:r>
        <w:rPr>
          <w:rFonts w:ascii="Times New Roman" w:hAnsi="Times New Roman" w:cs="Times New Roman" w:eastAsia="Times New Roman" w:hint="default"/>
          <w:spacing w:val="-1"/>
        </w:rPr>
        <w:t>71.26%</w:t>
      </w:r>
      <w:r>
        <w:rPr>
          <w:spacing w:val="-1"/>
        </w:rPr>
        <w:t>股权，股权交割已于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日完成。闽保信息及</w:t>
      </w:r>
      <w:r>
        <w:rPr/>
        <w:t> </w:t>
      </w:r>
      <w:r>
        <w:rPr>
          <w:spacing w:val="-2"/>
        </w:rPr>
        <w:t>其全资子公司福建闽保信安信息技术有限公司、福建闽保军安电子技术有限公司、北京宏图金信信息技术有限公司、湖南超</w:t>
      </w:r>
      <w:r>
        <w:rPr>
          <w:spacing w:val="-63"/>
        </w:rPr>
        <w:t> </w:t>
      </w:r>
      <w:r>
        <w:rPr>
          <w:spacing w:val="-63"/>
        </w:rPr>
      </w:r>
      <w:r>
        <w:rPr/>
        <w:t>互信息技术有限公司自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月纳入公司合并范围。</w:t>
      </w:r>
    </w:p>
    <w:p>
      <w:pPr>
        <w:spacing w:line="240" w:lineRule="auto" w:before="11"/>
        <w:rPr>
          <w:rFonts w:ascii="宋体" w:hAnsi="宋体" w:cs="宋体" w:eastAsia="宋体" w:hint="default"/>
          <w:sz w:val="17"/>
          <w:szCs w:val="17"/>
        </w:rPr>
      </w:pPr>
    </w:p>
    <w:p>
      <w:pPr>
        <w:pStyle w:val="Heading3"/>
        <w:spacing w:line="240" w:lineRule="auto" w:before="0"/>
        <w:ind w:right="1133"/>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宋体" w:hAnsi="宋体" w:cs="宋体" w:eastAsia="宋体" w:hint="default"/>
          <w:b/>
          <w:bCs/>
          <w:sz w:val="26"/>
          <w:szCs w:val="26"/>
        </w:rPr>
      </w:pPr>
    </w:p>
    <w:p>
      <w:pPr>
        <w:pStyle w:val="BodyText"/>
        <w:spacing w:line="412" w:lineRule="auto"/>
        <w:ind w:left="513" w:right="1198" w:hanging="361"/>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报告期内公司收购福建省闽保信息技术有限公司</w:t>
      </w:r>
      <w:r>
        <w:rPr>
          <w:rFonts w:ascii="Times New Roman" w:hAnsi="Times New Roman" w:cs="Times New Roman" w:eastAsia="Times New Roman" w:hint="default"/>
        </w:rPr>
        <w:t>71.26%</w:t>
      </w:r>
      <w:r>
        <w:rPr/>
        <w:t>股权，新增业务：分级保护业务、软件开发及运维业务。</w:t>
      </w:r>
      <w:r>
        <w:rPr>
          <w:rFonts w:ascii="Times New Roman" w:hAnsi="Times New Roman" w:cs="Times New Roman" w:eastAsia="Times New Roman" w:hint="default"/>
        </w:rPr>
        <w:t>2019</w:t>
      </w:r>
    </w:p>
    <w:p>
      <w:pPr>
        <w:pStyle w:val="BodyText"/>
        <w:spacing w:line="240" w:lineRule="auto" w:before="76"/>
        <w:ind w:right="1133"/>
        <w:jc w:val="left"/>
      </w:pPr>
      <w:r>
        <w:rPr/>
        <w:t>年，闽保信息实现净利润</w:t>
      </w:r>
      <w:r>
        <w:rPr>
          <w:rFonts w:ascii="Times New Roman" w:hAnsi="Times New Roman" w:cs="Times New Roman" w:eastAsia="Times New Roman" w:hint="default"/>
        </w:rPr>
        <w:t>15,253,657.35</w:t>
      </w:r>
      <w:r>
        <w:rPr/>
        <w:t>元，纳入公司合并报表范围净利润</w:t>
      </w:r>
      <w:r>
        <w:rPr>
          <w:rFonts w:ascii="Times New Roman" w:hAnsi="Times New Roman" w:cs="Times New Roman" w:eastAsia="Times New Roman" w:hint="default"/>
        </w:rPr>
        <w:t>9,554,604.48</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pStyle w:val="Heading3"/>
        <w:spacing w:line="240" w:lineRule="auto" w:before="0"/>
        <w:ind w:right="1133"/>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公司主要销售客户情况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57,447,103.19</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18.16%</w:t>
            </w:r>
          </w:p>
        </w:tc>
      </w:tr>
      <w:tr>
        <w:trPr>
          <w:trHeight w:val="71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 w:right="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3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4"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12,751,361.60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4.03%</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12,060,113.17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3.81%</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11,738,215.87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3.71%</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10,678,066.81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3.38%</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10,219,345.74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3.23%</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57,447,103.19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18.16%</w:t>
            </w:r>
          </w:p>
        </w:tc>
      </w:tr>
    </w:tbl>
    <w:p>
      <w:pPr>
        <w:pStyle w:val="BodyText"/>
        <w:spacing w:line="240" w:lineRule="auto" w:before="49"/>
        <w:ind w:right="1133"/>
        <w:jc w:val="left"/>
      </w:pPr>
      <w:r>
        <w:rPr/>
        <w:t>主要客户其他情况说明</w:t>
      </w:r>
    </w:p>
    <w:p>
      <w:pPr>
        <w:pStyle w:val="BodyText"/>
        <w:spacing w:line="340" w:lineRule="auto" w:before="11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7"/>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103,098,921.25</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48.53%</w:t>
            </w:r>
          </w:p>
        </w:tc>
      </w:tr>
      <w:tr>
        <w:trPr>
          <w:trHeight w:val="71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37,624,758.62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17.71%</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30,849,080.96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14.52%</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19,886,203.60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9.36%</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7,978,891.91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3.76%</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6,759,986.16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3.18%</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103,098,921.25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48.53%</w:t>
            </w:r>
          </w:p>
        </w:tc>
      </w:tr>
    </w:tbl>
    <w:p>
      <w:pPr>
        <w:pStyle w:val="BodyText"/>
        <w:spacing w:line="240" w:lineRule="auto" w:before="49"/>
        <w:ind w:right="1133"/>
        <w:jc w:val="left"/>
      </w:pPr>
      <w:r>
        <w:rPr/>
        <w:t>主要供应商其他情况说明</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6"/>
          <w:szCs w:val="26"/>
        </w:rPr>
      </w:pPr>
    </w:p>
    <w:p>
      <w:pPr>
        <w:pStyle w:val="Heading3"/>
        <w:spacing w:line="240" w:lineRule="auto" w:before="0"/>
        <w:ind w:right="1133"/>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462"/>
        <w:gridCol w:w="2919"/>
      </w:tblGrid>
      <w:tr>
        <w:trPr>
          <w:trHeight w:val="401"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12,272,866.59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11,562,936.50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6.14%</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9,568,411.93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7,646,467.08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25.14%</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3" w:right="0"/>
              <w:jc w:val="left"/>
              <w:rPr>
                <w:rFonts w:ascii="Times New Roman" w:hAnsi="Times New Roman" w:cs="Times New Roman" w:eastAsia="Times New Roman" w:hint="default"/>
                <w:sz w:val="18"/>
                <w:szCs w:val="18"/>
              </w:rPr>
            </w:pPr>
            <w:r>
              <w:rPr>
                <w:rFonts w:ascii="Times New Roman"/>
                <w:sz w:val="18"/>
              </w:rPr>
              <w:t>-4,729,131.82</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18" w:right="0"/>
              <w:jc w:val="left"/>
              <w:rPr>
                <w:rFonts w:ascii="Times New Roman" w:hAnsi="Times New Roman" w:cs="Times New Roman" w:eastAsia="Times New Roman" w:hint="default"/>
                <w:sz w:val="18"/>
                <w:szCs w:val="18"/>
              </w:rPr>
            </w:pPr>
            <w:r>
              <w:rPr>
                <w:rFonts w:ascii="Times New Roman"/>
                <w:sz w:val="18"/>
              </w:rPr>
              <w:t>-11,147,137.33</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57.58%</w:t>
            </w:r>
          </w:p>
        </w:tc>
        <w:tc>
          <w:tcPr>
            <w:tcW w:w="2919" w:type="dxa"/>
            <w:vMerge w:val="restart"/>
            <w:tcBorders>
              <w:top w:val="single" w:sz="4" w:space="0" w:color="000000"/>
              <w:left w:val="single" w:sz="4" w:space="0" w:color="000000"/>
              <w:right w:val="single" w:sz="4" w:space="0" w:color="000000"/>
            </w:tcBorders>
          </w:tcPr>
          <w:p>
            <w:pPr>
              <w:pStyle w:val="TableParagraph"/>
              <w:spacing w:line="314"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主要系贷款利息增加，和美元汇率波</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动财务汇兑收益减少所致</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14,257,020.37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14,719,202.15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-3.14%</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2"/>
        <w:rPr>
          <w:rFonts w:ascii="宋体" w:hAnsi="宋体" w:cs="宋体" w:eastAsia="宋体" w:hint="default"/>
          <w:b/>
          <w:bCs/>
          <w:sz w:val="26"/>
          <w:szCs w:val="26"/>
        </w:rPr>
      </w:pPr>
    </w:p>
    <w:p>
      <w:pPr>
        <w:pStyle w:val="BodyText"/>
        <w:spacing w:line="415" w:lineRule="auto"/>
        <w:ind w:left="513" w:right="1127"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1"/>
        </w:rPr>
        <w:t>公司具有强大的设备集成及整条产线的灵活改造能力；具有独特的</w:t>
      </w:r>
      <w:r>
        <w:rPr>
          <w:rFonts w:ascii="Times New Roman" w:hAnsi="Times New Roman" w:cs="Times New Roman" w:eastAsia="Times New Roman" w:hint="default"/>
          <w:spacing w:val="-1"/>
        </w:rPr>
        <w:t>“</w:t>
      </w:r>
      <w:r>
        <w:rPr>
          <w:spacing w:val="-1"/>
        </w:rPr>
        <w:t>一体两翼，双线联动</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连续镀膜，一次成型</w:t>
      </w:r>
      <w:r>
        <w:rPr>
          <w:rFonts w:ascii="Times New Roman" w:hAnsi="Times New Roman" w:cs="Times New Roman" w:eastAsia="Times New Roman" w:hint="default"/>
          <w:spacing w:val="-1"/>
        </w:rPr>
        <w:t>”</w:t>
      </w:r>
      <w:r>
        <w:rPr>
          <w:spacing w:val="-1"/>
        </w:rPr>
        <w:t>、自</w:t>
      </w:r>
      <w:r>
        <w:rPr/>
      </w:r>
    </w:p>
    <w:p>
      <w:pPr>
        <w:pStyle w:val="BodyText"/>
        <w:spacing w:line="463" w:lineRule="auto" w:before="73"/>
        <w:ind w:right="1133"/>
        <w:jc w:val="left"/>
      </w:pPr>
      <w:r>
        <w:rPr>
          <w:spacing w:val="-2"/>
        </w:rPr>
        <w:t>动视检与装配等精湛的工艺流程；具有成膜性高、性能稳定、高迁移率的多种镀膜材料的技术配方。报告期内，公司共申请</w:t>
      </w:r>
      <w:r>
        <w:rPr>
          <w:spacing w:val="-67"/>
        </w:rPr>
        <w:t> </w:t>
      </w:r>
      <w:r>
        <w:rPr>
          <w:spacing w:val="-67"/>
        </w:rPr>
      </w:r>
      <w:r>
        <w:rPr>
          <w:rFonts w:ascii="Times New Roman" w:hAnsi="Times New Roman" w:cs="Times New Roman" w:eastAsia="Times New Roman" w:hint="default"/>
        </w:rPr>
        <w:t>6</w:t>
      </w:r>
      <w:r>
        <w:rPr/>
        <w:t>项实用新型专利，</w:t>
      </w:r>
      <w:r>
        <w:rPr>
          <w:rFonts w:ascii="Times New Roman" w:hAnsi="Times New Roman" w:cs="Times New Roman" w:eastAsia="Times New Roman" w:hint="default"/>
        </w:rPr>
        <w:t>5</w:t>
      </w:r>
      <w:r>
        <w:rPr/>
        <w:t>项发明专利。截至目前，公司共有</w:t>
      </w:r>
      <w:r>
        <w:rPr>
          <w:rFonts w:ascii="Times New Roman" w:hAnsi="Times New Roman" w:cs="Times New Roman" w:eastAsia="Times New Roman" w:hint="default"/>
        </w:rPr>
        <w:t>4</w:t>
      </w:r>
      <w:r>
        <w:rPr/>
        <w:t>项发明专利，</w:t>
      </w:r>
      <w:r>
        <w:rPr>
          <w:rFonts w:ascii="Times New Roman" w:hAnsi="Times New Roman" w:cs="Times New Roman" w:eastAsia="Times New Roman" w:hint="default"/>
        </w:rPr>
        <w:t>9</w:t>
      </w:r>
      <w:r>
        <w:rPr/>
        <w:t>项实用新型专利，</w:t>
      </w:r>
      <w:r>
        <w:rPr>
          <w:rFonts w:ascii="Times New Roman" w:hAnsi="Times New Roman" w:cs="Times New Roman" w:eastAsia="Times New Roman" w:hint="default"/>
        </w:rPr>
        <w:t>15</w:t>
      </w:r>
      <w:r>
        <w:rPr/>
        <w:t>项外观专利获得授权，另有</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项发明专利进入实审阶段。</w:t>
      </w:r>
    </w:p>
    <w:p>
      <w:pPr>
        <w:pStyle w:val="BodyText"/>
        <w:spacing w:line="472" w:lineRule="auto" w:before="65"/>
        <w:ind w:right="1129" w:firstLine="360"/>
        <w:jc w:val="both"/>
      </w:pPr>
      <w:r>
        <w:rPr>
          <w:spacing w:val="-2"/>
        </w:rPr>
        <w:t>闽保信息在保密信息安全检查、管理、监控、运维审计、档案安全数字化管理系统、漏洞扫描等开发等领域形成了自主</w:t>
      </w:r>
      <w:r>
        <w:rPr/>
        <w:t> </w:t>
      </w:r>
      <w:r>
        <w:rPr>
          <w:spacing w:val="-2"/>
        </w:rPr>
        <w:t>核心技术，在多个领域具有较为完整的自主技术体系和产业化体系。闽保信息的大部分安全信息类产品已通过了国密、国测</w:t>
      </w:r>
      <w:r>
        <w:rPr>
          <w:spacing w:val="-62"/>
        </w:rPr>
        <w:t> </w:t>
      </w:r>
      <w:r>
        <w:rPr>
          <w:spacing w:val="-62"/>
        </w:rPr>
      </w:r>
      <w:r>
        <w:rPr>
          <w:spacing w:val="-2"/>
        </w:rPr>
        <w:t>认证，在银行、党政、电力、军工、金融等多个领域推出了系列自主可控、高性价比的安全类软硬件产品。报告期内，闽保</w:t>
      </w:r>
      <w:r>
        <w:rPr>
          <w:spacing w:val="-65"/>
        </w:rPr>
        <w:t> </w:t>
      </w:r>
      <w:r>
        <w:rPr>
          <w:spacing w:val="-65"/>
        </w:rPr>
      </w:r>
      <w:r>
        <w:rPr/>
        <w:t>信息获得</w:t>
      </w:r>
      <w:r>
        <w:rPr>
          <w:rFonts w:ascii="Times New Roman" w:hAnsi="Times New Roman" w:cs="Times New Roman" w:eastAsia="Times New Roman" w:hint="default"/>
        </w:rPr>
        <w:t>CMMI5</w:t>
      </w:r>
      <w:r>
        <w:rPr/>
        <w:t>（软件能力成熟度模型）认定、涉密信息系统集成乙级资质证书、福建省涉密纸介质销毁定点单位资质证 </w:t>
      </w:r>
      <w:r>
        <w:rPr>
          <w:spacing w:val="-2"/>
        </w:rPr>
        <w:t>书、福建省涉密计算机维修、销毁定点单位资质证书、高新技术企业证书等。截至目前，闽保信息获得信息安全类软件开发</w:t>
      </w:r>
      <w:r>
        <w:rPr>
          <w:spacing w:val="-67"/>
        </w:rPr>
        <w:t> </w:t>
      </w:r>
      <w:r>
        <w:rPr>
          <w:spacing w:val="-67"/>
        </w:rPr>
      </w:r>
      <w:r>
        <w:rPr/>
        <w:t>著作权共</w:t>
      </w:r>
      <w:r>
        <w:rPr>
          <w:rFonts w:ascii="Times New Roman" w:hAnsi="Times New Roman" w:cs="Times New Roman" w:eastAsia="Times New Roman" w:hint="default"/>
        </w:rPr>
        <w:t>25</w:t>
      </w:r>
      <w:r>
        <w:rPr/>
        <w:t>项。</w:t>
      </w:r>
    </w:p>
    <w:p>
      <w:pPr>
        <w:pStyle w:val="BodyText"/>
        <w:spacing w:line="223" w:lineRule="exact"/>
        <w:ind w:right="1133"/>
        <w:jc w:val="left"/>
      </w:pPr>
      <w:r>
        <w:rPr/>
        <w:t>公司研发投入情况</w:t>
      </w:r>
    </w:p>
    <w:p>
      <w:pPr>
        <w:spacing w:after="0" w:line="223" w:lineRule="exact"/>
        <w:jc w:val="lef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88.64%</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14,257,020.37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14,719,202.15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-3.14%</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-0.11%</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pStyle w:val="BodyText"/>
        <w:spacing w:line="240" w:lineRule="auto" w:before="49"/>
        <w:ind w:right="-17"/>
        <w:jc w:val="left"/>
      </w:pPr>
      <w:r>
        <w:rPr/>
        <w:t>研发投入总额占营业收入的比重较上年发生显著变化的原因</w:t>
      </w:r>
    </w:p>
    <w:p>
      <w:pPr>
        <w:pStyle w:val="BodyText"/>
        <w:spacing w:line="240" w:lineRule="auto" w:before="115"/>
        <w:ind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17"/>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1"/>
        <w:ind w:left="-33" w:right="0"/>
        <w:jc w:val="left"/>
      </w:pPr>
      <w:r>
        <w:rPr/>
        <w:t>单位：元</w:t>
      </w:r>
    </w:p>
    <w:p>
      <w:pPr>
        <w:spacing w:after="0" w:line="240" w:lineRule="auto"/>
        <w:jc w:val="left"/>
        <w:sectPr>
          <w:type w:val="continuous"/>
          <w:pgSz w:w="11910" w:h="16840"/>
          <w:pgMar w:top="1060" w:bottom="1160" w:left="980" w:right="0"/>
          <w:cols w:num="2" w:equalWidth="0">
            <w:col w:w="9066" w:space="40"/>
            <w:col w:w="1824"/>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2392"/>
        <w:gridCol w:w="2381"/>
      </w:tblGrid>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研发资本化金额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0" w:right="0"/>
              <w:jc w:val="left"/>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实施进度</w:t>
            </w:r>
          </w:p>
        </w:tc>
      </w:tr>
    </w:tbl>
    <w:p>
      <w:pPr>
        <w:pStyle w:val="BodyText"/>
        <w:spacing w:line="316" w:lineRule="auto" w:before="8"/>
        <w:ind w:right="6794"/>
        <w:jc w:val="left"/>
      </w:pPr>
      <w:r>
        <w:rPr/>
        <w:t>不适用 研发投入资本化率大幅变动的原因及其合理性说明</w:t>
      </w:r>
    </w:p>
    <w:p>
      <w:pPr>
        <w:pStyle w:val="BodyText"/>
        <w:spacing w:line="240" w:lineRule="auto" w:before="59"/>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before="0"/>
        <w:ind w:right="1133"/>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425,082,432.02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366,442,013.04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16.00%</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371,701,695.96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401,458,251.55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-7.41%</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53,380,736.06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-35,016,238.51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252.45%</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329,622,155.60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369,233,222.27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-10.73%</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429,035,989.75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433,551,788.06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-99,413,834.15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-64,318,565.79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-54.56%</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150,714,740.00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63,174,188.98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138.57%</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80,159,521.42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12,326,899.81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550.28%</w:t>
            </w:r>
          </w:p>
        </w:tc>
      </w:tr>
      <w:tr>
        <w:trPr>
          <w:trHeight w:val="716"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70,555,218.58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50,847,289.17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38.76%</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28,824,150.96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-40,243,621.93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171.62%</w:t>
            </w:r>
          </w:p>
        </w:tc>
      </w:tr>
    </w:tbl>
    <w:p>
      <w:pPr>
        <w:pStyle w:val="BodyText"/>
        <w:spacing w:line="240" w:lineRule="auto" w:before="49"/>
        <w:ind w:right="1133"/>
        <w:jc w:val="left"/>
      </w:pPr>
      <w:r>
        <w:rPr/>
        <w:t>相关数据同比发生重大变动的主要影响因素说明</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0"/>
        <w:rPr>
          <w:rFonts w:ascii="宋体" w:hAnsi="宋体" w:cs="宋体" w:eastAsia="宋体" w:hint="default"/>
          <w:sz w:val="13"/>
          <w:szCs w:val="13"/>
        </w:rPr>
      </w:pPr>
    </w:p>
    <w:p>
      <w:pPr>
        <w:pStyle w:val="BodyText"/>
        <w:spacing w:line="240" w:lineRule="auto"/>
        <w:ind w:left="513" w:right="0"/>
        <w:jc w:val="left"/>
      </w:pPr>
      <w:r>
        <w:rPr/>
        <w:t>（</w:t>
      </w:r>
      <w:r>
        <w:rPr>
          <w:rFonts w:ascii="Times New Roman" w:hAnsi="Times New Roman" w:cs="Times New Roman" w:eastAsia="Times New Roman" w:hint="default"/>
        </w:rPr>
        <w:t>1</w:t>
      </w:r>
      <w:r>
        <w:rPr/>
        <w:t>）经营活动产生的现金流量净额较上年同期上升至</w:t>
      </w:r>
      <w:r>
        <w:rPr>
          <w:rFonts w:ascii="Times New Roman" w:hAnsi="Times New Roman" w:cs="Times New Roman" w:eastAsia="Times New Roman" w:hint="default"/>
        </w:rPr>
        <w:t>53,380,736.06</w:t>
      </w:r>
      <w:r>
        <w:rPr/>
        <w:t>元，上升了</w:t>
      </w:r>
      <w:r>
        <w:rPr>
          <w:rFonts w:ascii="Times New Roman" w:hAnsi="Times New Roman" w:cs="Times New Roman" w:eastAsia="Times New Roman" w:hint="default"/>
        </w:rPr>
        <w:t>252.45%</w:t>
      </w:r>
      <w:r>
        <w:rPr/>
        <w:t>，主要系报告期内保理款收回增</w:t>
      </w:r>
    </w:p>
    <w:p>
      <w:pPr>
        <w:spacing w:after="0" w:line="240" w:lineRule="auto"/>
        <w:jc w:val="left"/>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51" w:lineRule="auto"/>
        <w:ind w:right="1154"/>
        <w:jc w:val="left"/>
      </w:pPr>
      <w:r>
        <w:rPr/>
        <w:t>加</w:t>
      </w:r>
      <w:r>
        <w:rPr>
          <w:rFonts w:ascii="Times New Roman" w:hAnsi="Times New Roman" w:cs="Times New Roman" w:eastAsia="Times New Roman" w:hint="default"/>
        </w:rPr>
        <w:t>49,044,500.00</w:t>
      </w:r>
      <w:r>
        <w:rPr/>
        <w:t>元，从而使收到其他与经营活动有关的现金较上年同期增长</w:t>
      </w:r>
      <w:r>
        <w:rPr>
          <w:rFonts w:ascii="Times New Roman" w:hAnsi="Times New Roman" w:cs="Times New Roman" w:eastAsia="Times New Roman" w:hint="default"/>
        </w:rPr>
        <w:t>169.12%</w:t>
      </w:r>
      <w:r>
        <w:rPr/>
        <w:t>；同时，公司购买商品、接受劳务支付 的现金较上年同期下降了</w:t>
      </w:r>
      <w:r>
        <w:rPr>
          <w:rFonts w:ascii="Times New Roman" w:hAnsi="Times New Roman" w:cs="Times New Roman" w:eastAsia="Times New Roman" w:hint="default"/>
        </w:rPr>
        <w:t>23.98%</w:t>
      </w:r>
      <w:r>
        <w:rPr/>
        <w:t>；两者共同作用，是导致经营活动产生的现金流量净额较上年同期出现上升的主要原因。</w:t>
      </w:r>
    </w:p>
    <w:p>
      <w:pPr>
        <w:pStyle w:val="BodyText"/>
        <w:spacing w:line="451" w:lineRule="auto" w:before="43"/>
        <w:ind w:right="1133" w:firstLine="360"/>
        <w:jc w:val="left"/>
      </w:pPr>
      <w:r>
        <w:rPr>
          <w:spacing w:val="-1"/>
        </w:rPr>
        <w:t>（</w:t>
      </w:r>
      <w:r>
        <w:rPr>
          <w:rFonts w:ascii="Times New Roman" w:hAnsi="Times New Roman" w:cs="Times New Roman" w:eastAsia="Times New Roman" w:hint="default"/>
          <w:spacing w:val="-1"/>
        </w:rPr>
        <w:t>2</w:t>
      </w:r>
      <w:r>
        <w:rPr>
          <w:spacing w:val="-1"/>
        </w:rPr>
        <w:t>）投资活动产生的现金流量净额较上年同期下降</w:t>
      </w:r>
      <w:r>
        <w:rPr>
          <w:rFonts w:ascii="Times New Roman" w:hAnsi="Times New Roman" w:cs="Times New Roman" w:eastAsia="Times New Roman" w:hint="default"/>
          <w:spacing w:val="-1"/>
        </w:rPr>
        <w:t>54.56%</w:t>
      </w:r>
      <w:r>
        <w:rPr>
          <w:spacing w:val="-1"/>
        </w:rPr>
        <w:t>，主要系报告期内收回到期理财产品及投资收益较上年同期</w:t>
      </w:r>
      <w:r>
        <w:rPr/>
        <w:t> 减少，从而使投资活动现金流入较上年同期下降了</w:t>
      </w:r>
      <w:r>
        <w:rPr>
          <w:rFonts w:ascii="Times New Roman" w:hAnsi="Times New Roman" w:cs="Times New Roman" w:eastAsia="Times New Roman" w:hint="default"/>
        </w:rPr>
        <w:t>10.73%</w:t>
      </w:r>
      <w:r>
        <w:rPr/>
        <w:t>。</w:t>
      </w:r>
    </w:p>
    <w:p>
      <w:pPr>
        <w:pStyle w:val="BodyText"/>
        <w:spacing w:line="451" w:lineRule="auto" w:before="43"/>
        <w:ind w:left="513" w:right="1468"/>
        <w:jc w:val="left"/>
      </w:pPr>
      <w:r>
        <w:rPr/>
        <w:t>（</w:t>
      </w:r>
      <w:r>
        <w:rPr>
          <w:rFonts w:ascii="Times New Roman" w:hAnsi="Times New Roman" w:cs="Times New Roman" w:eastAsia="Times New Roman" w:hint="default"/>
        </w:rPr>
        <w:t>3</w:t>
      </w:r>
      <w:r>
        <w:rPr/>
        <w:t>）筹资活动产生的现金流量净额较上年同期增长</w:t>
      </w:r>
      <w:r>
        <w:rPr>
          <w:rFonts w:ascii="Times New Roman" w:hAnsi="Times New Roman" w:cs="Times New Roman" w:eastAsia="Times New Roman" w:hint="default"/>
        </w:rPr>
        <w:t>38.76%</w:t>
      </w:r>
      <w:r>
        <w:rPr/>
        <w:t>，主要系公司报告期内新增银行借款的现金流入所致。 以上因素共同作用，是构成现金及现金等价物净增加额较上年同期上升</w:t>
      </w:r>
      <w:r>
        <w:rPr>
          <w:rFonts w:ascii="Times New Roman" w:hAnsi="Times New Roman" w:cs="Times New Roman" w:eastAsia="Times New Roman" w:hint="default"/>
        </w:rPr>
        <w:t>171.62%</w:t>
      </w:r>
      <w:r>
        <w:rPr/>
        <w:t>的主要原因。</w:t>
      </w:r>
    </w:p>
    <w:p>
      <w:pPr>
        <w:pStyle w:val="BodyText"/>
        <w:spacing w:line="240" w:lineRule="auto" w:before="84"/>
        <w:ind w:right="1133"/>
        <w:jc w:val="left"/>
      </w:pPr>
      <w:r>
        <w:rPr/>
        <w:t>报告期内公司经营活动产生的现金净流量与本年度净利润存在重大差异的原因说明</w:t>
      </w:r>
    </w:p>
    <w:p>
      <w:pPr>
        <w:spacing w:line="240" w:lineRule="auto" w:before="8"/>
        <w:rPr>
          <w:rFonts w:ascii="宋体" w:hAnsi="宋体" w:cs="宋体" w:eastAsia="宋体" w:hint="default"/>
          <w:sz w:val="14"/>
          <w:szCs w:val="14"/>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3"/>
        <w:rPr>
          <w:rFonts w:ascii="宋体" w:hAnsi="宋体" w:cs="宋体" w:eastAsia="宋体" w:hint="default"/>
          <w:sz w:val="13"/>
          <w:szCs w:val="13"/>
        </w:rPr>
      </w:pPr>
    </w:p>
    <w:p>
      <w:pPr>
        <w:pStyle w:val="BodyText"/>
        <w:spacing w:line="451" w:lineRule="auto"/>
        <w:ind w:right="1129" w:firstLine="360"/>
        <w:jc w:val="left"/>
      </w:pPr>
      <w:r>
        <w:rPr>
          <w:spacing w:val="12"/>
        </w:rPr>
        <w:t>报告期内，</w:t>
      </w:r>
      <w:r>
        <w:rPr>
          <w:spacing w:val="-71"/>
        </w:rPr>
        <w:t> </w:t>
      </w:r>
      <w:r>
        <w:rPr>
          <w:spacing w:val="14"/>
        </w:rPr>
        <w:t>公司经营活动产生的现金流量净额为</w:t>
      </w:r>
      <w:r>
        <w:rPr>
          <w:spacing w:val="-65"/>
        </w:rPr>
        <w:t> </w:t>
      </w:r>
      <w:r>
        <w:rPr>
          <w:rFonts w:ascii="Times New Roman" w:hAnsi="Times New Roman" w:cs="Times New Roman" w:eastAsia="Times New Roman" w:hint="default"/>
        </w:rPr>
        <w:t>53,380,736.06</w:t>
      </w:r>
      <w:r>
        <w:rPr>
          <w:rFonts w:ascii="Times New Roman" w:hAnsi="Times New Roman" w:cs="Times New Roman" w:eastAsia="Times New Roman" w:hint="default"/>
          <w:spacing w:val="-25"/>
        </w:rPr>
        <w:t> </w:t>
      </w:r>
      <w:r>
        <w:rPr>
          <w:spacing w:val="8"/>
        </w:rPr>
        <w:t>元，</w:t>
      </w:r>
      <w:r>
        <w:rPr>
          <w:spacing w:val="-71"/>
        </w:rPr>
        <w:t> </w:t>
      </w:r>
      <w:r>
        <w:rPr>
          <w:spacing w:val="14"/>
        </w:rPr>
        <w:t>实现本年度归属于母公司所有者的净利润为</w:t>
      </w:r>
      <w:r>
        <w:rPr/>
        <w:t> </w:t>
      </w:r>
      <w:r>
        <w:rPr>
          <w:rFonts w:ascii="Times New Roman" w:hAnsi="Times New Roman" w:cs="Times New Roman" w:eastAsia="Times New Roman" w:hint="default"/>
        </w:rPr>
        <w:t>20,928,978.84</w:t>
      </w:r>
      <w:r>
        <w:rPr/>
        <w:t>元，两者之间存在重大差异的原因为：</w:t>
      </w:r>
    </w:p>
    <w:p>
      <w:pPr>
        <w:pStyle w:val="BodyText"/>
        <w:spacing w:line="451" w:lineRule="auto" w:before="43"/>
        <w:ind w:right="1133" w:firstLine="360"/>
        <w:jc w:val="left"/>
      </w:pPr>
      <w:r>
        <w:rPr/>
        <w:t>（</w:t>
      </w:r>
      <w:r>
        <w:rPr>
          <w:rFonts w:ascii="Times New Roman" w:hAnsi="Times New Roman" w:cs="Times New Roman" w:eastAsia="Times New Roman" w:hint="default"/>
        </w:rPr>
        <w:t>1</w:t>
      </w:r>
      <w:r>
        <w:rPr/>
        <w:t>）报告期内，公司销售商品、提供劳务收到的现金较上年同期增长</w:t>
      </w:r>
      <w:r>
        <w:rPr>
          <w:rFonts w:ascii="Times New Roman" w:hAnsi="Times New Roman" w:cs="Times New Roman" w:eastAsia="Times New Roman" w:hint="default"/>
        </w:rPr>
        <w:t>0.08%</w:t>
      </w:r>
      <w:r>
        <w:rPr/>
        <w:t>；而公司购买商品、接受劳务支付的现金 较上年同期下降</w:t>
      </w:r>
      <w:r>
        <w:rPr>
          <w:rFonts w:ascii="Times New Roman" w:hAnsi="Times New Roman" w:cs="Times New Roman" w:eastAsia="Times New Roman" w:hint="default"/>
        </w:rPr>
        <w:t>23.98%</w:t>
      </w:r>
      <w:r>
        <w:rPr/>
        <w:t>；从而使公司经营活动现金流入与现金流出存在较大差异；</w:t>
      </w:r>
    </w:p>
    <w:p>
      <w:pPr>
        <w:pStyle w:val="BodyText"/>
        <w:spacing w:line="240" w:lineRule="auto" w:before="43"/>
        <w:ind w:left="513" w:right="1133"/>
        <w:jc w:val="left"/>
      </w:pPr>
      <w:r>
        <w:rPr/>
        <w:t>（</w:t>
      </w:r>
      <w:r>
        <w:rPr>
          <w:rFonts w:ascii="Times New Roman" w:hAnsi="Times New Roman" w:cs="Times New Roman" w:eastAsia="Times New Roman" w:hint="default"/>
        </w:rPr>
        <w:t>2</w:t>
      </w:r>
      <w:r>
        <w:rPr/>
        <w:t>）公司实现本年度归属于母公司所有者的净利润为</w:t>
      </w:r>
      <w:r>
        <w:rPr>
          <w:rFonts w:ascii="Times New Roman" w:hAnsi="Times New Roman" w:cs="Times New Roman" w:eastAsia="Times New Roman" w:hint="default"/>
        </w:rPr>
        <w:t>20,928,978.84</w:t>
      </w:r>
      <w:r>
        <w:rPr/>
        <w:t>元，其中包含对联营企业按权益法核算的投资收益</w:t>
      </w:r>
    </w:p>
    <w:p>
      <w:pPr>
        <w:spacing w:line="240" w:lineRule="auto" w:before="9"/>
        <w:rPr>
          <w:rFonts w:ascii="宋体" w:hAnsi="宋体" w:cs="宋体" w:eastAsia="宋体" w:hint="default"/>
          <w:sz w:val="16"/>
          <w:szCs w:val="16"/>
        </w:rPr>
      </w:pPr>
    </w:p>
    <w:p>
      <w:pPr>
        <w:pStyle w:val="BodyText"/>
        <w:spacing w:line="240" w:lineRule="auto"/>
        <w:ind w:right="1133"/>
        <w:jc w:val="left"/>
      </w:pPr>
      <w:r>
        <w:rPr>
          <w:rFonts w:ascii="Times New Roman" w:hAnsi="Times New Roman" w:cs="Times New Roman" w:eastAsia="Times New Roman" w:hint="default"/>
        </w:rPr>
        <w:t>-13,526,824.68</w:t>
      </w:r>
      <w:r>
        <w:rPr/>
        <w:t>元。</w:t>
      </w:r>
    </w:p>
    <w:p>
      <w:pPr>
        <w:spacing w:line="240" w:lineRule="auto" w:before="0"/>
        <w:rPr>
          <w:rFonts w:ascii="宋体" w:hAnsi="宋体" w:cs="宋体" w:eastAsia="宋体" w:hint="default"/>
          <w:sz w:val="18"/>
          <w:szCs w:val="18"/>
        </w:rPr>
      </w:pPr>
    </w:p>
    <w:p>
      <w:pPr>
        <w:pStyle w:val="Heading2"/>
        <w:spacing w:line="240" w:lineRule="auto" w:before="158"/>
        <w:ind w:right="1133"/>
        <w:jc w:val="left"/>
        <w:rPr>
          <w:b w:val="0"/>
          <w:bCs w:val="0"/>
        </w:rPr>
      </w:pPr>
      <w:r>
        <w:rPr/>
        <w:t>三、非主营业务分析</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12"/>
        <w:gridCol w:w="1916"/>
        <w:gridCol w:w="1622"/>
        <w:gridCol w:w="2254"/>
        <w:gridCol w:w="2254"/>
      </w:tblGrid>
      <w:tr>
        <w:trPr>
          <w:trHeight w:val="401"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1"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317"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89" w:right="0"/>
              <w:jc w:val="left"/>
              <w:rPr>
                <w:rFonts w:ascii="Times New Roman" w:hAnsi="Times New Roman" w:cs="Times New Roman" w:eastAsia="Times New Roman" w:hint="default"/>
                <w:sz w:val="18"/>
                <w:szCs w:val="18"/>
              </w:rPr>
            </w:pPr>
            <w:r>
              <w:rPr>
                <w:rFonts w:ascii="Times New Roman"/>
                <w:sz w:val="18"/>
              </w:rPr>
              <w:t>-11,068,995.55</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76" w:right="0"/>
              <w:jc w:val="left"/>
              <w:rPr>
                <w:rFonts w:ascii="Times New Roman" w:hAnsi="Times New Roman" w:cs="Times New Roman" w:eastAsia="Times New Roman" w:hint="default"/>
                <w:sz w:val="18"/>
                <w:szCs w:val="18"/>
              </w:rPr>
            </w:pPr>
            <w:r>
              <w:rPr>
                <w:rFonts w:ascii="Times New Roman"/>
                <w:sz w:val="18"/>
              </w:rPr>
              <w:t>-37.54%</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58"/>
              <w:jc w:val="both"/>
              <w:rPr>
                <w:rFonts w:ascii="宋体" w:hAnsi="宋体" w:cs="宋体" w:eastAsia="宋体" w:hint="default"/>
                <w:sz w:val="18"/>
                <w:szCs w:val="18"/>
              </w:rPr>
            </w:pPr>
            <w:r>
              <w:rPr>
                <w:rFonts w:ascii="宋体" w:hAnsi="宋体" w:cs="宋体" w:eastAsia="宋体" w:hint="default"/>
                <w:sz w:val="18"/>
                <w:szCs w:val="18"/>
              </w:rPr>
              <w:t>系权益法核算的长期股权投 资损失、外汇掉期投资损失 及银行理财产品收益构成</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4"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317"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96" w:right="0"/>
              <w:jc w:val="left"/>
              <w:rPr>
                <w:rFonts w:ascii="Times New Roman" w:hAnsi="Times New Roman" w:cs="Times New Roman" w:eastAsia="Times New Roman" w:hint="default"/>
                <w:sz w:val="18"/>
                <w:szCs w:val="18"/>
              </w:rPr>
            </w:pPr>
            <w:r>
              <w:rPr>
                <w:rFonts w:ascii="Times New Roman"/>
                <w:sz w:val="18"/>
              </w:rPr>
              <w:t>-74,812.50</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5" w:right="0"/>
              <w:jc w:val="left"/>
              <w:rPr>
                <w:rFonts w:ascii="Times New Roman" w:hAnsi="Times New Roman" w:cs="Times New Roman" w:eastAsia="Times New Roman" w:hint="default"/>
                <w:sz w:val="18"/>
                <w:szCs w:val="18"/>
              </w:rPr>
            </w:pPr>
            <w:r>
              <w:rPr>
                <w:rFonts w:ascii="Times New Roman"/>
                <w:sz w:val="18"/>
              </w:rPr>
              <w:t>-0.25%</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58"/>
              <w:jc w:val="left"/>
              <w:rPr>
                <w:rFonts w:ascii="宋体" w:hAnsi="宋体" w:cs="宋体" w:eastAsia="宋体" w:hint="default"/>
                <w:sz w:val="18"/>
                <w:szCs w:val="18"/>
              </w:rPr>
            </w:pPr>
            <w:r>
              <w:rPr>
                <w:rFonts w:ascii="宋体" w:hAnsi="宋体" w:cs="宋体" w:eastAsia="宋体" w:hint="default"/>
                <w:sz w:val="18"/>
                <w:szCs w:val="18"/>
              </w:rPr>
              <w:t>系外汇掉期到期于本年结转 的损益</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6"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403"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-1,195,870.69</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-4.06%</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系计提的存货跌价准备</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225.00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254"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234,882.79</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0.80%</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系对外捐赠支出</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1,288,660.93</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4.37%</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系政府补助收入</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信用减值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-3,544,321.35</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-12.02%</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系计提的坏账准备</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四、资产及负债状况分析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before="0"/>
        <w:ind w:right="1133"/>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44"/>
        <w:ind w:right="-17"/>
        <w:jc w:val="left"/>
      </w:pPr>
      <w:r>
        <w:rPr/>
        <w:t>公司</w:t>
      </w:r>
      <w:r>
        <w:rPr>
          <w:spacing w:val="-46"/>
        </w:rPr>
        <w:t> </w:t>
      </w:r>
      <w:r>
        <w:rPr>
          <w:rFonts w:ascii="Times New Roman" w:hAnsi="Times New Roman" w:cs="Times New Roman" w:eastAsia="Times New Roman" w:hint="default"/>
        </w:rPr>
        <w:t>2019 </w:t>
      </w:r>
      <w:r>
        <w:rPr/>
        <w:t>年起首次执行新金融工具准则、新收入准则或新租赁准则且调整执行当年年初财务报表相关项目</w:t>
      </w:r>
    </w:p>
    <w:p>
      <w:pPr>
        <w:pStyle w:val="BodyText"/>
        <w:spacing w:line="240" w:lineRule="auto" w:before="103"/>
        <w:ind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8525" w:space="395"/>
            <w:col w:w="201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164"/>
        <w:gridCol w:w="1064"/>
        <w:gridCol w:w="1195"/>
        <w:gridCol w:w="1064"/>
        <w:gridCol w:w="797"/>
        <w:gridCol w:w="2919"/>
      </w:tblGrid>
      <w:tr>
        <w:trPr>
          <w:trHeight w:val="380" w:hRule="exact"/>
        </w:trPr>
        <w:tc>
          <w:tcPr>
            <w:tcW w:w="136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w:t>
            </w:r>
          </w:p>
        </w:tc>
        <w:tc>
          <w:tcPr>
            <w:tcW w:w="79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9"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68"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4" w:type="dxa"/>
            <w:vMerge w:val="restart"/>
            <w:tcBorders>
              <w:top w:val="single" w:sz="14" w:space="0" w:color="FFFFFF"/>
              <w:left w:val="single" w:sz="4" w:space="0" w:color="000000"/>
              <w:right w:val="single" w:sz="4" w:space="0" w:color="000000"/>
            </w:tcBorders>
            <w:shd w:val="clear" w:color="auto" w:fill="D2D2D2"/>
          </w:tcPr>
          <w:p>
            <w:pPr>
              <w:pStyle w:val="TableParagraph"/>
              <w:spacing w:line="314" w:lineRule="auto" w:before="58"/>
              <w:ind w:left="437" w:right="74"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4" w:type="dxa"/>
            <w:vMerge w:val="restart"/>
            <w:tcBorders>
              <w:top w:val="single" w:sz="14" w:space="0" w:color="FFFFFF"/>
              <w:left w:val="single" w:sz="4" w:space="0" w:color="000000"/>
              <w:right w:val="single" w:sz="4" w:space="0" w:color="000000"/>
            </w:tcBorders>
            <w:shd w:val="clear" w:color="auto" w:fill="D2D2D2"/>
          </w:tcPr>
          <w:p>
            <w:pPr>
              <w:pStyle w:val="TableParagraph"/>
              <w:spacing w:line="314" w:lineRule="auto" w:before="58"/>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3"/>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3"/>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188,725,949.7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22.32%</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160,416,538.74</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23.34%</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-1.02%</w:t>
            </w:r>
          </w:p>
        </w:tc>
        <w:tc>
          <w:tcPr>
            <w:tcW w:w="2919" w:type="dxa"/>
            <w:vMerge w:val="restart"/>
            <w:tcBorders>
              <w:top w:val="single" w:sz="4" w:space="0" w:color="000000"/>
              <w:left w:val="single" w:sz="4" w:space="0" w:color="000000"/>
              <w:right w:val="single" w:sz="4" w:space="0" w:color="000000"/>
            </w:tcBorders>
          </w:tcPr>
          <w:p>
            <w:pPr/>
          </w:p>
        </w:tc>
      </w:tr>
      <w:tr>
        <w:trPr>
          <w:trHeight w:val="394"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171,472,615.8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20.28%</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115,708,365.92</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16.83%</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3.45%</w:t>
            </w:r>
          </w:p>
        </w:tc>
        <w:tc>
          <w:tcPr>
            <w:tcW w:w="291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系公司应收货款增加所致。</w:t>
            </w: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89,047,228.92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106,658,120.35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系库存商品减少所致。</w:t>
            </w: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18,504,873.81</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2.19%</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37,147,586.86</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5.40%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-3.21%</w:t>
            </w:r>
          </w:p>
        </w:tc>
        <w:tc>
          <w:tcPr>
            <w:tcW w:w="2919" w:type="dxa"/>
            <w:vMerge w:val="restart"/>
            <w:tcBorders>
              <w:top w:val="single" w:sz="4" w:space="0" w:color="000000"/>
              <w:left w:val="single" w:sz="4" w:space="0" w:color="000000"/>
              <w:right w:val="single" w:sz="4" w:space="0" w:color="000000"/>
            </w:tcBorders>
          </w:tcPr>
          <w:p>
            <w:pPr>
              <w:pStyle w:val="TableParagraph"/>
              <w:spacing w:line="314"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系对股权投资采用权益法核算形成 的投资损失所致。</w:t>
            </w: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106,786,020.4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12.63%</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100,336,397.91</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14.60%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-1.97%</w:t>
            </w:r>
          </w:p>
        </w:tc>
        <w:tc>
          <w:tcPr>
            <w:tcW w:w="291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系并购闽保信息资产增加所致。</w:t>
            </w:r>
          </w:p>
        </w:tc>
      </w:tr>
      <w:tr>
        <w:trPr>
          <w:trHeight w:val="394"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59,639.62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14.19%</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60,000,000.00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8.73%</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5.46%</w:t>
            </w:r>
          </w:p>
        </w:tc>
        <w:tc>
          <w:tcPr>
            <w:tcW w:w="291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系公司银行借款增加所致。</w:t>
            </w:r>
          </w:p>
        </w:tc>
      </w:tr>
      <w:tr>
        <w:trPr>
          <w:trHeight w:val="394"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5,115,888.37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72"/>
              <w:jc w:val="left"/>
              <w:rPr>
                <w:rFonts w:ascii="宋体" w:hAnsi="宋体" w:cs="宋体" w:eastAsia="宋体" w:hint="default"/>
                <w:sz w:val="18"/>
                <w:szCs w:val="18"/>
              </w:rPr>
            </w:pPr>
            <w:r>
              <w:rPr>
                <w:rFonts w:ascii="宋体" w:hAnsi="宋体" w:cs="宋体" w:eastAsia="宋体" w:hint="default"/>
                <w:sz w:val="18"/>
                <w:szCs w:val="18"/>
              </w:rPr>
              <w:t>一年内到期的非 流动资产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33,540,000.00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103,253,200.00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15.02%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-11.05%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both"/>
              <w:rPr>
                <w:rFonts w:ascii="宋体" w:hAnsi="宋体" w:cs="宋体" w:eastAsia="宋体" w:hint="default"/>
                <w:sz w:val="18"/>
                <w:szCs w:val="18"/>
              </w:rPr>
            </w:pPr>
            <w:r>
              <w:rPr>
                <w:rFonts w:ascii="宋体" w:hAnsi="宋体" w:cs="宋体" w:eastAsia="宋体" w:hint="default"/>
                <w:sz w:val="18"/>
                <w:szCs w:val="18"/>
              </w:rPr>
              <w:t>系新金融工具准则下购买的理财至 报告日到期赎回后转入其他流动资 产所致。</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43,460,726.03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5,420,082.01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系新金融工具准则下购买的理财至 报告日到期赎回增加所致。</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105,781,039.8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12.51%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系并购闽保信息资产所致。</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58,002,658.41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49,709,548.09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系公司应付货款增加所致。</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43,492,078.49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1,125,321.94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系公司应付股权对价款所致。</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9"/>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91"/>
        <w:gridCol w:w="1092"/>
        <w:gridCol w:w="1093"/>
        <w:gridCol w:w="1092"/>
        <w:gridCol w:w="1090"/>
        <w:gridCol w:w="1092"/>
        <w:gridCol w:w="1090"/>
        <w:gridCol w:w="965"/>
        <w:gridCol w:w="965"/>
      </w:tblGrid>
      <w:tr>
        <w:trPr>
          <w:trHeight w:val="703" w:hRule="exact"/>
        </w:trPr>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61"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4"/>
              <w:ind w:left="93" w:right="87"/>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3"/>
              <w:ind w:left="91" w:right="89"/>
              <w:jc w:val="left"/>
              <w:rPr>
                <w:rFonts w:ascii="宋体" w:hAnsi="宋体" w:cs="宋体" w:eastAsia="宋体" w:hint="default"/>
                <w:sz w:val="18"/>
                <w:szCs w:val="18"/>
              </w:rPr>
            </w:pPr>
            <w:r>
              <w:rPr>
                <w:rFonts w:ascii="宋体" w:hAnsi="宋体" w:cs="宋体" w:eastAsia="宋体" w:hint="default"/>
                <w:sz w:val="18"/>
                <w:szCs w:val="18"/>
              </w:rPr>
              <w:t>计入权益的 累计公允价</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4"/>
              <w:ind w:left="359" w:right="87" w:hanging="269"/>
              <w:jc w:val="left"/>
              <w:rPr>
                <w:rFonts w:ascii="宋体" w:hAnsi="宋体" w:cs="宋体" w:eastAsia="宋体" w:hint="default"/>
                <w:sz w:val="18"/>
                <w:szCs w:val="18"/>
              </w:rPr>
            </w:pPr>
            <w:r>
              <w:rPr>
                <w:rFonts w:ascii="宋体" w:hAnsi="宋体" w:cs="宋体" w:eastAsia="宋体" w:hint="default"/>
                <w:sz w:val="18"/>
                <w:szCs w:val="18"/>
              </w:rPr>
              <w:t>本期计提的 减值</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4"/>
              <w:ind w:left="451" w:right="89" w:hanging="360"/>
              <w:jc w:val="left"/>
              <w:rPr>
                <w:rFonts w:ascii="宋体" w:hAnsi="宋体" w:cs="宋体" w:eastAsia="宋体" w:hint="default"/>
                <w:sz w:val="18"/>
                <w:szCs w:val="18"/>
              </w:rPr>
            </w:pPr>
            <w:r>
              <w:rPr>
                <w:rFonts w:ascii="宋体" w:hAnsi="宋体" w:cs="宋体" w:eastAsia="宋体" w:hint="default"/>
                <w:sz w:val="18"/>
                <w:szCs w:val="18"/>
              </w:rPr>
              <w:t>本期购买金 额</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4"/>
              <w:ind w:left="451" w:right="86" w:hanging="360"/>
              <w:jc w:val="left"/>
              <w:rPr>
                <w:rFonts w:ascii="宋体" w:hAnsi="宋体" w:cs="宋体" w:eastAsia="宋体" w:hint="default"/>
                <w:sz w:val="18"/>
                <w:szCs w:val="18"/>
              </w:rPr>
            </w:pPr>
            <w:r>
              <w:rPr>
                <w:rFonts w:ascii="宋体" w:hAnsi="宋体" w:cs="宋体" w:eastAsia="宋体" w:hint="default"/>
                <w:sz w:val="18"/>
                <w:szCs w:val="18"/>
              </w:rPr>
              <w:t>本期出售金 额</w:t>
            </w: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18"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期末数</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080"/>
        <w:gridCol w:w="1092"/>
        <w:gridCol w:w="1099"/>
        <w:gridCol w:w="1080"/>
        <w:gridCol w:w="1096"/>
        <w:gridCol w:w="1092"/>
        <w:gridCol w:w="1090"/>
        <w:gridCol w:w="965"/>
        <w:gridCol w:w="965"/>
      </w:tblGrid>
      <w:tr>
        <w:trPr>
          <w:trHeight w:val="367" w:hRule="exact"/>
        </w:trPr>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65"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10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6" w:hRule="exact"/>
        </w:trPr>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478" w:type="dxa"/>
            <w:gridSpan w:val="8"/>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 产</w:t>
            </w:r>
          </w:p>
        </w:tc>
        <w:tc>
          <w:tcPr>
            <w:tcW w:w="10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74,812.50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0" w:right="0"/>
              <w:jc w:val="left"/>
              <w:rPr>
                <w:rFonts w:ascii="Times New Roman" w:hAnsi="Times New Roman" w:cs="Times New Roman" w:eastAsia="Times New Roman" w:hint="default"/>
                <w:sz w:val="18"/>
                <w:szCs w:val="18"/>
              </w:rPr>
            </w:pPr>
            <w:r>
              <w:rPr>
                <w:rFonts w:ascii="Times New Roman"/>
                <w:sz w:val="18"/>
              </w:rPr>
              <w:t>-74,812.50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713" w:hRule="exact"/>
        </w:trPr>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其他权益工 具投资</w:t>
            </w:r>
          </w:p>
        </w:tc>
        <w:tc>
          <w:tcPr>
            <w:tcW w:w="10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32,005,861.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47</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32,005,861.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47</w:t>
            </w:r>
          </w:p>
        </w:tc>
      </w:tr>
      <w:tr>
        <w:trPr>
          <w:trHeight w:val="161" w:hRule="exact"/>
        </w:trPr>
        <w:tc>
          <w:tcPr>
            <w:tcW w:w="108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2"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4" w:right="0"/>
              <w:jc w:val="left"/>
              <w:rPr>
                <w:rFonts w:ascii="Times New Roman" w:hAnsi="Times New Roman" w:cs="Times New Roman" w:eastAsia="Times New Roman" w:hint="default"/>
                <w:sz w:val="18"/>
                <w:szCs w:val="18"/>
              </w:rPr>
            </w:pPr>
            <w:r>
              <w:rPr>
                <w:rFonts w:ascii="Times New Roman"/>
                <w:sz w:val="18"/>
              </w:rPr>
              <w:t>74,812.50</w:t>
            </w:r>
          </w:p>
        </w:tc>
        <w:tc>
          <w:tcPr>
            <w:tcW w:w="109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0" w:right="0"/>
              <w:jc w:val="left"/>
              <w:rPr>
                <w:rFonts w:ascii="Times New Roman" w:hAnsi="Times New Roman" w:cs="Times New Roman" w:eastAsia="Times New Roman" w:hint="default"/>
                <w:sz w:val="18"/>
                <w:szCs w:val="18"/>
              </w:rPr>
            </w:pPr>
            <w:r>
              <w:rPr>
                <w:rFonts w:ascii="Times New Roman"/>
                <w:sz w:val="18"/>
              </w:rPr>
              <w:t>-74,812.50</w:t>
            </w:r>
          </w:p>
        </w:tc>
        <w:tc>
          <w:tcPr>
            <w:tcW w:w="1080" w:type="dxa"/>
            <w:vMerge w:val="restart"/>
            <w:tcBorders>
              <w:top w:val="single" w:sz="4" w:space="0" w:color="000000"/>
              <w:left w:val="single" w:sz="4" w:space="0" w:color="000000"/>
              <w:right w:val="single" w:sz="4" w:space="0" w:color="000000"/>
            </w:tcBorders>
          </w:tcPr>
          <w:p>
            <w:pPr/>
          </w:p>
        </w:tc>
        <w:tc>
          <w:tcPr>
            <w:tcW w:w="1096" w:type="dxa"/>
            <w:vMerge w:val="restart"/>
            <w:tcBorders>
              <w:top w:val="single" w:sz="4" w:space="0" w:color="000000"/>
              <w:left w:val="single" w:sz="4" w:space="0" w:color="000000"/>
              <w:right w:val="single" w:sz="4" w:space="0" w:color="000000"/>
            </w:tcBorders>
          </w:tcPr>
          <w:p>
            <w:pPr/>
          </w:p>
        </w:tc>
        <w:tc>
          <w:tcPr>
            <w:tcW w:w="1092" w:type="dxa"/>
            <w:vMerge w:val="restart"/>
            <w:tcBorders>
              <w:top w:val="single" w:sz="4" w:space="0" w:color="000000"/>
              <w:left w:val="single" w:sz="4" w:space="0" w:color="000000"/>
              <w:right w:val="single" w:sz="4" w:space="0" w:color="000000"/>
            </w:tcBorders>
          </w:tcPr>
          <w:p>
            <w:pPr/>
          </w:p>
        </w:tc>
        <w:tc>
          <w:tcPr>
            <w:tcW w:w="1090" w:type="dxa"/>
            <w:vMerge w:val="restart"/>
            <w:tcBorders>
              <w:top w:val="single" w:sz="4" w:space="0" w:color="000000"/>
              <w:left w:val="single" w:sz="4" w:space="0" w:color="000000"/>
              <w:right w:val="single" w:sz="4" w:space="0" w:color="000000"/>
            </w:tcBorders>
          </w:tcPr>
          <w:p>
            <w:pPr/>
          </w:p>
        </w:tc>
        <w:tc>
          <w:tcPr>
            <w:tcW w:w="9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32,005,861.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47</w:t>
            </w:r>
          </w:p>
        </w:tc>
        <w:tc>
          <w:tcPr>
            <w:tcW w:w="9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32,005,861.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47</w:t>
            </w:r>
          </w:p>
        </w:tc>
      </w:tr>
      <w:tr>
        <w:trPr>
          <w:trHeight w:val="394" w:hRule="exact"/>
        </w:trPr>
        <w:tc>
          <w:tcPr>
            <w:tcW w:w="10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092" w:type="dxa"/>
            <w:vMerge/>
            <w:tcBorders>
              <w:left w:val="single" w:sz="9" w:space="0" w:color="D2D2D2"/>
              <w:right w:val="single" w:sz="4" w:space="0" w:color="000000"/>
            </w:tcBorders>
          </w:tcPr>
          <w:p>
            <w:pPr/>
          </w:p>
        </w:tc>
        <w:tc>
          <w:tcPr>
            <w:tcW w:w="1099"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96" w:type="dxa"/>
            <w:vMerge/>
            <w:tcBorders>
              <w:left w:val="single" w:sz="4" w:space="0" w:color="000000"/>
              <w:right w:val="single" w:sz="4" w:space="0" w:color="000000"/>
            </w:tcBorders>
          </w:tcPr>
          <w:p>
            <w:pPr/>
          </w:p>
        </w:tc>
        <w:tc>
          <w:tcPr>
            <w:tcW w:w="1092" w:type="dxa"/>
            <w:vMerge/>
            <w:tcBorders>
              <w:left w:val="single" w:sz="4" w:space="0" w:color="000000"/>
              <w:right w:val="single" w:sz="4" w:space="0" w:color="000000"/>
            </w:tcBorders>
          </w:tcPr>
          <w:p>
            <w:pPr/>
          </w:p>
        </w:tc>
        <w:tc>
          <w:tcPr>
            <w:tcW w:w="1090"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r>
      <w:tr>
        <w:trPr>
          <w:trHeight w:val="161" w:hRule="exact"/>
        </w:trPr>
        <w:tc>
          <w:tcPr>
            <w:tcW w:w="10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2" w:type="dxa"/>
            <w:vMerge/>
            <w:tcBorders>
              <w:left w:val="single" w:sz="9" w:space="0" w:color="D2D2D2"/>
              <w:bottom w:val="single" w:sz="4" w:space="0" w:color="000000"/>
              <w:right w:val="single" w:sz="4" w:space="0" w:color="000000"/>
            </w:tcBorders>
          </w:tcPr>
          <w:p>
            <w:pPr/>
          </w:p>
        </w:tc>
        <w:tc>
          <w:tcPr>
            <w:tcW w:w="1099"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096" w:type="dxa"/>
            <w:vMerge/>
            <w:tcBorders>
              <w:left w:val="single" w:sz="4" w:space="0" w:color="000000"/>
              <w:bottom w:val="single" w:sz="4" w:space="0" w:color="000000"/>
              <w:right w:val="single" w:sz="4" w:space="0" w:color="000000"/>
            </w:tcBorders>
          </w:tcPr>
          <w:p>
            <w:pPr/>
          </w:p>
        </w:tc>
        <w:tc>
          <w:tcPr>
            <w:tcW w:w="1092" w:type="dxa"/>
            <w:vMerge/>
            <w:tcBorders>
              <w:left w:val="single" w:sz="4" w:space="0" w:color="000000"/>
              <w:bottom w:val="single" w:sz="4" w:space="0" w:color="000000"/>
              <w:right w:val="single" w:sz="4" w:space="0" w:color="000000"/>
            </w:tcBorders>
          </w:tcPr>
          <w:p>
            <w:pPr/>
          </w:p>
        </w:tc>
        <w:tc>
          <w:tcPr>
            <w:tcW w:w="1090" w:type="dxa"/>
            <w:vMerge/>
            <w:tcBorders>
              <w:left w:val="single" w:sz="4" w:space="0" w:color="000000"/>
              <w:bottom w:val="single" w:sz="4" w:space="0" w:color="000000"/>
              <w:right w:val="single" w:sz="4" w:space="0" w:color="000000"/>
            </w:tcBorders>
          </w:tcPr>
          <w:p>
            <w:pPr/>
          </w:p>
        </w:tc>
        <w:tc>
          <w:tcPr>
            <w:tcW w:w="965" w:type="dxa"/>
            <w:vMerge/>
            <w:tcBorders>
              <w:left w:val="single" w:sz="4" w:space="0" w:color="000000"/>
              <w:bottom w:val="single" w:sz="4" w:space="0" w:color="000000"/>
              <w:right w:val="single" w:sz="4" w:space="0" w:color="000000"/>
            </w:tcBorders>
          </w:tcPr>
          <w:p>
            <w:pPr/>
          </w:p>
        </w:tc>
        <w:tc>
          <w:tcPr>
            <w:tcW w:w="965" w:type="dxa"/>
            <w:vMerge/>
            <w:tcBorders>
              <w:left w:val="single" w:sz="4" w:space="0" w:color="000000"/>
              <w:bottom w:val="single" w:sz="4" w:space="0" w:color="000000"/>
              <w:right w:val="single" w:sz="4" w:space="0" w:color="000000"/>
            </w:tcBorders>
          </w:tcPr>
          <w:p>
            <w:pPr/>
          </w:p>
        </w:tc>
      </w:tr>
      <w:tr>
        <w:trPr>
          <w:trHeight w:val="401" w:hRule="exact"/>
        </w:trPr>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0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360" w:lineRule="auto" w:before="49"/>
        <w:ind w:right="9494"/>
        <w:jc w:val="left"/>
      </w:pPr>
      <w:r>
        <w:rPr/>
        <w:t>其他变动的内容 不适用</w:t>
      </w:r>
    </w:p>
    <w:p>
      <w:pPr>
        <w:pStyle w:val="BodyText"/>
        <w:spacing w:line="240" w:lineRule="auto" w:before="28"/>
        <w:ind w:right="1133"/>
        <w:jc w:val="left"/>
      </w:pPr>
      <w:r>
        <w:rPr/>
        <w:t>报告期内公司主要资产计量属性是否发生重大变化</w:t>
      </w:r>
    </w:p>
    <w:p>
      <w:pPr>
        <w:spacing w:line="547" w:lineRule="auto" w:before="115"/>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w:t>
      </w:r>
      <w:r>
        <w:rPr>
          <w:rFonts w:ascii="Times New Roman" w:hAnsi="Times New Roman" w:cs="Times New Roman" w:eastAsia="Times New Roman" w:hint="default"/>
          <w:b/>
          <w:bCs/>
          <w:spacing w:val="-1"/>
          <w:sz w:val="21"/>
          <w:szCs w:val="21"/>
        </w:rPr>
        <w:t>3</w:t>
      </w:r>
      <w:r>
        <w:rPr>
          <w:rFonts w:ascii="宋体" w:hAnsi="宋体" w:cs="宋体" w:eastAsia="宋体" w:hint="default"/>
          <w:b/>
          <w:bCs/>
          <w:spacing w:val="-1"/>
          <w:sz w:val="21"/>
          <w:szCs w:val="21"/>
        </w:rPr>
        <w:t>、截至报告期末的资产权利受限情况</w:t>
      </w:r>
      <w:r>
        <w:rPr>
          <w:rFonts w:ascii="宋体" w:hAnsi="宋体" w:cs="宋体" w:eastAsia="宋体" w:hint="default"/>
          <w:b/>
          <w:bCs/>
          <w:spacing w:val="-89"/>
          <w:sz w:val="21"/>
          <w:szCs w:val="21"/>
        </w:rPr>
        <w:t> </w:t>
      </w:r>
      <w:r>
        <w:rPr>
          <w:rFonts w:ascii="宋体" w:hAnsi="宋体" w:cs="宋体" w:eastAsia="宋体" w:hint="default"/>
          <w:b/>
          <w:bCs/>
          <w:spacing w:val="-89"/>
          <w:sz w:val="21"/>
          <w:szCs w:val="21"/>
        </w:rPr>
      </w:r>
      <w:r>
        <w:rPr>
          <w:rFonts w:ascii="宋体" w:hAnsi="宋体" w:cs="宋体" w:eastAsia="宋体" w:hint="default"/>
          <w:sz w:val="18"/>
          <w:szCs w:val="18"/>
        </w:rPr>
        <w:t>不适用。</w:t>
      </w:r>
    </w:p>
    <w:p>
      <w:pPr>
        <w:pStyle w:val="Heading2"/>
        <w:spacing w:line="240" w:lineRule="auto" w:before="100"/>
        <w:ind w:right="1133"/>
        <w:jc w:val="left"/>
        <w:rPr>
          <w:b w:val="0"/>
          <w:bCs w:val="0"/>
        </w:rPr>
      </w:pP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before="0"/>
        <w:ind w:right="1133"/>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139,664,517.25</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19,981,983.07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598.95%</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54"/>
        <w:gridCol w:w="650"/>
        <w:gridCol w:w="622"/>
        <w:gridCol w:w="624"/>
        <w:gridCol w:w="622"/>
        <w:gridCol w:w="622"/>
        <w:gridCol w:w="617"/>
        <w:gridCol w:w="617"/>
        <w:gridCol w:w="620"/>
        <w:gridCol w:w="590"/>
        <w:gridCol w:w="593"/>
        <w:gridCol w:w="694"/>
        <w:gridCol w:w="689"/>
        <w:gridCol w:w="691"/>
        <w:gridCol w:w="667"/>
      </w:tblGrid>
      <w:tr>
        <w:trPr>
          <w:trHeight w:val="2275" w:hRule="exact"/>
        </w:trPr>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51" w:right="51"/>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3"/>
              <w:ind w:left="230" w:right="48"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3"/>
              <w:ind w:left="215" w:right="3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3"/>
              <w:ind w:left="215" w:right="36"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3"/>
              <w:ind w:left="216" w:right="34" w:hanging="181"/>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3"/>
              <w:ind w:left="215" w:right="35"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3"/>
              <w:ind w:left="213" w:right="31"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3"/>
              <w:ind w:left="213" w:right="34" w:hanging="181"/>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10" w:right="108"/>
              <w:jc w:val="both"/>
              <w:rPr>
                <w:rFonts w:ascii="宋体" w:hAnsi="宋体" w:cs="宋体" w:eastAsia="宋体" w:hint="default"/>
                <w:sz w:val="18"/>
                <w:szCs w:val="18"/>
              </w:rPr>
            </w:pPr>
            <w:r>
              <w:rPr>
                <w:rFonts w:ascii="宋体" w:hAnsi="宋体" w:cs="宋体" w:eastAsia="宋体" w:hint="default"/>
                <w:sz w:val="18"/>
                <w:szCs w:val="18"/>
              </w:rPr>
              <w:t>截至 资产 负债 表日 的进 展情 况</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3"/>
              <w:ind w:left="110" w:right="110"/>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3"/>
              <w:ind w:left="71" w:right="71"/>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3"/>
              <w:ind w:left="250" w:right="68" w:hanging="181"/>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60" w:right="55"/>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298"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80"/>
              <w:jc w:val="both"/>
              <w:rPr>
                <w:rFonts w:ascii="宋体" w:hAnsi="宋体" w:cs="宋体" w:eastAsia="宋体" w:hint="default"/>
                <w:sz w:val="18"/>
                <w:szCs w:val="18"/>
              </w:rPr>
            </w:pPr>
            <w:r>
              <w:rPr>
                <w:rFonts w:ascii="宋体" w:hAnsi="宋体" w:cs="宋体" w:eastAsia="宋体" w:hint="default"/>
                <w:sz w:val="18"/>
                <w:szCs w:val="18"/>
              </w:rPr>
              <w:t>福建省 闽保信 息技术 有限公</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4"/>
              <w:jc w:val="both"/>
              <w:rPr>
                <w:rFonts w:ascii="宋体" w:hAnsi="宋体" w:cs="宋体" w:eastAsia="宋体" w:hint="default"/>
                <w:sz w:val="18"/>
                <w:szCs w:val="18"/>
              </w:rPr>
            </w:pPr>
            <w:r>
              <w:rPr>
                <w:rFonts w:ascii="宋体" w:hAnsi="宋体" w:cs="宋体" w:eastAsia="宋体" w:hint="default"/>
                <w:sz w:val="18"/>
                <w:szCs w:val="18"/>
              </w:rPr>
              <w:t>信息安 全领域 软件开 发及系</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139,66</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4,517.2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71.26%</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314" w:lineRule="auto"/>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5"/>
              <w:jc w:val="left"/>
              <w:rPr>
                <w:rFonts w:ascii="宋体" w:hAnsi="宋体" w:cs="宋体" w:eastAsia="宋体" w:hint="default"/>
                <w:sz w:val="18"/>
                <w:szCs w:val="18"/>
              </w:rPr>
            </w:pPr>
            <w:r>
              <w:rPr>
                <w:rFonts w:ascii="宋体" w:hAnsi="宋体" w:cs="宋体" w:eastAsia="宋体" w:hint="default"/>
                <w:sz w:val="18"/>
                <w:szCs w:val="18"/>
              </w:rPr>
              <w:t>分级保 护业 务、软 件开发</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71.26</w:t>
            </w:r>
          </w:p>
          <w:p>
            <w:pPr>
              <w:pStyle w:val="TableParagraph"/>
              <w:spacing w:line="309" w:lineRule="auto" w:before="63"/>
              <w:ind w:left="23"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股份</w:t>
            </w:r>
            <w:r>
              <w:rPr>
                <w:rFonts w:ascii="宋体" w:hAnsi="宋体" w:cs="宋体" w:eastAsia="宋体" w:hint="default"/>
                <w:w w:val="99"/>
                <w:sz w:val="18"/>
                <w:szCs w:val="18"/>
              </w:rPr>
              <w:t> </w:t>
            </w:r>
            <w:r>
              <w:rPr>
                <w:rFonts w:ascii="宋体" w:hAnsi="宋体" w:cs="宋体" w:eastAsia="宋体" w:hint="default"/>
                <w:sz w:val="18"/>
                <w:szCs w:val="18"/>
              </w:rPr>
              <w:t>过户</w:t>
            </w:r>
            <w:r>
              <w:rPr>
                <w:rFonts w:ascii="宋体" w:hAnsi="宋体" w:cs="宋体" w:eastAsia="宋体" w:hint="default"/>
                <w:w w:val="99"/>
                <w:sz w:val="18"/>
                <w:szCs w:val="18"/>
              </w:rPr>
              <w:t> </w:t>
            </w:r>
            <w:r>
              <w:rPr>
                <w:rFonts w:ascii="宋体" w:hAnsi="宋体" w:cs="宋体" w:eastAsia="宋体" w:hint="default"/>
                <w:sz w:val="18"/>
                <w:szCs w:val="18"/>
              </w:rPr>
              <w:t>至本</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8" w:right="0"/>
              <w:jc w:val="left"/>
              <w:rPr>
                <w:rFonts w:ascii="Times New Roman" w:hAnsi="Times New Roman" w:cs="Times New Roman" w:eastAsia="Times New Roman" w:hint="default"/>
                <w:sz w:val="18"/>
                <w:szCs w:val="18"/>
              </w:rPr>
            </w:pPr>
            <w:r>
              <w:rPr>
                <w:rFonts w:ascii="Times New Roman"/>
                <w:sz w:val="18"/>
              </w:rPr>
              <w:t>15,253,6</w:t>
            </w:r>
          </w:p>
          <w:p>
            <w:pPr>
              <w:pStyle w:val="TableParagraph"/>
              <w:spacing w:line="240" w:lineRule="auto" w:before="102"/>
              <w:ind w:left="254" w:right="0"/>
              <w:jc w:val="left"/>
              <w:rPr>
                <w:rFonts w:ascii="Times New Roman" w:hAnsi="Times New Roman" w:cs="Times New Roman" w:eastAsia="Times New Roman" w:hint="default"/>
                <w:sz w:val="18"/>
                <w:szCs w:val="18"/>
              </w:rPr>
            </w:pPr>
            <w:r>
              <w:rPr>
                <w:rFonts w:ascii="Times New Roman"/>
                <w:sz w:val="18"/>
              </w:rPr>
              <w:t>57.35</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02</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1"/>
              <w:jc w:val="both"/>
              <w:rPr>
                <w:rFonts w:ascii="宋体" w:hAnsi="宋体" w:cs="宋体" w:eastAsia="宋体" w:hint="default"/>
                <w:sz w:val="18"/>
                <w:szCs w:val="18"/>
              </w:rPr>
            </w:pPr>
            <w:r>
              <w:rPr>
                <w:rFonts w:ascii="宋体" w:hAnsi="宋体" w:cs="宋体" w:eastAsia="宋体" w:hint="default"/>
                <w:sz w:val="18"/>
                <w:szCs w:val="18"/>
              </w:rPr>
              <w:t>《关于 签署股 权收购 协议的</w:t>
            </w:r>
          </w:p>
        </w:tc>
      </w:tr>
    </w:tbl>
    <w:p>
      <w:pPr>
        <w:spacing w:after="0" w:line="316" w:lineRule="auto"/>
        <w:jc w:val="both"/>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656"/>
        <w:gridCol w:w="650"/>
        <w:gridCol w:w="622"/>
        <w:gridCol w:w="624"/>
        <w:gridCol w:w="622"/>
        <w:gridCol w:w="622"/>
        <w:gridCol w:w="617"/>
        <w:gridCol w:w="617"/>
        <w:gridCol w:w="620"/>
        <w:gridCol w:w="590"/>
        <w:gridCol w:w="593"/>
        <w:gridCol w:w="694"/>
        <w:gridCol w:w="689"/>
        <w:gridCol w:w="691"/>
        <w:gridCol w:w="667"/>
      </w:tblGrid>
      <w:tr>
        <w:trPr>
          <w:trHeight w:val="1611" w:hRule="exact"/>
        </w:trPr>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0"/>
              <w:jc w:val="center"/>
              <w:rPr>
                <w:rFonts w:ascii="宋体" w:hAnsi="宋体" w:cs="宋体" w:eastAsia="宋体" w:hint="default"/>
                <w:sz w:val="18"/>
                <w:szCs w:val="18"/>
              </w:rPr>
            </w:pPr>
            <w:r>
              <w:rPr>
                <w:rFonts w:ascii="宋体" w:hAnsi="宋体" w:cs="宋体" w:eastAsia="宋体" w:hint="default"/>
                <w:sz w:val="18"/>
                <w:szCs w:val="18"/>
              </w:rPr>
              <w:t>统集成</w:t>
            </w:r>
          </w:p>
        </w:tc>
        <w:tc>
          <w:tcPr>
            <w:tcW w:w="62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45"/>
              <w:jc w:val="left"/>
              <w:rPr>
                <w:rFonts w:ascii="宋体" w:hAnsi="宋体" w:cs="宋体" w:eastAsia="宋体" w:hint="default"/>
                <w:sz w:val="18"/>
                <w:szCs w:val="18"/>
              </w:rPr>
            </w:pPr>
            <w:r>
              <w:rPr>
                <w:rFonts w:ascii="宋体" w:hAnsi="宋体" w:cs="宋体" w:eastAsia="宋体" w:hint="default"/>
                <w:sz w:val="18"/>
                <w:szCs w:val="18"/>
              </w:rPr>
              <w:t>及运维 业务</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4"/>
              <w:jc w:val="right"/>
              <w:rPr>
                <w:rFonts w:ascii="宋体" w:hAnsi="宋体" w:cs="宋体" w:eastAsia="宋体" w:hint="default"/>
                <w:sz w:val="18"/>
                <w:szCs w:val="18"/>
              </w:rPr>
            </w:pPr>
            <w:r>
              <w:rPr>
                <w:rFonts w:ascii="宋体" w:hAnsi="宋体" w:cs="宋体" w:eastAsia="宋体" w:hint="default"/>
                <w:sz w:val="18"/>
                <w:szCs w:val="18"/>
              </w:rPr>
              <w:t>公司</w:t>
            </w:r>
          </w:p>
        </w:tc>
        <w:tc>
          <w:tcPr>
            <w:tcW w:w="593"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both"/>
              <w:rPr>
                <w:rFonts w:ascii="宋体" w:hAnsi="宋体" w:cs="宋体" w:eastAsia="宋体" w:hint="default"/>
                <w:sz w:val="18"/>
                <w:szCs w:val="18"/>
              </w:rPr>
            </w:pPr>
            <w:r>
              <w:rPr>
                <w:rFonts w:ascii="宋体" w:hAnsi="宋体" w:cs="宋体" w:eastAsia="宋体" w:hint="default"/>
                <w:sz w:val="18"/>
                <w:szCs w:val="18"/>
              </w:rPr>
              <w:t>公告》</w:t>
            </w:r>
          </w:p>
          <w:p>
            <w:pPr>
              <w:pStyle w:val="TableParagraph"/>
              <w:spacing w:line="338" w:lineRule="auto" w:before="77"/>
              <w:ind w:left="24" w:right="29"/>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2019-07</w:t>
            </w:r>
          </w:p>
          <w:p>
            <w:pPr>
              <w:pStyle w:val="TableParagraph"/>
              <w:spacing w:line="230" w:lineRule="exact"/>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宋体" w:hAnsi="宋体" w:cs="宋体" w:eastAsia="宋体" w:hint="default"/>
                <w:sz w:val="18"/>
                <w:szCs w:val="18"/>
              </w:rPr>
              <w:t>）</w:t>
            </w:r>
          </w:p>
        </w:tc>
      </w:tr>
      <w:tr>
        <w:trPr>
          <w:trHeight w:val="1025" w:hRule="exact"/>
        </w:trPr>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139,66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4,517.2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8"/>
              <w:jc w:val="right"/>
              <w:rPr>
                <w:rFonts w:ascii="Times New Roman" w:hAnsi="Times New Roman" w:cs="Times New Roman" w:eastAsia="Times New Roman" w:hint="default"/>
                <w:sz w:val="18"/>
                <w:szCs w:val="18"/>
              </w:rPr>
            </w:pPr>
            <w:r>
              <w:rPr>
                <w:rFonts w:ascii="Times New Roman"/>
                <w:sz w:val="18"/>
              </w:rPr>
              <w:t>--</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15,253,6</w:t>
            </w:r>
          </w:p>
          <w:p>
            <w:pPr>
              <w:pStyle w:val="TableParagraph"/>
              <w:spacing w:line="240" w:lineRule="auto" w:before="105"/>
              <w:ind w:left="254" w:right="0"/>
              <w:jc w:val="left"/>
              <w:rPr>
                <w:rFonts w:ascii="Times New Roman" w:hAnsi="Times New Roman" w:cs="Times New Roman" w:eastAsia="Times New Roman" w:hint="default"/>
                <w:sz w:val="18"/>
                <w:szCs w:val="18"/>
              </w:rPr>
            </w:pPr>
            <w:r>
              <w:rPr>
                <w:rFonts w:ascii="Times New Roman"/>
                <w:sz w:val="18"/>
              </w:rPr>
              <w:t>57.35</w:t>
            </w:r>
          </w:p>
        </w:tc>
        <w:tc>
          <w:tcPr>
            <w:tcW w:w="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3"/>
        <w:spacing w:line="240" w:lineRule="auto" w:before="0"/>
        <w:ind w:right="1133"/>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88"/>
        <w:gridCol w:w="895"/>
        <w:gridCol w:w="1090"/>
        <w:gridCol w:w="1178"/>
        <w:gridCol w:w="1193"/>
        <w:gridCol w:w="958"/>
        <w:gridCol w:w="955"/>
        <w:gridCol w:w="956"/>
        <w:gridCol w:w="958"/>
      </w:tblGrid>
      <w:tr>
        <w:trPr>
          <w:trHeight w:val="1025"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29"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3" w:right="79" w:hanging="180"/>
              <w:jc w:val="left"/>
              <w:rPr>
                <w:rFonts w:ascii="宋体" w:hAnsi="宋体" w:cs="宋体" w:eastAsia="宋体" w:hint="default"/>
                <w:sz w:val="18"/>
                <w:szCs w:val="18"/>
              </w:rPr>
            </w:pPr>
            <w:r>
              <w:rPr>
                <w:rFonts w:ascii="宋体" w:hAnsi="宋体" w:cs="宋体" w:eastAsia="宋体" w:hint="default"/>
                <w:sz w:val="18"/>
                <w:szCs w:val="18"/>
              </w:rPr>
              <w:t>初始投资 成本</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8" w:right="89"/>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5" w:right="41"/>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12" w:right="48" w:hanging="360"/>
              <w:jc w:val="left"/>
              <w:rPr>
                <w:rFonts w:ascii="宋体" w:hAnsi="宋体" w:cs="宋体" w:eastAsia="宋体" w:hint="default"/>
                <w:sz w:val="18"/>
                <w:szCs w:val="18"/>
              </w:rPr>
            </w:pPr>
            <w:r>
              <w:rPr>
                <w:rFonts w:ascii="宋体" w:hAnsi="宋体" w:cs="宋体" w:eastAsia="宋体" w:hint="default"/>
                <w:sz w:val="18"/>
                <w:szCs w:val="18"/>
              </w:rPr>
              <w:t>报告期内购入 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03" w:right="23"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83" w:right="19" w:hanging="360"/>
              <w:jc w:val="left"/>
              <w:rPr>
                <w:rFonts w:ascii="宋体" w:hAnsi="宋体" w:cs="宋体" w:eastAsia="宋体" w:hint="default"/>
                <w:sz w:val="18"/>
                <w:szCs w:val="18"/>
              </w:rPr>
            </w:pPr>
            <w:r>
              <w:rPr>
                <w:rFonts w:ascii="宋体" w:hAnsi="宋体" w:cs="宋体" w:eastAsia="宋体" w:hint="default"/>
                <w:sz w:val="18"/>
                <w:szCs w:val="18"/>
              </w:rPr>
              <w:t>累计投资收 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3"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2"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715"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33,056,023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.74</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-1,050,162.27</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32,005,861.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1"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金融衍生工具</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74,812.50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-74,812.50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0" w:right="0"/>
              <w:jc w:val="left"/>
              <w:rPr>
                <w:rFonts w:ascii="Times New Roman" w:hAnsi="Times New Roman" w:cs="Times New Roman" w:eastAsia="Times New Roman" w:hint="default"/>
                <w:sz w:val="18"/>
                <w:szCs w:val="18"/>
              </w:rPr>
            </w:pPr>
            <w:r>
              <w:rPr>
                <w:rFonts w:ascii="Times New Roman"/>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716"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33,130,836</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.24</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-1,124,974.77</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32,005,861.</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47</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3"/>
        <w:rPr>
          <w:rFonts w:ascii="宋体" w:hAnsi="宋体" w:cs="宋体" w:eastAsia="宋体" w:hint="default"/>
          <w:sz w:val="25"/>
          <w:szCs w:val="25"/>
        </w:rPr>
      </w:pPr>
    </w:p>
    <w:p>
      <w:pPr>
        <w:pStyle w:val="Heading3"/>
        <w:spacing w:line="240" w:lineRule="auto" w:before="0"/>
        <w:ind w:right="1133"/>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7"/>
        <w:gridCol w:w="862"/>
        <w:gridCol w:w="878"/>
        <w:gridCol w:w="869"/>
        <w:gridCol w:w="871"/>
        <w:gridCol w:w="869"/>
        <w:gridCol w:w="869"/>
        <w:gridCol w:w="871"/>
        <w:gridCol w:w="869"/>
        <w:gridCol w:w="871"/>
        <w:gridCol w:w="869"/>
      </w:tblGrid>
      <w:tr>
        <w:trPr>
          <w:trHeight w:val="1339"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7"/>
              <w:ind w:left="256" w:right="71"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0"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69"/>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1" w:right="67"/>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2" w:right="67"/>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298"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IPO</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19,069.93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343" w:right="0"/>
              <w:jc w:val="left"/>
              <w:rPr>
                <w:rFonts w:ascii="Times New Roman" w:hAnsi="Times New Roman" w:cs="Times New Roman" w:eastAsia="Times New Roman" w:hint="default"/>
                <w:sz w:val="18"/>
                <w:szCs w:val="18"/>
              </w:rPr>
            </w:pPr>
            <w:r>
              <w:rPr>
                <w:rFonts w:ascii="Times New Roman"/>
                <w:sz w:val="18"/>
              </w:rPr>
              <w:t>541.65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8,044.54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374" w:right="0"/>
              <w:jc w:val="lef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5,222.71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13"/>
              <w:jc w:val="both"/>
              <w:rPr>
                <w:rFonts w:ascii="宋体" w:hAnsi="宋体" w:cs="宋体" w:eastAsia="宋体" w:hint="default"/>
                <w:sz w:val="18"/>
                <w:szCs w:val="18"/>
              </w:rPr>
            </w:pPr>
            <w:r>
              <w:rPr>
                <w:rFonts w:ascii="宋体" w:hAnsi="宋体" w:cs="宋体" w:eastAsia="宋体" w:hint="default"/>
                <w:sz w:val="18"/>
                <w:szCs w:val="18"/>
              </w:rPr>
              <w:t>暂存于募 集资金专 用账户及 进行现金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4,077.81</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67"/>
        <w:gridCol w:w="862"/>
        <w:gridCol w:w="878"/>
        <w:gridCol w:w="869"/>
        <w:gridCol w:w="871"/>
        <w:gridCol w:w="869"/>
        <w:gridCol w:w="869"/>
        <w:gridCol w:w="871"/>
        <w:gridCol w:w="869"/>
        <w:gridCol w:w="871"/>
        <w:gridCol w:w="869"/>
      </w:tblGrid>
      <w:tr>
        <w:trPr>
          <w:trHeight w:val="362" w:hRule="exact"/>
        </w:trPr>
        <w:tc>
          <w:tcPr>
            <w:tcW w:w="867"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管理</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7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20" w:right="0"/>
              <w:jc w:val="left"/>
              <w:rPr>
                <w:rFonts w:ascii="Times New Roman" w:hAnsi="Times New Roman" w:cs="Times New Roman" w:eastAsia="Times New Roman" w:hint="default"/>
                <w:sz w:val="18"/>
                <w:szCs w:val="18"/>
              </w:rPr>
            </w:pPr>
            <w:r>
              <w:rPr>
                <w:rFonts w:ascii="Times New Roman"/>
                <w:sz w:val="18"/>
              </w:rPr>
              <w:t>19,069.93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3" w:right="0"/>
              <w:jc w:val="left"/>
              <w:rPr>
                <w:rFonts w:ascii="Times New Roman" w:hAnsi="Times New Roman" w:cs="Times New Roman" w:eastAsia="Times New Roman" w:hint="default"/>
                <w:sz w:val="18"/>
                <w:szCs w:val="18"/>
              </w:rPr>
            </w:pPr>
            <w:r>
              <w:rPr>
                <w:rFonts w:ascii="Times New Roman"/>
                <w:sz w:val="18"/>
              </w:rPr>
              <w:t>541.65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 w:right="0"/>
              <w:jc w:val="left"/>
              <w:rPr>
                <w:rFonts w:ascii="Times New Roman" w:hAnsi="Times New Roman" w:cs="Times New Roman" w:eastAsia="Times New Roman" w:hint="default"/>
                <w:sz w:val="18"/>
                <w:szCs w:val="18"/>
              </w:rPr>
            </w:pPr>
            <w:r>
              <w:rPr>
                <w:rFonts w:ascii="Times New Roman"/>
                <w:sz w:val="18"/>
              </w:rPr>
              <w:t>8,044.54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4" w:right="0"/>
              <w:jc w:val="lef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left="206" w:right="0"/>
              <w:jc w:val="left"/>
              <w:rPr>
                <w:rFonts w:ascii="Times New Roman" w:hAnsi="Times New Roman" w:cs="Times New Roman" w:eastAsia="Times New Roman" w:hint="default"/>
                <w:sz w:val="18"/>
                <w:szCs w:val="18"/>
              </w:rPr>
            </w:pPr>
            <w:r>
              <w:rPr>
                <w:rFonts w:ascii="Times New Roman"/>
                <w:sz w:val="18"/>
              </w:rPr>
              <w:t>5,222.71</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95" w:right="0"/>
              <w:jc w:val="left"/>
              <w:rPr>
                <w:rFonts w:ascii="Times New Roman" w:hAnsi="Times New Roman" w:cs="Times New Roman" w:eastAsia="Times New Roman" w:hint="default"/>
                <w:sz w:val="18"/>
                <w:szCs w:val="18"/>
              </w:rPr>
            </w:pPr>
            <w:r>
              <w:rPr>
                <w:rFonts w:ascii="Times New Roman"/>
                <w:sz w:val="18"/>
              </w:rPr>
              <w:t>4,077.81</w:t>
            </w:r>
          </w:p>
        </w:tc>
      </w:tr>
      <w:tr>
        <w:trPr>
          <w:trHeight w:val="403"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5242"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7" w:firstLine="362"/>
              <w:jc w:val="both"/>
              <w:rPr>
                <w:rFonts w:ascii="宋体" w:hAnsi="宋体" w:cs="宋体" w:eastAsia="宋体" w:hint="default"/>
                <w:sz w:val="18"/>
                <w:szCs w:val="18"/>
              </w:rPr>
            </w:pPr>
            <w:r>
              <w:rPr>
                <w:rFonts w:ascii="宋体" w:hAnsi="宋体" w:cs="宋体" w:eastAsia="宋体" w:hint="default"/>
                <w:sz w:val="18"/>
                <w:szCs w:val="18"/>
              </w:rPr>
              <w:t>根据中国证券监督管理委员会</w:t>
            </w:r>
            <w:r>
              <w:rPr>
                <w:rFonts w:ascii="Times New Roman" w:hAnsi="Times New Roman" w:cs="Times New Roman" w:eastAsia="Times New Roman" w:hint="default"/>
                <w:sz w:val="18"/>
                <w:szCs w:val="18"/>
              </w:rPr>
              <w:t>“</w:t>
            </w: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[2016]1549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《关于核准苏州恒久光电科技股份有限公司首次公开发行股票 的批复》核准，本公司向社会公开发行人民币普通股（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30,000,000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股，每股面值</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元，溢价发行，发行价格为每股 </w:t>
            </w:r>
            <w:r>
              <w:rPr>
                <w:rFonts w:ascii="Times New Roman" w:hAnsi="Times New Roman" w:cs="Times New Roman" w:eastAsia="Times New Roman" w:hint="default"/>
                <w:sz w:val="18"/>
                <w:szCs w:val="18"/>
              </w:rPr>
              <w:t>7.71</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元，募集资金总额为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231,300,000.00</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元，扣除支付的发行费用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40,600,700.00</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元后，实际募集资金净额为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190,699,300.00 </w:t>
            </w:r>
            <w:r>
              <w:rPr>
                <w:rFonts w:ascii="宋体" w:hAnsi="宋体" w:cs="宋体" w:eastAsia="宋体" w:hint="default"/>
                <w:sz w:val="18"/>
                <w:szCs w:val="18"/>
              </w:rPr>
              <w:t>元。</w:t>
            </w:r>
          </w:p>
          <w:p>
            <w:pPr>
              <w:pStyle w:val="TableParagraph"/>
              <w:spacing w:line="240" w:lineRule="auto" w:before="70"/>
              <w:ind w:left="38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年度扣除累计已使</w:t>
            </w:r>
            <w:r>
              <w:rPr>
                <w:rFonts w:ascii="宋体" w:hAnsi="宋体" w:cs="宋体" w:eastAsia="宋体" w:hint="default"/>
                <w:spacing w:val="-3"/>
                <w:sz w:val="18"/>
                <w:szCs w:val="18"/>
              </w:rPr>
              <w:t>用</w:t>
            </w:r>
            <w:r>
              <w:rPr>
                <w:rFonts w:ascii="宋体" w:hAnsi="宋体" w:cs="宋体" w:eastAsia="宋体" w:hint="default"/>
                <w:sz w:val="18"/>
                <w:szCs w:val="18"/>
              </w:rPr>
              <w:t>募集资金</w:t>
            </w:r>
            <w:r>
              <w:rPr>
                <w:rFonts w:ascii="宋体" w:hAnsi="宋体" w:cs="宋体" w:eastAsia="宋体" w:hint="default"/>
                <w:spacing w:val="-54"/>
                <w:sz w:val="18"/>
                <w:szCs w:val="18"/>
              </w:rPr>
              <w:t> </w:t>
            </w:r>
            <w:r>
              <w:rPr>
                <w:rFonts w:ascii="Times New Roman" w:hAnsi="Times New Roman" w:cs="Times New Roman" w:eastAsia="Times New Roman" w:hint="default"/>
                <w:spacing w:val="1"/>
                <w:sz w:val="18"/>
                <w:szCs w:val="18"/>
              </w:rPr>
              <w:t>35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87</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w:t>
            </w:r>
            <w:r>
              <w:rPr>
                <w:rFonts w:ascii="宋体" w:hAnsi="宋体" w:cs="宋体" w:eastAsia="宋体" w:hint="default"/>
                <w:spacing w:val="-92"/>
                <w:sz w:val="18"/>
                <w:szCs w:val="18"/>
              </w:rPr>
              <w:t>，</w:t>
            </w:r>
            <w:r>
              <w:rPr>
                <w:rFonts w:ascii="宋体" w:hAnsi="宋体" w:cs="宋体" w:eastAsia="宋体" w:hint="default"/>
                <w:sz w:val="18"/>
                <w:szCs w:val="18"/>
              </w:rPr>
              <w:t>扣除手续费支出</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1  </w:t>
            </w:r>
            <w:r>
              <w:rPr>
                <w:rFonts w:ascii="宋体" w:hAnsi="宋体" w:cs="宋体" w:eastAsia="宋体" w:hint="default"/>
                <w:sz w:val="18"/>
                <w:szCs w:val="18"/>
              </w:rPr>
              <w:t>元</w:t>
            </w:r>
            <w:r>
              <w:rPr>
                <w:rFonts w:ascii="宋体" w:hAnsi="宋体" w:cs="宋体" w:eastAsia="宋体" w:hint="default"/>
                <w:spacing w:val="-92"/>
                <w:sz w:val="18"/>
                <w:szCs w:val="18"/>
              </w:rPr>
              <w:t>，</w:t>
            </w:r>
            <w:r>
              <w:rPr>
                <w:rFonts w:ascii="宋体" w:hAnsi="宋体" w:cs="宋体" w:eastAsia="宋体" w:hint="default"/>
                <w:sz w:val="18"/>
                <w:szCs w:val="18"/>
              </w:rPr>
              <w:t>加上收到的存款利息收入</w:t>
            </w:r>
            <w:r>
              <w:rPr>
                <w:rFonts w:ascii="宋体" w:hAnsi="宋体" w:cs="宋体" w:eastAsia="宋体" w:hint="default"/>
                <w:spacing w:val="-54"/>
                <w:sz w:val="18"/>
                <w:szCs w:val="18"/>
              </w:rPr>
              <w:t> </w:t>
            </w:r>
            <w:r>
              <w:rPr>
                <w:rFonts w:ascii="Times New Roman" w:hAnsi="Times New Roman" w:cs="Times New Roman" w:eastAsia="Times New Roman" w:hint="default"/>
                <w:spacing w:val="1"/>
                <w:sz w:val="18"/>
                <w:szCs w:val="18"/>
              </w:rPr>
              <w:t>484</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元，加上理财产品收益</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206,136.99</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元，截止</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日尚未使用的募集资金余额为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155,432,094.44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103"/>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年，公司募集资金投资激光有机光导鼓扩建项目新增支出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29,997,570.00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元，投资有机光电工程技术中心建设项</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目支出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18,900.00</w:t>
            </w:r>
            <w:r>
              <w:rPr>
                <w:rFonts w:ascii="Times New Roman" w:hAnsi="Times New Roman" w:cs="Times New Roman" w:eastAsia="Times New Roman" w:hint="default"/>
                <w:spacing w:val="2"/>
                <w:sz w:val="18"/>
                <w:szCs w:val="18"/>
              </w:rPr>
              <w:t> </w:t>
            </w:r>
            <w:r>
              <w:rPr>
                <w:rFonts w:ascii="宋体" w:hAnsi="宋体" w:cs="宋体" w:eastAsia="宋体" w:hint="default"/>
                <w:spacing w:val="-9"/>
                <w:sz w:val="18"/>
                <w:szCs w:val="18"/>
              </w:rPr>
              <w:t>元，扣除手续费支出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2,791.90</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元，加上收到的存款利息收入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351,785.13</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元，加上理财产品收益</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4,212,231.88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元，截止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日，公司募集资金余额应为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129,976,849.55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104"/>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年度，根据</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年第一次临时股东大会决议，公司激光有机光导鼓扩建项目结项，并自该项目的苏州恒久募集</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资金账户及理财产品专用结算账户转出节余募集资金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67</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32</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元用于永久补充流动</w:t>
            </w:r>
            <w:r>
              <w:rPr>
                <w:rFonts w:ascii="宋体" w:hAnsi="宋体" w:cs="宋体" w:eastAsia="宋体" w:hint="default"/>
                <w:spacing w:val="-3"/>
                <w:sz w:val="18"/>
                <w:szCs w:val="18"/>
              </w:rPr>
              <w:t>资</w:t>
            </w:r>
            <w:r>
              <w:rPr>
                <w:rFonts w:ascii="宋体" w:hAnsi="宋体" w:cs="宋体" w:eastAsia="宋体" w:hint="default"/>
                <w:sz w:val="18"/>
                <w:szCs w:val="18"/>
              </w:rPr>
              <w:t>金</w:t>
            </w:r>
            <w:r>
              <w:rPr>
                <w:rFonts w:ascii="宋体" w:hAnsi="宋体" w:cs="宋体" w:eastAsia="宋体" w:hint="default"/>
                <w:spacing w:val="-77"/>
                <w:sz w:val="18"/>
                <w:szCs w:val="18"/>
              </w:rPr>
              <w:t>，</w:t>
            </w:r>
            <w:r>
              <w:rPr>
                <w:rFonts w:ascii="宋体" w:hAnsi="宋体" w:cs="宋体" w:eastAsia="宋体" w:hint="default"/>
                <w:sz w:val="18"/>
                <w:szCs w:val="18"/>
              </w:rPr>
              <w:t>并继续使用实施该项目的吴</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中恒久募集资金账户支付项目尾款</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9,055,285.71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元，扣除手续费支出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1,584.50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元，加上收到的存款利息</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176,943.41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元，加</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上理财收益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1,801,938.47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日，公司尚未使用的募集资金余额为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55,858,540.21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101"/>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年度，公司使用募集资金投资激光有机光导鼓扩建项目新增支出</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5,383,291.27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元，投资有机光电工程技术中心建</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设项目支出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33,220.00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元，扣除手续费支出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932.50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元，加上收到的存款利息收入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588,732.56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元，加上理财产品收益</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1,197,246.61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日，公司尚未使用的募集资金余额为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52,227,075.61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单位：万元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68"/>
        <w:gridCol w:w="782"/>
        <w:gridCol w:w="781"/>
        <w:gridCol w:w="780"/>
        <w:gridCol w:w="780"/>
        <w:gridCol w:w="780"/>
        <w:gridCol w:w="780"/>
        <w:gridCol w:w="780"/>
        <w:gridCol w:w="781"/>
        <w:gridCol w:w="780"/>
        <w:gridCol w:w="780"/>
      </w:tblGrid>
      <w:tr>
        <w:trPr>
          <w:trHeight w:val="1339" w:hRule="exact"/>
        </w:trPr>
        <w:tc>
          <w:tcPr>
            <w:tcW w:w="1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21" w:right="66"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8"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49"/>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1"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7" w:hRule="exact"/>
        </w:trPr>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3"/>
              <w:jc w:val="left"/>
              <w:rPr>
                <w:rFonts w:ascii="宋体" w:hAnsi="宋体" w:cs="宋体" w:eastAsia="宋体" w:hint="default"/>
                <w:sz w:val="18"/>
                <w:szCs w:val="18"/>
              </w:rPr>
            </w:pPr>
            <w:r>
              <w:rPr>
                <w:rFonts w:ascii="宋体" w:hAnsi="宋体" w:cs="宋体" w:eastAsia="宋体" w:hint="default"/>
                <w:sz w:val="18"/>
                <w:szCs w:val="18"/>
              </w:rPr>
              <w:t>激光有机光导鼓扩建 项目</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14,992.1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8,669.09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538.33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8,039.33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92.74%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171.77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113"/>
              <w:jc w:val="left"/>
              <w:rPr>
                <w:rFonts w:ascii="宋体" w:hAnsi="宋体" w:cs="宋体" w:eastAsia="宋体" w:hint="default"/>
                <w:sz w:val="18"/>
                <w:szCs w:val="18"/>
              </w:rPr>
            </w:pPr>
            <w:r>
              <w:rPr>
                <w:rFonts w:ascii="宋体" w:hAnsi="宋体" w:cs="宋体" w:eastAsia="宋体" w:hint="default"/>
                <w:sz w:val="18"/>
                <w:szCs w:val="18"/>
              </w:rPr>
              <w:t>有机光电工程技术中 心建设项目</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4,083.02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4,083.02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5.21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19,075.12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12,752.11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541.65</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w w:val="95"/>
                <w:sz w:val="18"/>
              </w:rPr>
              <w:t>8,044.54</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171.77</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1" w:hRule="exact"/>
        </w:trPr>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2"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19,075.12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12,752.11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541.65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8,044.54</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26"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171.77</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23"/>
              <w:jc w:val="right"/>
              <w:rPr>
                <w:rFonts w:ascii="Times New Roman" w:hAnsi="Times New Roman" w:cs="Times New Roman" w:eastAsia="Times New Roman" w:hint="default"/>
                <w:sz w:val="18"/>
                <w:szCs w:val="18"/>
              </w:rPr>
            </w:pPr>
            <w:r>
              <w:rPr>
                <w:rFonts w:ascii="Times New Roman"/>
                <w:sz w:val="18"/>
              </w:rPr>
              <w:t>--</w:t>
            </w:r>
          </w:p>
        </w:tc>
      </w:tr>
      <w:tr>
        <w:trPr>
          <w:trHeight w:val="362" w:hRule="exact"/>
        </w:trPr>
        <w:tc>
          <w:tcPr>
            <w:tcW w:w="1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未达到计划进度或预</w:t>
            </w:r>
          </w:p>
        </w:tc>
        <w:tc>
          <w:tcPr>
            <w:tcW w:w="7803"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、公司有机光导鼓扩建项目所建设的四条生产线于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月全部达到预定可使用状态。</w:t>
            </w:r>
            <w:r>
              <w:rPr>
                <w:rFonts w:ascii="Times New Roman" w:hAnsi="Times New Roman" w:cs="Times New Roman" w:eastAsia="Times New Roman" w:hint="default"/>
                <w:sz w:val="18"/>
                <w:szCs w:val="18"/>
              </w:rPr>
              <w:t>2019</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91.2pt;mso-position-horizontal-relative:page;mso-position-vertical-relative:page;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9"/>
                  </w:tblGrid>
                  <w:tr>
                    <w:trPr>
                      <w:trHeight w:val="4811" w:hRule="exact"/>
                    </w:trPr>
                    <w:tc>
                      <w:tcPr>
                        <w:tcW w:w="1770"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计收益的情况和原因</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9" w:type="dxa"/>
                        <w:tcBorders>
                          <w:top w:val="single" w:sz="4" w:space="0" w:color="000000"/>
                          <w:left w:val="single" w:sz="4" w:space="0" w:color="000000"/>
                          <w:bottom w:val="single" w:sz="4" w:space="0" w:color="FFFFFF"/>
                          <w:right w:val="single" w:sz="4" w:space="0" w:color="000000"/>
                        </w:tcBorders>
                      </w:tcPr>
                      <w:p>
                        <w:pPr>
                          <w:pStyle w:val="TableParagraph"/>
                          <w:spacing w:line="319" w:lineRule="auto" w:before="8"/>
                          <w:ind w:left="24" w:right="23"/>
                          <w:jc w:val="left"/>
                          <w:rPr>
                            <w:rFonts w:ascii="宋体" w:hAnsi="宋体" w:cs="宋体" w:eastAsia="宋体" w:hint="default"/>
                            <w:sz w:val="18"/>
                            <w:szCs w:val="18"/>
                          </w:rPr>
                        </w:pPr>
                        <w:r>
                          <w:rPr>
                            <w:rFonts w:ascii="宋体" w:hAnsi="宋体" w:cs="宋体" w:eastAsia="宋体" w:hint="default"/>
                            <w:sz w:val="18"/>
                            <w:szCs w:val="18"/>
                          </w:rPr>
                          <w:t>年度因市场竞争加剧，产品的销量与销售单价较预测时有所下降，是项目未能达到预计效益的主要 原因。</w:t>
                        </w:r>
                      </w:p>
                      <w:p>
                        <w:pPr>
                          <w:pStyle w:val="TableParagraph"/>
                          <w:spacing w:line="304" w:lineRule="auto" w:before="98"/>
                          <w:ind w:left="24" w:right="1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、募投项目</w:t>
                        </w:r>
                        <w:r>
                          <w:rPr>
                            <w:rFonts w:ascii="Times New Roman" w:hAnsi="Times New Roman" w:cs="Times New Roman" w:eastAsia="Times New Roman" w:hint="default"/>
                            <w:sz w:val="18"/>
                            <w:szCs w:val="18"/>
                          </w:rPr>
                          <w:t>“</w:t>
                        </w:r>
                        <w:r>
                          <w:rPr>
                            <w:rFonts w:ascii="宋体" w:hAnsi="宋体" w:cs="宋体" w:eastAsia="宋体" w:hint="default"/>
                            <w:sz w:val="18"/>
                            <w:szCs w:val="18"/>
                          </w:rPr>
                          <w:t>有机光电工程技术中心建设项目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原拟在吴中恒久位于苏州市吴中区越溪北官渡路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号的厂区内的编号为</w:t>
                        </w:r>
                        <w:r>
                          <w:rPr>
                            <w:rFonts w:ascii="Times New Roman" w:hAnsi="Times New Roman" w:cs="Times New Roman" w:eastAsia="Times New Roman" w:hint="default"/>
                            <w:sz w:val="18"/>
                            <w:szCs w:val="18"/>
                          </w:rPr>
                          <w:t>“</w:t>
                        </w:r>
                        <w:r>
                          <w:rPr>
                            <w:rFonts w:ascii="宋体" w:hAnsi="宋体" w:cs="宋体" w:eastAsia="宋体" w:hint="default"/>
                            <w:sz w:val="18"/>
                            <w:szCs w:val="18"/>
                          </w:rPr>
                          <w:t>吴国用（</w:t>
                        </w:r>
                        <w:r>
                          <w:rPr>
                            <w:rFonts w:ascii="Times New Roman" w:hAnsi="Times New Roman" w:cs="Times New Roman" w:eastAsia="Times New Roman" w:hint="default"/>
                            <w:sz w:val="18"/>
                            <w:szCs w:val="18"/>
                          </w:rPr>
                          <w:t>2010</w:t>
                        </w:r>
                        <w:r>
                          <w:rPr>
                            <w:rFonts w:ascii="宋体" w:hAnsi="宋体" w:cs="宋体" w:eastAsia="宋体" w:hint="default"/>
                            <w:sz w:val="18"/>
                            <w:szCs w:val="18"/>
                          </w:rPr>
                          <w:t>）第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06100228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土地（以下简称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地块</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）实施新建研发大楼 </w:t>
                        </w:r>
                        <w:r>
                          <w:rPr>
                            <w:rFonts w:ascii="宋体" w:hAnsi="宋体" w:cs="宋体" w:eastAsia="宋体" w:hint="default"/>
                            <w:spacing w:val="-4"/>
                            <w:sz w:val="18"/>
                            <w:szCs w:val="18"/>
                          </w:rPr>
                          <w:t>及相关配套建筑的建设工作。</w:t>
                        </w:r>
                        <w:r>
                          <w:rPr>
                            <w:rFonts w:ascii="Times New Roman" w:hAnsi="Times New Roman" w:cs="Times New Roman" w:eastAsia="Times New Roman" w:hint="default"/>
                            <w:spacing w:val="-4"/>
                            <w:sz w:val="18"/>
                            <w:szCs w:val="18"/>
                          </w:rPr>
                          <w:t>2016</w:t>
                        </w:r>
                        <w:r>
                          <w:rPr>
                            <w:rFonts w:ascii="Times New Roman" w:hAnsi="Times New Roman" w:cs="Times New Roman" w:eastAsia="Times New Roman" w:hint="default"/>
                            <w:spacing w:val="12"/>
                            <w:sz w:val="18"/>
                            <w:szCs w:val="18"/>
                          </w:rPr>
                          <w:t> </w:t>
                        </w:r>
                        <w:r>
                          <w:rPr>
                            <w:rFonts w:ascii="宋体" w:hAnsi="宋体" w:cs="宋体" w:eastAsia="宋体" w:hint="default"/>
                            <w:spacing w:val="-8"/>
                            <w:sz w:val="18"/>
                            <w:szCs w:val="18"/>
                          </w:rPr>
                          <w:t>年，吴中恒久新取得编号为</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苏（</w:t>
                        </w:r>
                        <w:r>
                          <w:rPr>
                            <w:rFonts w:ascii="Times New Roman" w:hAnsi="Times New Roman" w:cs="Times New Roman" w:eastAsia="Times New Roman" w:hint="default"/>
                            <w:spacing w:val="-8"/>
                            <w:sz w:val="18"/>
                            <w:szCs w:val="18"/>
                          </w:rPr>
                          <w:t>2016</w:t>
                        </w:r>
                        <w:r>
                          <w:rPr>
                            <w:rFonts w:ascii="宋体" w:hAnsi="宋体" w:cs="宋体" w:eastAsia="宋体" w:hint="default"/>
                            <w:spacing w:val="-8"/>
                            <w:sz w:val="18"/>
                            <w:szCs w:val="18"/>
                          </w:rPr>
                          <w:t>）苏州市不动产权第</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6054576</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宋体" w:hAnsi="宋体" w:cs="宋体" w:eastAsia="宋体" w:hint="default"/>
                            <w:spacing w:val="-2"/>
                            <w:w w:val="100"/>
                            <w:sz w:val="18"/>
                            <w:szCs w:val="18"/>
                          </w:rPr>
                          <w:t>号</w:t>
                        </w:r>
                        <w:r>
                          <w:rPr>
                            <w:rFonts w:ascii="Times New Roman" w:hAnsi="Times New Roman" w:cs="Times New Roman" w:eastAsia="Times New Roman" w:hint="default"/>
                            <w:spacing w:val="-2"/>
                            <w:w w:val="100"/>
                            <w:sz w:val="18"/>
                            <w:szCs w:val="18"/>
                          </w:rPr>
                          <w:t>”</w:t>
                        </w:r>
                        <w:r>
                          <w:rPr>
                            <w:rFonts w:ascii="宋体" w:hAnsi="宋体" w:cs="宋体" w:eastAsia="宋体" w:hint="default"/>
                            <w:spacing w:val="-2"/>
                            <w:w w:val="100"/>
                            <w:sz w:val="18"/>
                            <w:szCs w:val="18"/>
                          </w:rPr>
                          <w:t>的不动产权证书（以下简称</w:t>
                        </w:r>
                        <w:r>
                          <w:rPr>
                            <w:rFonts w:ascii="Times New Roman" w:hAnsi="Times New Roman" w:cs="Times New Roman" w:eastAsia="Times New Roman" w:hint="default"/>
                            <w:spacing w:val="-2"/>
                            <w:w w:val="100"/>
                            <w:sz w:val="18"/>
                            <w:szCs w:val="18"/>
                          </w:rPr>
                          <w:t>“</w:t>
                        </w:r>
                        <w:r>
                          <w:rPr>
                            <w:rFonts w:ascii="宋体" w:hAnsi="宋体" w:cs="宋体" w:eastAsia="宋体" w:hint="default"/>
                            <w:spacing w:val="-2"/>
                            <w:w w:val="100"/>
                            <w:sz w:val="18"/>
                            <w:szCs w:val="18"/>
                          </w:rPr>
                          <w:t>地块</w:t>
                        </w:r>
                        <w:r>
                          <w:rPr>
                            <w:rFonts w:ascii="宋体" w:hAnsi="宋体" w:cs="宋体" w:eastAsia="宋体" w:hint="default"/>
                            <w:spacing w:val="-42"/>
                            <w:w w:val="100"/>
                            <w:sz w:val="18"/>
                            <w:szCs w:val="18"/>
                          </w:rPr>
                          <w:t> </w:t>
                        </w:r>
                        <w:r>
                          <w:rPr>
                            <w:rFonts w:ascii="Times New Roman" w:hAnsi="Times New Roman" w:cs="Times New Roman" w:eastAsia="Times New Roman" w:hint="default"/>
                            <w:spacing w:val="-15"/>
                            <w:w w:val="100"/>
                            <w:sz w:val="18"/>
                            <w:szCs w:val="18"/>
                          </w:rPr>
                          <w:t>2”</w:t>
                        </w:r>
                        <w:r>
                          <w:rPr>
                            <w:rFonts w:ascii="宋体" w:hAnsi="宋体" w:cs="宋体" w:eastAsia="宋体" w:hint="default"/>
                            <w:spacing w:val="-15"/>
                            <w:w w:val="100"/>
                            <w:sz w:val="18"/>
                            <w:szCs w:val="18"/>
                          </w:rPr>
                          <w:t>），该</w:t>
                        </w:r>
                        <w:r>
                          <w:rPr>
                            <w:rFonts w:ascii="Times New Roman" w:hAnsi="Times New Roman" w:cs="Times New Roman" w:eastAsia="Times New Roman" w:hint="default"/>
                            <w:spacing w:val="-15"/>
                            <w:w w:val="100"/>
                            <w:sz w:val="18"/>
                            <w:szCs w:val="18"/>
                          </w:rPr>
                          <w:t>“</w:t>
                        </w:r>
                        <w:r>
                          <w:rPr>
                            <w:rFonts w:ascii="宋体" w:hAnsi="宋体" w:cs="宋体" w:eastAsia="宋体" w:hint="default"/>
                            <w:spacing w:val="-15"/>
                            <w:w w:val="100"/>
                            <w:sz w:val="18"/>
                            <w:szCs w:val="18"/>
                          </w:rPr>
                          <w:t>地块</w:t>
                        </w:r>
                        <w:r>
                          <w:rPr>
                            <w:rFonts w:ascii="宋体" w:hAnsi="宋体" w:cs="宋体" w:eastAsia="宋体" w:hint="default"/>
                            <w:spacing w:val="-42"/>
                            <w:w w:val="100"/>
                            <w:sz w:val="18"/>
                            <w:szCs w:val="18"/>
                          </w:rPr>
                          <w:t> </w:t>
                        </w:r>
                        <w:r>
                          <w:rPr>
                            <w:rFonts w:ascii="Times New Roman" w:hAnsi="Times New Roman" w:cs="Times New Roman" w:eastAsia="Times New Roman" w:hint="default"/>
                            <w:w w:val="100"/>
                            <w:sz w:val="18"/>
                            <w:szCs w:val="18"/>
                          </w:rPr>
                          <w:t>2”</w:t>
                        </w:r>
                        <w:r>
                          <w:rPr>
                            <w:rFonts w:ascii="宋体" w:hAnsi="宋体" w:cs="宋体" w:eastAsia="宋体" w:hint="default"/>
                            <w:w w:val="100"/>
                            <w:sz w:val="18"/>
                            <w:szCs w:val="18"/>
                          </w:rPr>
                          <w:t>的地址仍为苏州市吴中区越溪北官渡路</w:t>
                        </w:r>
                        <w:r>
                          <w:rPr>
                            <w:rFonts w:ascii="宋体" w:hAnsi="宋体" w:cs="宋体" w:eastAsia="宋体" w:hint="default"/>
                            <w:spacing w:val="-41"/>
                            <w:w w:val="100"/>
                            <w:sz w:val="18"/>
                            <w:szCs w:val="18"/>
                          </w:rPr>
                          <w:t> </w:t>
                        </w:r>
                        <w:r>
                          <w:rPr>
                            <w:rFonts w:ascii="Times New Roman" w:hAnsi="Times New Roman" w:cs="Times New Roman" w:eastAsia="Times New Roman" w:hint="default"/>
                            <w:sz w:val="18"/>
                            <w:szCs w:val="18"/>
                          </w:rPr>
                          <w:t>89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r>
                          <w:rPr>
                            <w:rFonts w:ascii="宋体" w:hAnsi="宋体" w:cs="宋体" w:eastAsia="宋体" w:hint="default"/>
                            <w:spacing w:val="-82"/>
                            <w:sz w:val="18"/>
                            <w:szCs w:val="18"/>
                          </w:rPr>
                          <w:t> </w:t>
                        </w:r>
                        <w:r>
                          <w:rPr>
                            <w:rFonts w:ascii="宋体" w:hAnsi="宋体" w:cs="宋体" w:eastAsia="宋体" w:hint="default"/>
                            <w:sz w:val="18"/>
                            <w:szCs w:val="18"/>
                          </w:rPr>
                          <w:t>与</w:t>
                        </w:r>
                        <w:r>
                          <w:rPr>
                            <w:rFonts w:ascii="Times New Roman" w:hAnsi="Times New Roman" w:cs="Times New Roman" w:eastAsia="Times New Roman" w:hint="default"/>
                            <w:sz w:val="18"/>
                            <w:szCs w:val="18"/>
                          </w:rPr>
                          <w:t>“</w:t>
                        </w:r>
                        <w:r>
                          <w:rPr>
                            <w:rFonts w:ascii="宋体" w:hAnsi="宋体" w:cs="宋体" w:eastAsia="宋体" w:hint="default"/>
                            <w:sz w:val="18"/>
                            <w:szCs w:val="18"/>
                          </w:rPr>
                          <w:t>地块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为相邻地块。该两地块为吴中恒久现所拥有的全部土地使用权。根据相关政策的要求， 吴中恒久需将上述两块土地证件合二为一后方能申请建设项目。</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月，吴中恒久就上述两地</w:t>
                        </w:r>
                        <w:r>
                          <w:rPr>
                            <w:rFonts w:ascii="宋体" w:hAnsi="宋体" w:cs="宋体" w:eastAsia="宋体" w:hint="default"/>
                            <w:sz w:val="18"/>
                            <w:szCs w:val="18"/>
                          </w:rPr>
                          <w:t> 块合并后取得编号为</w:t>
                        </w:r>
                        <w:r>
                          <w:rPr>
                            <w:rFonts w:ascii="Times New Roman" w:hAnsi="Times New Roman" w:cs="Times New Roman" w:eastAsia="Times New Roman" w:hint="default"/>
                            <w:sz w:val="18"/>
                            <w:szCs w:val="18"/>
                          </w:rPr>
                          <w:t>“</w:t>
                        </w:r>
                        <w:r>
                          <w:rPr>
                            <w:rFonts w:ascii="宋体" w:hAnsi="宋体" w:cs="宋体" w:eastAsia="宋体" w:hint="default"/>
                            <w:sz w:val="18"/>
                            <w:szCs w:val="18"/>
                          </w:rPr>
                          <w:t>苏（</w:t>
                        </w:r>
                        <w:r>
                          <w:rPr>
                            <w:rFonts w:ascii="Times New Roman" w:hAnsi="Times New Roman" w:cs="Times New Roman" w:eastAsia="Times New Roman" w:hint="default"/>
                            <w:sz w:val="18"/>
                            <w:szCs w:val="18"/>
                          </w:rPr>
                          <w:t>2018</w:t>
                        </w:r>
                        <w:r>
                          <w:rPr>
                            <w:rFonts w:ascii="宋体" w:hAnsi="宋体" w:cs="宋体" w:eastAsia="宋体" w:hint="default"/>
                            <w:sz w:val="18"/>
                            <w:szCs w:val="18"/>
                          </w:rPr>
                          <w:t>）苏州市不动产权第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6056654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不动产权证书。鉴于所取得的土地 使用权的变化情况，为了更加高效、集中地开发、利用土地，同时兼顾公司未来有机光电领域的研 发需求，公司重新进行了建设方案的规划，项目实施时间也相应延期。因此，受上述原因影响，导 </w:t>
                        </w:r>
                        <w:r>
                          <w:rPr>
                            <w:rFonts w:ascii="宋体" w:hAnsi="宋体" w:cs="宋体" w:eastAsia="宋体" w:hint="default"/>
                            <w:spacing w:val="-2"/>
                            <w:sz w:val="18"/>
                            <w:szCs w:val="18"/>
                          </w:rPr>
                          <w:t>致募投项目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有机光电工程技术中心建设项目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建设方案和实施期限与预计规划存在差异。目前，</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有</w:t>
                        </w:r>
                        <w:r>
                          <w:rPr>
                            <w:rFonts w:ascii="宋体" w:hAnsi="宋体" w:cs="宋体" w:eastAsia="宋体" w:hint="default"/>
                            <w:spacing w:val="-61"/>
                            <w:sz w:val="18"/>
                            <w:szCs w:val="18"/>
                          </w:rPr>
                          <w:t> </w:t>
                        </w:r>
                        <w:r>
                          <w:rPr>
                            <w:rFonts w:ascii="宋体" w:hAnsi="宋体" w:cs="宋体" w:eastAsia="宋体" w:hint="default"/>
                            <w:sz w:val="18"/>
                            <w:szCs w:val="18"/>
                          </w:rPr>
                          <w:t>机光电工程技术中心建设项目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施工图纸已审核结束并收到吴中区建筑工程施工图审查中心的审查 合格书，和苏州市行政审批局下发的新建设工程规划许可证；公司正办理施工许可证，考察建筑商 进行招投标工作。</w:t>
                        </w:r>
                      </w:p>
                    </w:tc>
                  </w:tr>
                  <w:tr>
                    <w:trPr>
                      <w:trHeight w:val="794" w:hRule="exact"/>
                    </w:trPr>
                    <w:tc>
                      <w:tcPr>
                        <w:tcW w:w="1770"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316" w:lineRule="auto" w:before="89"/>
                          <w:ind w:left="22"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31"/>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3" w:hRule="exact"/>
                    </w:trPr>
                    <w:tc>
                      <w:tcPr>
                        <w:tcW w:w="1770" w:type="dxa"/>
                        <w:vMerge/>
                        <w:tcBorders>
                          <w:left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2897"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日，公司召开了第四届董事会第二次会议，审议通过了《关于部分募投项目建设方 </w:t>
                        </w:r>
                        <w:r>
                          <w:rPr>
                            <w:rFonts w:ascii="宋体" w:hAnsi="宋体" w:cs="宋体" w:eastAsia="宋体" w:hint="default"/>
                            <w:spacing w:val="-4"/>
                            <w:w w:val="100"/>
                            <w:sz w:val="18"/>
                            <w:szCs w:val="18"/>
                          </w:rPr>
                          <w:t>案调整及实施期限延期的议案》。鉴于募投项目</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有机光电工程技术中心建设项目</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的实施单位吴中恒</w:t>
                        </w:r>
                        <w:r>
                          <w:rPr>
                            <w:rFonts w:ascii="宋体" w:hAnsi="宋体" w:cs="宋体" w:eastAsia="宋体" w:hint="default"/>
                            <w:spacing w:val="-70"/>
                            <w:w w:val="100"/>
                            <w:sz w:val="18"/>
                            <w:szCs w:val="18"/>
                          </w:rPr>
                          <w:t> </w:t>
                        </w:r>
                        <w:r>
                          <w:rPr>
                            <w:rFonts w:ascii="宋体" w:hAnsi="宋体" w:cs="宋体" w:eastAsia="宋体" w:hint="default"/>
                            <w:sz w:val="18"/>
                            <w:szCs w:val="18"/>
                          </w:rPr>
                          <w:t>久所取得的土地使用权的变化情况，为了更加高效、集中地开发、利用土地，同时兼顾公司未来有 机光电领域的研发需求，公司新建研发大楼及相关配套建筑的建设用地进行调整，建筑面积亦由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平方米增加至约</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7,500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平方米，但项目实施地点与实施主体未发生变化，仍为吴中恒久位于苏</w:t>
                        </w:r>
                      </w:p>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州市吴中区越溪北官渡路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89 </w:t>
                        </w:r>
                        <w:r>
                          <w:rPr>
                            <w:rFonts w:ascii="宋体" w:hAnsi="宋体" w:cs="宋体" w:eastAsia="宋体" w:hint="default"/>
                            <w:sz w:val="18"/>
                            <w:szCs w:val="18"/>
                          </w:rPr>
                          <w:t>号厂区内。因项目建设方案调整，项目实施时间也相应延期至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300" w:lineRule="auto" w:before="63"/>
                          <w:ind w:left="24"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日。本次调整未改变该项目募集资金的用途和投向。具体内容详见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日公司刊 </w:t>
                        </w:r>
                        <w:r>
                          <w:rPr>
                            <w:rFonts w:ascii="宋体" w:hAnsi="宋体" w:cs="宋体" w:eastAsia="宋体" w:hint="default"/>
                            <w:spacing w:val="-5"/>
                            <w:sz w:val="18"/>
                            <w:szCs w:val="18"/>
                          </w:rPr>
                          <w:t>登在证券时报、证券日报、中国证券报、上海证券报及巨潮资讯网（</w:t>
                        </w:r>
                        <w:hyperlink r:id="rId11">
                          <w:r>
                            <w:rPr>
                              <w:rFonts w:ascii="Times New Roman" w:hAnsi="Times New Roman" w:cs="Times New Roman" w:eastAsia="Times New Roman" w:hint="default"/>
                              <w:spacing w:val="-5"/>
                              <w:sz w:val="18"/>
                              <w:szCs w:val="18"/>
                            </w:rPr>
                            <w:t>http://www.cninfo.com.cn</w:t>
                          </w:r>
                        </w:hyperlink>
                        <w:r>
                          <w:rPr>
                            <w:rFonts w:ascii="宋体" w:hAnsi="宋体" w:cs="宋体" w:eastAsia="宋体" w:hint="default"/>
                            <w:spacing w:val="-5"/>
                            <w:sz w:val="18"/>
                            <w:szCs w:val="18"/>
                          </w:rPr>
                          <w:t>）的《关</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7"/>
                            <w:sz w:val="18"/>
                            <w:szCs w:val="18"/>
                          </w:rPr>
                          <w:t>于部分募投项目建设方案调整及实施期限延期的公告》（公告编号：</w:t>
                        </w:r>
                        <w:r>
                          <w:rPr>
                            <w:rFonts w:ascii="Times New Roman" w:hAnsi="Times New Roman" w:cs="Times New Roman" w:eastAsia="Times New Roman" w:hint="default"/>
                            <w:spacing w:val="-7"/>
                            <w:sz w:val="18"/>
                            <w:szCs w:val="18"/>
                          </w:rPr>
                          <w:t>2018-050</w:t>
                        </w:r>
                        <w:r>
                          <w:rPr>
                            <w:rFonts w:ascii="宋体" w:hAnsi="宋体" w:cs="宋体" w:eastAsia="宋体" w:hint="default"/>
                            <w:spacing w:val="-7"/>
                            <w:sz w:val="18"/>
                            <w:szCs w:val="18"/>
                          </w:rPr>
                          <w:t>）。</w:t>
                        </w:r>
                        <w:r>
                          <w:rPr>
                            <w:rFonts w:ascii="宋体" w:hAnsi="宋体" w:cs="宋体" w:eastAsia="宋体" w:hint="default"/>
                            <w:sz w:val="18"/>
                            <w:szCs w:val="18"/>
                          </w:rPr>
                        </w:r>
                      </w:p>
                    </w:tc>
                  </w:tr>
                  <w:tr>
                    <w:trPr>
                      <w:trHeight w:val="403"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1"/>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1" w:hRule="exact"/>
                    </w:trPr>
                    <w:tc>
                      <w:tcPr>
                        <w:tcW w:w="1770" w:type="dxa"/>
                        <w:vMerge/>
                        <w:tcBorders>
                          <w:left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2900"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日，公司召开了第四届董事会第二次会议，审议通过了《关于部分募投项目建设方 </w:t>
                        </w:r>
                        <w:r>
                          <w:rPr>
                            <w:rFonts w:ascii="宋体" w:hAnsi="宋体" w:cs="宋体" w:eastAsia="宋体" w:hint="default"/>
                            <w:spacing w:val="-4"/>
                            <w:w w:val="100"/>
                            <w:sz w:val="18"/>
                            <w:szCs w:val="18"/>
                          </w:rPr>
                          <w:t>案调整及实施期限延期的议案》。鉴于募投项目</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有机光电工程技术中心建设项目</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的实施单位吴中恒</w:t>
                        </w:r>
                        <w:r>
                          <w:rPr>
                            <w:rFonts w:ascii="宋体" w:hAnsi="宋体" w:cs="宋体" w:eastAsia="宋体" w:hint="default"/>
                            <w:spacing w:val="-70"/>
                            <w:w w:val="100"/>
                            <w:sz w:val="18"/>
                            <w:szCs w:val="18"/>
                          </w:rPr>
                          <w:t> </w:t>
                        </w:r>
                        <w:r>
                          <w:rPr>
                            <w:rFonts w:ascii="宋体" w:hAnsi="宋体" w:cs="宋体" w:eastAsia="宋体" w:hint="default"/>
                            <w:sz w:val="18"/>
                            <w:szCs w:val="18"/>
                          </w:rPr>
                          <w:t>久所取得的土地使用权的变化情况，为了更加高效、集中地开发、利用土地，同时兼顾公司未来有 机光电领域的研发需求，公司新建研发大楼及相关配套建筑的建设用地进行调整，建筑面积亦由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平方米增加至约</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7,500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平方米，但项目实施地点与实施主体未发生变化，仍为吴中恒久位于苏</w:t>
                        </w:r>
                      </w:p>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州市吴中区越溪北官渡路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89 </w:t>
                        </w:r>
                        <w:r>
                          <w:rPr>
                            <w:rFonts w:ascii="宋体" w:hAnsi="宋体" w:cs="宋体" w:eastAsia="宋体" w:hint="default"/>
                            <w:sz w:val="18"/>
                            <w:szCs w:val="18"/>
                          </w:rPr>
                          <w:t>号厂区内。因项目建设方案调整，项目实施时间也相应延期至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0" w:lineRule="auto" w:before="63"/>
                          <w:ind w:left="24"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日。本次调整未改变该募投项目募集资金的用途和投向。具体内容详见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 司刊登在证券时报、证券日报、中国证券报、上海证券报及巨潮资讯网（</w:t>
                        </w:r>
                        <w:hyperlink r:id="rId11">
                          <w:r>
                            <w:rPr>
                              <w:rFonts w:ascii="Times New Roman" w:hAnsi="Times New Roman" w:cs="Times New Roman" w:eastAsia="Times New Roman" w:hint="default"/>
                              <w:sz w:val="18"/>
                              <w:szCs w:val="18"/>
                            </w:rPr>
                            <w:t>http://www.cninfo.com.cn</w:t>
                          </w:r>
                        </w:hyperlink>
                        <w:r>
                          <w:rPr>
                            <w:rFonts w:ascii="Times New Roman" w:hAnsi="Times New Roman" w:cs="Times New Roman" w:eastAsia="Times New Roman" w:hint="default"/>
                            <w:sz w:val="18"/>
                            <w:szCs w:val="18"/>
                          </w:rPr>
                          <w:t> </w:t>
                        </w:r>
                        <w:r>
                          <w:rPr>
                            <w:rFonts w:ascii="宋体" w:hAnsi="宋体" w:cs="宋体" w:eastAsia="宋体" w:hint="default"/>
                            <w:spacing w:val="-7"/>
                            <w:sz w:val="18"/>
                            <w:szCs w:val="18"/>
                          </w:rPr>
                          <w:t>的《关于部分募投项目建设方案调整及实施期限延期的公告》（公告编号：</w:t>
                        </w:r>
                        <w:r>
                          <w:rPr>
                            <w:rFonts w:ascii="Times New Roman" w:hAnsi="Times New Roman" w:cs="Times New Roman" w:eastAsia="Times New Roman" w:hint="default"/>
                            <w:spacing w:val="-7"/>
                            <w:sz w:val="18"/>
                            <w:szCs w:val="18"/>
                          </w:rPr>
                          <w:t>2018-050</w:t>
                        </w:r>
                        <w:r>
                          <w:rPr>
                            <w:rFonts w:ascii="宋体" w:hAnsi="宋体" w:cs="宋体" w:eastAsia="宋体" w:hint="default"/>
                            <w:spacing w:val="-7"/>
                            <w:sz w:val="18"/>
                            <w:szCs w:val="18"/>
                          </w:rPr>
                          <w:t>）。</w:t>
                        </w:r>
                        <w:r>
                          <w:rPr>
                            <w:rFonts w:ascii="宋体" w:hAnsi="宋体" w:cs="宋体" w:eastAsia="宋体" w:hint="default"/>
                            <w:sz w:val="18"/>
                            <w:szCs w:val="18"/>
                          </w:rPr>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left="0" w:right="1133"/>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BodyText"/>
        <w:spacing w:line="240" w:lineRule="auto" w:before="44"/>
        <w:ind w:left="0" w:right="1148"/>
        <w:jc w:val="right"/>
      </w:pPr>
      <w:r>
        <w:rPr/>
        <w:t>）</w:t>
      </w:r>
    </w:p>
    <w:p>
      <w:pPr>
        <w:spacing w:after="0" w:line="240" w:lineRule="auto"/>
        <w:jc w:val="righ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240" w:lineRule="auto" w:before="44"/>
        <w:ind w:left="0" w:right="1137"/>
        <w:jc w:val="right"/>
      </w:pPr>
      <w:r>
        <w:rPr/>
        <w:pict>
          <v:shape style="position:absolute;margin-left:56.459999pt;margin-top:-147.988312pt;width:479.2pt;height:446.1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9"/>
                  </w:tblGrid>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4"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FFFFFF"/>
                          <w:right w:val="single" w:sz="4" w:space="0" w:color="000000"/>
                        </w:tcBorders>
                      </w:tcPr>
                      <w:p>
                        <w:pPr/>
                      </w:p>
                    </w:tc>
                  </w:tr>
                  <w:tr>
                    <w:trPr>
                      <w:trHeight w:val="401"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21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日，公司召开的第三届董事会第十九次会议、第三届监事会第十三次会议分别审议 </w:t>
                        </w:r>
                        <w:r>
                          <w:rPr>
                            <w:rFonts w:ascii="宋体" w:hAnsi="宋体" w:cs="宋体" w:eastAsia="宋体" w:hint="default"/>
                            <w:spacing w:val="-5"/>
                            <w:sz w:val="18"/>
                            <w:szCs w:val="18"/>
                          </w:rPr>
                          <w:t>通过了《关于部分募投项目结项并使用节余募集资金永久补充流动资金的议案》。鉴于公司首次公开</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发行股票募集资金投资项目之</w:t>
                        </w:r>
                        <w:r>
                          <w:rPr>
                            <w:rFonts w:ascii="Times New Roman" w:hAnsi="Times New Roman" w:cs="Times New Roman" w:eastAsia="Times New Roman" w:hint="default"/>
                            <w:sz w:val="18"/>
                            <w:szCs w:val="18"/>
                          </w:rPr>
                          <w:t>“</w:t>
                        </w:r>
                        <w:r>
                          <w:rPr>
                            <w:rFonts w:ascii="宋体" w:hAnsi="宋体" w:cs="宋体" w:eastAsia="宋体" w:hint="default"/>
                            <w:sz w:val="18"/>
                            <w:szCs w:val="18"/>
                          </w:rPr>
                          <w:t>激光有机光导鼓扩建项目</w:t>
                        </w:r>
                        <w:r>
                          <w:rPr>
                            <w:rFonts w:ascii="Times New Roman" w:hAnsi="Times New Roman" w:cs="Times New Roman" w:eastAsia="Times New Roman" w:hint="default"/>
                            <w:sz w:val="18"/>
                            <w:szCs w:val="18"/>
                          </w:rPr>
                          <w:t>”</w:t>
                        </w:r>
                        <w:r>
                          <w:rPr>
                            <w:rFonts w:ascii="宋体" w:hAnsi="宋体" w:cs="宋体" w:eastAsia="宋体" w:hint="default"/>
                            <w:sz w:val="18"/>
                            <w:szCs w:val="18"/>
                          </w:rPr>
                          <w:t>已达到预定可使用状态，为充分发挥资金 </w:t>
                        </w:r>
                        <w:r>
                          <w:rPr>
                            <w:rFonts w:ascii="宋体" w:hAnsi="宋体" w:cs="宋体" w:eastAsia="宋体" w:hint="default"/>
                            <w:spacing w:val="-3"/>
                            <w:sz w:val="18"/>
                            <w:szCs w:val="18"/>
                          </w:rPr>
                          <w:t>的使用效率，同意将激光有机光导鼓扩建项目结项，并使用节余募集资金（含理财收益及利息收入</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永久补充公司流动资金（受募集资金专户后续利息收入及理财收益的影响，具体补充流动资金的金 </w:t>
                        </w:r>
                        <w:r>
                          <w:rPr>
                            <w:rFonts w:ascii="宋体" w:hAnsi="宋体" w:cs="宋体" w:eastAsia="宋体" w:hint="default"/>
                            <w:spacing w:val="-3"/>
                            <w:sz w:val="18"/>
                            <w:szCs w:val="18"/>
                          </w:rPr>
                          <w:t>额以募集资金专户最终转入自有资金账户的实际金额为准），该议案已经</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pacing w:val="-1"/>
                            <w:sz w:val="18"/>
                            <w:szCs w:val="18"/>
                          </w:rPr>
                          <w:t>年第一次临时股东大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会审议通过。根据上述决议内容，公司自激光有机光导鼓扩建项目在苏州恒久开立的募集资金账户 及理财产品专用结算账户转出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67,040,321.01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元用于永久补充公司流动资金后，完成账户注销手续。 </w:t>
                        </w:r>
                        <w:r>
                          <w:rPr>
                            <w:rFonts w:ascii="宋体" w:hAnsi="宋体" w:cs="宋体" w:eastAsia="宋体" w:hint="default"/>
                            <w:spacing w:val="-3"/>
                            <w:sz w:val="18"/>
                            <w:szCs w:val="18"/>
                          </w:rPr>
                          <w:t>激光有机光导鼓扩建项目在吴中恒久开立的募集资金账户资金将继续用于支付工程尾款。本报告期</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公司继续使用吴中恒久激光有机光导鼓扩建项目募集资金账户支付工程尾款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5,383,291.27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r>
                  <w:tr>
                    <w:trPr>
                      <w:trHeight w:val="266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4" w:lineRule="auto"/>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17"/>
                          <w:jc w:val="both"/>
                          <w:rPr>
                            <w:rFonts w:ascii="宋体" w:hAnsi="宋体" w:cs="宋体" w:eastAsia="宋体" w:hint="default"/>
                            <w:sz w:val="18"/>
                            <w:szCs w:val="18"/>
                          </w:rPr>
                        </w:pPr>
                        <w:r>
                          <w:rPr>
                            <w:rFonts w:ascii="宋体" w:hAnsi="宋体" w:cs="宋体" w:eastAsia="宋体" w:hint="default"/>
                            <w:spacing w:val="-1"/>
                            <w:sz w:val="18"/>
                            <w:szCs w:val="18"/>
                          </w:rPr>
                          <w:t>公司尚未使用的募集资金除存放于募集资金专户外，公司为提高暂时闲置的募集资金收益，</w:t>
                        </w:r>
                        <w:r>
                          <w:rPr>
                            <w:rFonts w:ascii="Times New Roman" w:hAnsi="Times New Roman" w:cs="Times New Roman" w:eastAsia="Times New Roman" w:hint="default"/>
                            <w:spacing w:val="-1"/>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 度，根据公司第四届董事会第三次会议以及第四届董事会第十四次会议审议通过的关于公司使用部 分闲置募集资金购买理财产品的最高循环滚动使用额度内，购买安全性高，流动性好，产品发行主 体能够提供保本承诺的银行理财产品。</w:t>
                        </w:r>
                      </w:p>
                      <w:p>
                        <w:pPr>
                          <w:pStyle w:val="TableParagraph"/>
                          <w:spacing w:line="240" w:lineRule="auto" w:before="101"/>
                          <w:ind w:left="24" w:right="0"/>
                          <w:jc w:val="both"/>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日，公司尚未使用的募集资金余额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52,227,075.61 </w:t>
                        </w:r>
                        <w:r>
                          <w:rPr>
                            <w:rFonts w:ascii="宋体" w:hAnsi="宋体" w:cs="宋体" w:eastAsia="宋体" w:hint="default"/>
                            <w:sz w:val="18"/>
                            <w:szCs w:val="18"/>
                          </w:rPr>
                          <w:t>元，其中：定期存款与结构</w:t>
                        </w:r>
                      </w:p>
                      <w:p>
                        <w:pPr>
                          <w:pStyle w:val="TableParagraph"/>
                          <w:spacing w:line="300" w:lineRule="auto" w:before="63"/>
                          <w:ind w:left="24" w:right="20"/>
                          <w:jc w:val="both"/>
                          <w:rPr>
                            <w:rFonts w:ascii="宋体" w:hAnsi="宋体" w:cs="宋体" w:eastAsia="宋体" w:hint="default"/>
                            <w:sz w:val="18"/>
                            <w:szCs w:val="18"/>
                          </w:rPr>
                        </w:pPr>
                        <w:r>
                          <w:rPr>
                            <w:rFonts w:ascii="宋体" w:hAnsi="宋体" w:cs="宋体" w:eastAsia="宋体" w:hint="default"/>
                            <w:sz w:val="18"/>
                            <w:szCs w:val="18"/>
                          </w:rPr>
                          <w:t>性存款余额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50,940,000.00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元，募集资金银行专项账户余额为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1,287,075.61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元。公司尚未使用的募集 </w:t>
                        </w:r>
                        <w:r>
                          <w:rPr>
                            <w:rFonts w:ascii="宋体" w:hAnsi="宋体" w:cs="宋体" w:eastAsia="宋体" w:hint="default"/>
                            <w:spacing w:val="-1"/>
                            <w:sz w:val="18"/>
                            <w:szCs w:val="18"/>
                          </w:rPr>
                          <w:t>资金将按照募投项目建设进度和需要陆续投入并统筹规划。</w:t>
                        </w:r>
                        <w:r>
                          <w:rPr>
                            <w:rFonts w:ascii="Times New Roman" w:hAnsi="Times New Roman" w:cs="Times New Roman" w:eastAsia="Times New Roman" w:hint="default"/>
                            <w:spacing w:val="-1"/>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pacing w:val="-2"/>
                            <w:sz w:val="18"/>
                            <w:szCs w:val="18"/>
                          </w:rPr>
                          <w:t>年度，公司购买的理财产品未超过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董事会批准额度。</w:t>
                        </w:r>
                      </w:p>
                    </w:tc>
                  </w:tr>
                  <w:tr>
                    <w:trPr>
                      <w:trHeight w:val="102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spacing w:line="240" w:lineRule="auto" w:before="44"/>
        <w:ind w:left="0" w:right="113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3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公司报告期不存在募集资金变更项目情况。</w:t>
      </w:r>
    </w:p>
    <w:p>
      <w:pPr>
        <w:spacing w:line="240" w:lineRule="auto" w:before="4"/>
        <w:rPr>
          <w:rFonts w:ascii="宋体" w:hAnsi="宋体" w:cs="宋体" w:eastAsia="宋体" w:hint="default"/>
          <w:sz w:val="19"/>
          <w:szCs w:val="19"/>
        </w:rPr>
      </w:pPr>
    </w:p>
    <w:p>
      <w:pPr>
        <w:pStyle w:val="Heading2"/>
        <w:spacing w:line="240" w:lineRule="auto"/>
        <w:ind w:right="1133"/>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before="0"/>
        <w:ind w:right="1133"/>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7"/>
        <w:rPr>
          <w:rFonts w:ascii="宋体" w:hAnsi="宋体" w:cs="宋体" w:eastAsia="宋体" w:hint="default"/>
          <w:sz w:val="21"/>
          <w:szCs w:val="21"/>
        </w:rPr>
      </w:pPr>
    </w:p>
    <w:p>
      <w:pPr>
        <w:pStyle w:val="Heading3"/>
        <w:spacing w:line="240" w:lineRule="auto" w:before="0"/>
        <w:ind w:right="1133"/>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3833"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47" w:right="65" w:hanging="181"/>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158" w:right="62" w:hanging="89"/>
              <w:jc w:val="left"/>
              <w:rPr>
                <w:rFonts w:ascii="宋体" w:hAnsi="宋体" w:cs="宋体" w:eastAsia="宋体" w:hint="default"/>
                <w:sz w:val="18"/>
                <w:szCs w:val="18"/>
              </w:rPr>
            </w:pPr>
            <w:r>
              <w:rPr>
                <w:rFonts w:ascii="宋体" w:hAnsi="宋体" w:cs="宋体" w:eastAsia="宋体" w:hint="default"/>
                <w:sz w:val="18"/>
                <w:szCs w:val="18"/>
              </w:rPr>
              <w:t>被出售 股权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67"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67" w:right="63"/>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本期初 起至出 售日该 股权为 上市公 司贡献 的净利 润（万 元）</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出售对 公司的 影响</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股权出 售为上 市公司 贡献的 净利润 占净利 润总额 的比例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股权出 售定价 原则</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67" w:right="62"/>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与交易 对方的 关联关 系</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67" w:right="62"/>
              <w:jc w:val="center"/>
              <w:rPr>
                <w:rFonts w:ascii="宋体" w:hAnsi="宋体" w:cs="宋体" w:eastAsia="宋体" w:hint="default"/>
                <w:sz w:val="18"/>
                <w:szCs w:val="18"/>
              </w:rPr>
            </w:pPr>
            <w:r>
              <w:rPr>
                <w:rFonts w:ascii="宋体" w:hAnsi="宋体" w:cs="宋体" w:eastAsia="宋体" w:hint="default"/>
                <w:sz w:val="18"/>
                <w:szCs w:val="18"/>
              </w:rPr>
              <w:t>所涉及 的股权 是否已 全部过 户</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7" w:right="65"/>
              <w:jc w:val="center"/>
              <w:rPr>
                <w:rFonts w:ascii="宋体" w:hAnsi="宋体" w:cs="宋体" w:eastAsia="宋体" w:hint="default"/>
                <w:sz w:val="18"/>
                <w:szCs w:val="18"/>
              </w:rPr>
            </w:pPr>
            <w:r>
              <w:rPr>
                <w:rFonts w:ascii="宋体" w:hAnsi="宋体" w:cs="宋体" w:eastAsia="宋体" w:hint="default"/>
                <w:sz w:val="18"/>
                <w:szCs w:val="18"/>
              </w:rPr>
              <w:t>是否按 计划如 期实 施，如 未按计 划实 施，应 当说明 原因及 公司已 采取的 措施</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47" w:right="62"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49" w:right="62"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726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彭璐</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6" w:lineRule="auto"/>
              <w:ind w:left="26" w:right="105"/>
              <w:jc w:val="both"/>
              <w:rPr>
                <w:rFonts w:ascii="宋体" w:hAnsi="宋体" w:cs="宋体" w:eastAsia="宋体" w:hint="default"/>
                <w:sz w:val="18"/>
                <w:szCs w:val="18"/>
              </w:rPr>
            </w:pPr>
            <w:r>
              <w:rPr>
                <w:rFonts w:ascii="宋体" w:hAnsi="宋体" w:cs="宋体" w:eastAsia="宋体" w:hint="default"/>
                <w:sz w:val="18"/>
                <w:szCs w:val="18"/>
              </w:rPr>
              <w:t>公司持 有的壹 办公</w:t>
            </w:r>
          </w:p>
          <w:p>
            <w:pPr>
              <w:pStyle w:val="TableParagraph"/>
              <w:spacing w:line="240" w:lineRule="auto" w:before="61"/>
              <w:ind w:left="26" w:right="0"/>
              <w:jc w:val="both"/>
              <w:rPr>
                <w:rFonts w:ascii="Times New Roman" w:hAnsi="Times New Roman" w:cs="Times New Roman" w:eastAsia="Times New Roman" w:hint="default"/>
                <w:sz w:val="18"/>
                <w:szCs w:val="18"/>
              </w:rPr>
            </w:pPr>
            <w:r>
              <w:rPr>
                <w:rFonts w:ascii="Times New Roman"/>
                <w:sz w:val="18"/>
              </w:rPr>
              <w:t>1,147,0</w:t>
            </w:r>
          </w:p>
          <w:p>
            <w:pPr>
              <w:pStyle w:val="TableParagraph"/>
              <w:spacing w:line="300" w:lineRule="auto" w:before="63"/>
              <w:ind w:left="26" w:right="59"/>
              <w:jc w:val="both"/>
              <w:rPr>
                <w:rFonts w:ascii="宋体" w:hAnsi="宋体" w:cs="宋体" w:eastAsia="宋体" w:hint="default"/>
                <w:sz w:val="18"/>
                <w:szCs w:val="18"/>
              </w:rPr>
            </w:pPr>
            <w:r>
              <w:rPr>
                <w:rFonts w:ascii="Times New Roman" w:hAnsi="Times New Roman" w:cs="Times New Roman" w:eastAsia="Times New Roman" w:hint="default"/>
                <w:sz w:val="18"/>
                <w:szCs w:val="18"/>
              </w:rPr>
              <w:t>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 权</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500.09</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3" w:right="107"/>
              <w:jc w:val="both"/>
              <w:rPr>
                <w:rFonts w:ascii="宋体" w:hAnsi="宋体" w:cs="宋体" w:eastAsia="宋体" w:hint="default"/>
                <w:sz w:val="18"/>
                <w:szCs w:val="18"/>
              </w:rPr>
            </w:pPr>
            <w:r>
              <w:rPr>
                <w:rFonts w:ascii="宋体" w:hAnsi="宋体" w:cs="宋体" w:eastAsia="宋体" w:hint="default"/>
                <w:sz w:val="18"/>
                <w:szCs w:val="18"/>
              </w:rPr>
              <w:t>有利于 公司初 始投资 成本的 部分收 回，促 进公司 投资价 值有效 实现， 增加公 司现金 流。</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97" w:lineRule="auto"/>
              <w:ind w:left="23"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1"/>
              <w:jc w:val="left"/>
              <w:rPr>
                <w:rFonts w:ascii="Times New Roman" w:hAnsi="Times New Roman" w:cs="Times New Roman" w:eastAsia="Times New Roman" w:hint="default"/>
                <w:sz w:val="18"/>
                <w:szCs w:val="18"/>
              </w:rPr>
            </w:pPr>
            <w:r>
              <w:rPr>
                <w:rFonts w:ascii="宋体" w:hAnsi="宋体" w:cs="宋体" w:eastAsia="宋体" w:hint="default"/>
                <w:sz w:val="18"/>
                <w:szCs w:val="18"/>
              </w:rPr>
              <w:t>受国内 新冠疫 情影响 未能按 计划如 期实 施，目 前各方 正在协 商签订 补充协 议，详 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2020</w:t>
            </w:r>
          </w:p>
          <w:p>
            <w:pPr>
              <w:pStyle w:val="TableParagraph"/>
              <w:spacing w:line="249" w:lineRule="exact"/>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0" w:lineRule="auto" w:before="63"/>
              <w:ind w:left="24"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日披 露的</w:t>
            </w:r>
          </w:p>
          <w:p>
            <w:pPr>
              <w:pStyle w:val="TableParagraph"/>
              <w:spacing w:line="316" w:lineRule="auto" w:before="31"/>
              <w:ind w:left="24" w:right="110"/>
              <w:jc w:val="left"/>
              <w:rPr>
                <w:rFonts w:ascii="宋体" w:hAnsi="宋体" w:cs="宋体" w:eastAsia="宋体" w:hint="default"/>
                <w:sz w:val="18"/>
                <w:szCs w:val="18"/>
              </w:rPr>
            </w:pPr>
            <w:r>
              <w:rPr>
                <w:rFonts w:ascii="宋体" w:hAnsi="宋体" w:cs="宋体" w:eastAsia="宋体" w:hint="default"/>
                <w:sz w:val="18"/>
                <w:szCs w:val="18"/>
              </w:rPr>
              <w:t>《关于 转让参 股公司 部分股 权的进 展公 </w:t>
            </w:r>
            <w:r>
              <w:rPr>
                <w:rFonts w:ascii="宋体" w:hAnsi="宋体" w:cs="宋体" w:eastAsia="宋体" w:hint="default"/>
                <w:spacing w:val="-31"/>
                <w:sz w:val="18"/>
                <w:szCs w:val="18"/>
              </w:rPr>
              <w:t>告》。</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6" w:right="19"/>
              <w:jc w:val="left"/>
              <w:rPr>
                <w:rFonts w:ascii="宋体" w:hAnsi="宋体" w:cs="宋体" w:eastAsia="宋体" w:hint="default"/>
                <w:sz w:val="18"/>
                <w:szCs w:val="18"/>
              </w:rPr>
            </w:pPr>
            <w:r>
              <w:rPr>
                <w:rFonts w:ascii="宋体" w:hAnsi="宋体" w:cs="宋体" w:eastAsia="宋体" w:hint="default"/>
                <w:sz w:val="18"/>
                <w:szCs w:val="18"/>
              </w:rPr>
              <w:t>《关于 转让参 股公司 部分股 权的公 </w:t>
            </w:r>
            <w:r>
              <w:rPr>
                <w:rFonts w:ascii="宋体" w:hAnsi="宋体" w:cs="宋体" w:eastAsia="宋体" w:hint="default"/>
                <w:spacing w:val="-24"/>
                <w:sz w:val="18"/>
                <w:szCs w:val="18"/>
              </w:rPr>
              <w:t>告》（公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告编 号：</w:t>
            </w:r>
          </w:p>
          <w:p>
            <w:pPr>
              <w:pStyle w:val="TableParagraph"/>
              <w:spacing w:line="240" w:lineRule="auto" w:before="61"/>
              <w:ind w:left="26" w:right="0"/>
              <w:jc w:val="left"/>
              <w:rPr>
                <w:rFonts w:ascii="Times New Roman" w:hAnsi="Times New Roman" w:cs="Times New Roman" w:eastAsia="Times New Roman" w:hint="default"/>
                <w:sz w:val="18"/>
                <w:szCs w:val="18"/>
              </w:rPr>
            </w:pPr>
            <w:r>
              <w:rPr>
                <w:rFonts w:ascii="Times New Roman"/>
                <w:sz w:val="18"/>
              </w:rPr>
              <w:t>2019-07</w:t>
            </w:r>
          </w:p>
          <w:p>
            <w:pPr>
              <w:pStyle w:val="TableParagraph"/>
              <w:spacing w:line="316" w:lineRule="auto" w:before="63"/>
              <w:ind w:left="26" w:right="19"/>
              <w:jc w:val="left"/>
              <w:rPr>
                <w:rFonts w:ascii="宋体" w:hAnsi="宋体" w:cs="宋体" w:eastAsia="宋体" w:hint="default"/>
                <w:sz w:val="18"/>
                <w:szCs w:val="18"/>
              </w:rPr>
            </w:pPr>
            <w:r>
              <w:rPr>
                <w:rFonts w:ascii="Times New Roman" w:hAnsi="Times New Roman" w:cs="Times New Roman" w:eastAsia="Times New Roman" w:hint="default"/>
                <w:spacing w:val="-37"/>
                <w:sz w:val="18"/>
                <w:szCs w:val="18"/>
              </w:rPr>
              <w:t>9</w:t>
            </w:r>
            <w:r>
              <w:rPr>
                <w:rFonts w:ascii="宋体" w:hAnsi="宋体" w:cs="宋体" w:eastAsia="宋体" w:hint="default"/>
                <w:spacing w:val="-37"/>
                <w:sz w:val="18"/>
                <w:szCs w:val="18"/>
              </w:rPr>
              <w:t>）、《关</w:t>
            </w:r>
            <w:r>
              <w:rPr>
                <w:rFonts w:ascii="宋体" w:hAnsi="宋体" w:cs="宋体" w:eastAsia="宋体" w:hint="default"/>
                <w:sz w:val="18"/>
                <w:szCs w:val="18"/>
              </w:rPr>
              <w:t> 于转让 参股公 司部分 股权的 进展公 </w:t>
            </w:r>
            <w:r>
              <w:rPr>
                <w:rFonts w:ascii="宋体" w:hAnsi="宋体" w:cs="宋体" w:eastAsia="宋体" w:hint="default"/>
                <w:spacing w:val="-24"/>
                <w:sz w:val="18"/>
                <w:szCs w:val="18"/>
              </w:rPr>
              <w:t>告》（公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告编 号：</w:t>
            </w:r>
          </w:p>
          <w:p>
            <w:pPr>
              <w:pStyle w:val="TableParagraph"/>
              <w:spacing w:line="240" w:lineRule="auto" w:before="61"/>
              <w:ind w:left="26" w:right="0"/>
              <w:jc w:val="left"/>
              <w:rPr>
                <w:rFonts w:ascii="Times New Roman" w:hAnsi="Times New Roman" w:cs="Times New Roman" w:eastAsia="Times New Roman" w:hint="default"/>
                <w:sz w:val="18"/>
                <w:szCs w:val="18"/>
              </w:rPr>
            </w:pPr>
            <w:r>
              <w:rPr>
                <w:rFonts w:ascii="Times New Roman"/>
                <w:sz w:val="18"/>
              </w:rPr>
              <w:t>2020-00</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r>
      <w:tr>
        <w:trPr>
          <w:trHeight w:val="254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4"/>
              <w:ind w:left="24" w:right="108"/>
              <w:jc w:val="both"/>
              <w:rPr>
                <w:rFonts w:ascii="宋体" w:hAnsi="宋体" w:cs="宋体" w:eastAsia="宋体" w:hint="default"/>
                <w:sz w:val="18"/>
                <w:szCs w:val="18"/>
              </w:rPr>
            </w:pPr>
            <w:r>
              <w:rPr>
                <w:rFonts w:ascii="宋体" w:hAnsi="宋体" w:cs="宋体" w:eastAsia="宋体" w:hint="default"/>
                <w:sz w:val="18"/>
                <w:szCs w:val="18"/>
              </w:rPr>
              <w:t>温州易 津创业 投资合 伙企业</w:t>
            </w:r>
          </w:p>
          <w:p>
            <w:pPr>
              <w:pStyle w:val="TableParagraph"/>
              <w:spacing w:line="316" w:lineRule="auto" w:before="19"/>
              <w:ind w:left="24" w:right="108"/>
              <w:jc w:val="both"/>
              <w:rPr>
                <w:rFonts w:ascii="宋体" w:hAnsi="宋体" w:cs="宋体" w:eastAsia="宋体" w:hint="default"/>
                <w:sz w:val="18"/>
                <w:szCs w:val="18"/>
              </w:rPr>
            </w:pPr>
            <w:r>
              <w:rPr>
                <w:rFonts w:ascii="宋体" w:hAnsi="宋体" w:cs="宋体" w:eastAsia="宋体" w:hint="default"/>
                <w:sz w:val="18"/>
                <w:szCs w:val="18"/>
              </w:rPr>
              <w:t>（有限 合伙）</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4"/>
              <w:ind w:left="26" w:right="104"/>
              <w:jc w:val="both"/>
              <w:rPr>
                <w:rFonts w:ascii="宋体" w:hAnsi="宋体" w:cs="宋体" w:eastAsia="宋体" w:hint="default"/>
                <w:sz w:val="18"/>
                <w:szCs w:val="18"/>
              </w:rPr>
            </w:pPr>
            <w:r>
              <w:rPr>
                <w:rFonts w:ascii="宋体" w:hAnsi="宋体" w:cs="宋体" w:eastAsia="宋体" w:hint="default"/>
                <w:sz w:val="18"/>
                <w:szCs w:val="18"/>
              </w:rPr>
              <w:t>公司持 有的壹 办公</w:t>
            </w:r>
          </w:p>
          <w:p>
            <w:pPr>
              <w:pStyle w:val="TableParagraph"/>
              <w:spacing w:line="240" w:lineRule="auto" w:before="61"/>
              <w:ind w:left="26" w:right="0"/>
              <w:jc w:val="both"/>
              <w:rPr>
                <w:rFonts w:ascii="Times New Roman" w:hAnsi="Times New Roman" w:cs="Times New Roman" w:eastAsia="Times New Roman" w:hint="default"/>
                <w:sz w:val="18"/>
                <w:szCs w:val="18"/>
              </w:rPr>
            </w:pPr>
            <w:r>
              <w:rPr>
                <w:rFonts w:ascii="Times New Roman"/>
                <w:sz w:val="18"/>
              </w:rPr>
              <w:t>1,147,0</w:t>
            </w:r>
          </w:p>
          <w:p>
            <w:pPr>
              <w:pStyle w:val="TableParagraph"/>
              <w:spacing w:line="300" w:lineRule="auto" w:before="63"/>
              <w:ind w:left="26" w:right="59"/>
              <w:jc w:val="both"/>
              <w:rPr>
                <w:rFonts w:ascii="宋体" w:hAnsi="宋体" w:cs="宋体" w:eastAsia="宋体" w:hint="default"/>
                <w:sz w:val="18"/>
                <w:szCs w:val="18"/>
              </w:rPr>
            </w:pPr>
            <w:r>
              <w:rPr>
                <w:rFonts w:ascii="Times New Roman" w:hAnsi="Times New Roman" w:cs="Times New Roman" w:eastAsia="Times New Roman" w:hint="default"/>
                <w:sz w:val="18"/>
                <w:szCs w:val="18"/>
              </w:rPr>
              <w:t>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 权</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500.09</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both"/>
              <w:rPr>
                <w:rFonts w:ascii="宋体" w:hAnsi="宋体" w:cs="宋体" w:eastAsia="宋体" w:hint="default"/>
                <w:sz w:val="18"/>
                <w:szCs w:val="18"/>
              </w:rPr>
            </w:pPr>
            <w:r>
              <w:rPr>
                <w:rFonts w:ascii="宋体" w:hAnsi="宋体" w:cs="宋体" w:eastAsia="宋体" w:hint="default"/>
                <w:sz w:val="18"/>
                <w:szCs w:val="18"/>
              </w:rPr>
              <w:t>有利于 公司初 始投资 成本的 部分收 回，促 进公司 投资价</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97" w:lineRule="auto" w:before="138"/>
              <w:ind w:left="23"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0"/>
              <w:jc w:val="left"/>
              <w:rPr>
                <w:rFonts w:ascii="宋体" w:hAnsi="宋体" w:cs="宋体" w:eastAsia="宋体" w:hint="default"/>
                <w:sz w:val="18"/>
                <w:szCs w:val="18"/>
              </w:rPr>
            </w:pPr>
            <w:r>
              <w:rPr>
                <w:rFonts w:ascii="宋体" w:hAnsi="宋体" w:cs="宋体" w:eastAsia="宋体" w:hint="default"/>
                <w:sz w:val="18"/>
                <w:szCs w:val="18"/>
              </w:rPr>
              <w:t>受国内 新冠疫 情影响 未能按 计划如 期实 施，目 前各方</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z w:val="18"/>
                <w:szCs w:val="18"/>
              </w:rPr>
              <w:t>《关于 转让参 股公司 部分股 权的公 </w:t>
            </w:r>
            <w:r>
              <w:rPr>
                <w:rFonts w:ascii="宋体" w:hAnsi="宋体" w:cs="宋体" w:eastAsia="宋体" w:hint="default"/>
                <w:spacing w:val="-24"/>
                <w:sz w:val="18"/>
                <w:szCs w:val="18"/>
              </w:rPr>
              <w:t>告》（公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告编 号：</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4731" w:hRule="exact"/>
        </w:trPr>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07"/>
              <w:jc w:val="both"/>
              <w:rPr>
                <w:rFonts w:ascii="宋体" w:hAnsi="宋体" w:cs="宋体" w:eastAsia="宋体" w:hint="default"/>
                <w:sz w:val="18"/>
                <w:szCs w:val="18"/>
              </w:rPr>
            </w:pPr>
            <w:r>
              <w:rPr>
                <w:rFonts w:ascii="宋体" w:hAnsi="宋体" w:cs="宋体" w:eastAsia="宋体" w:hint="default"/>
                <w:sz w:val="18"/>
                <w:szCs w:val="18"/>
              </w:rPr>
              <w:t>值有效 实现， 增加公 司现金 流。</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61"/>
              <w:jc w:val="both"/>
              <w:rPr>
                <w:rFonts w:ascii="Times New Roman" w:hAnsi="Times New Roman" w:cs="Times New Roman" w:eastAsia="Times New Roman" w:hint="default"/>
                <w:sz w:val="18"/>
                <w:szCs w:val="18"/>
              </w:rPr>
            </w:pPr>
            <w:r>
              <w:rPr>
                <w:rFonts w:ascii="宋体" w:hAnsi="宋体" w:cs="宋体" w:eastAsia="宋体" w:hint="default"/>
                <w:sz w:val="18"/>
                <w:szCs w:val="18"/>
              </w:rPr>
              <w:t>正在协 商签订 补充协 议，详 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2020</w:t>
            </w:r>
          </w:p>
          <w:p>
            <w:pPr>
              <w:pStyle w:val="TableParagraph"/>
              <w:spacing w:line="246" w:lineRule="exact"/>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0" w:lineRule="auto" w:before="63"/>
              <w:ind w:left="24"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日披 露的</w:t>
            </w:r>
          </w:p>
          <w:p>
            <w:pPr>
              <w:pStyle w:val="TableParagraph"/>
              <w:spacing w:line="319" w:lineRule="auto" w:before="31"/>
              <w:ind w:left="24" w:right="110"/>
              <w:jc w:val="left"/>
              <w:rPr>
                <w:rFonts w:ascii="宋体" w:hAnsi="宋体" w:cs="宋体" w:eastAsia="宋体" w:hint="default"/>
                <w:sz w:val="18"/>
                <w:szCs w:val="18"/>
              </w:rPr>
            </w:pPr>
            <w:r>
              <w:rPr>
                <w:rFonts w:ascii="宋体" w:hAnsi="宋体" w:cs="宋体" w:eastAsia="宋体" w:hint="default"/>
                <w:sz w:val="18"/>
                <w:szCs w:val="18"/>
              </w:rPr>
              <w:t>《关于 转让参 股公司 部分股 权的进 展公 </w:t>
            </w:r>
            <w:r>
              <w:rPr>
                <w:rFonts w:ascii="宋体" w:hAnsi="宋体" w:cs="宋体" w:eastAsia="宋体" w:hint="default"/>
                <w:spacing w:val="-31"/>
                <w:sz w:val="18"/>
                <w:szCs w:val="18"/>
              </w:rPr>
              <w:t>告》。</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6" w:right="0"/>
              <w:jc w:val="left"/>
              <w:rPr>
                <w:rFonts w:ascii="Times New Roman" w:hAnsi="Times New Roman" w:cs="Times New Roman" w:eastAsia="Times New Roman" w:hint="default"/>
                <w:sz w:val="18"/>
                <w:szCs w:val="18"/>
              </w:rPr>
            </w:pPr>
            <w:r>
              <w:rPr>
                <w:rFonts w:ascii="Times New Roman"/>
                <w:sz w:val="18"/>
              </w:rPr>
              <w:t>2019-07</w:t>
            </w:r>
          </w:p>
          <w:p>
            <w:pPr>
              <w:pStyle w:val="TableParagraph"/>
              <w:spacing w:line="312" w:lineRule="exact" w:before="24"/>
              <w:ind w:left="26" w:right="1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7"/>
                <w:sz w:val="18"/>
                <w:szCs w:val="18"/>
              </w:rPr>
              <w:t>9</w:t>
            </w:r>
            <w:r>
              <w:rPr>
                <w:rFonts w:ascii="宋体" w:hAnsi="宋体" w:cs="宋体" w:eastAsia="宋体" w:hint="default"/>
                <w:spacing w:val="-37"/>
                <w:sz w:val="18"/>
                <w:szCs w:val="18"/>
              </w:rPr>
              <w:t>）、《关</w:t>
            </w:r>
            <w:r>
              <w:rPr>
                <w:rFonts w:ascii="宋体" w:hAnsi="宋体" w:cs="宋体" w:eastAsia="宋体" w:hint="default"/>
                <w:sz w:val="18"/>
                <w:szCs w:val="18"/>
              </w:rPr>
              <w:t> 于转让 参股公 司部分 股权的 进展公 </w:t>
            </w:r>
            <w:r>
              <w:rPr>
                <w:rFonts w:ascii="宋体" w:hAnsi="宋体" w:cs="宋体" w:eastAsia="宋体" w:hint="default"/>
                <w:spacing w:val="-24"/>
                <w:sz w:val="18"/>
                <w:szCs w:val="18"/>
              </w:rPr>
              <w:t>告》（公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告编 号： </w:t>
            </w:r>
            <w:r>
              <w:rPr>
                <w:rFonts w:ascii="Times New Roman" w:hAnsi="Times New Roman" w:cs="Times New Roman" w:eastAsia="Times New Roman" w:hint="default"/>
                <w:sz w:val="18"/>
                <w:szCs w:val="18"/>
              </w:rPr>
              <w:t>2020-00</w:t>
            </w:r>
          </w:p>
          <w:p>
            <w:pPr>
              <w:pStyle w:val="TableParagraph"/>
              <w:spacing w:line="240" w:lineRule="auto" w:before="3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r>
      <w:tr>
        <w:trPr>
          <w:trHeight w:val="7266"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9" w:lineRule="auto"/>
              <w:ind w:left="24" w:right="108"/>
              <w:jc w:val="both"/>
              <w:rPr>
                <w:rFonts w:ascii="宋体" w:hAnsi="宋体" w:cs="宋体" w:eastAsia="宋体" w:hint="default"/>
                <w:sz w:val="18"/>
                <w:szCs w:val="18"/>
              </w:rPr>
            </w:pPr>
            <w:r>
              <w:rPr>
                <w:rFonts w:ascii="宋体" w:hAnsi="宋体" w:cs="宋体" w:eastAsia="宋体" w:hint="default"/>
                <w:sz w:val="18"/>
                <w:szCs w:val="18"/>
              </w:rPr>
              <w:t>新余银 石十五 号投资 管理合 伙企业</w:t>
            </w:r>
          </w:p>
          <w:p>
            <w:pPr>
              <w:pStyle w:val="TableParagraph"/>
              <w:spacing w:line="316" w:lineRule="auto" w:before="17"/>
              <w:ind w:left="24" w:right="108"/>
              <w:jc w:val="both"/>
              <w:rPr>
                <w:rFonts w:ascii="宋体" w:hAnsi="宋体" w:cs="宋体" w:eastAsia="宋体" w:hint="default"/>
                <w:sz w:val="18"/>
                <w:szCs w:val="18"/>
              </w:rPr>
            </w:pPr>
            <w:r>
              <w:rPr>
                <w:rFonts w:ascii="宋体" w:hAnsi="宋体" w:cs="宋体" w:eastAsia="宋体" w:hint="default"/>
                <w:sz w:val="18"/>
                <w:szCs w:val="18"/>
              </w:rPr>
              <w:t>（有限 合伙）</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9" w:lineRule="auto"/>
              <w:ind w:left="26" w:right="105"/>
              <w:jc w:val="both"/>
              <w:rPr>
                <w:rFonts w:ascii="宋体" w:hAnsi="宋体" w:cs="宋体" w:eastAsia="宋体" w:hint="default"/>
                <w:sz w:val="18"/>
                <w:szCs w:val="18"/>
              </w:rPr>
            </w:pPr>
            <w:r>
              <w:rPr>
                <w:rFonts w:ascii="宋体" w:hAnsi="宋体" w:cs="宋体" w:eastAsia="宋体" w:hint="default"/>
                <w:sz w:val="18"/>
                <w:szCs w:val="18"/>
              </w:rPr>
              <w:t>公司持 有的壹 办公</w:t>
            </w:r>
          </w:p>
          <w:p>
            <w:pPr>
              <w:pStyle w:val="TableParagraph"/>
              <w:spacing w:line="240" w:lineRule="auto" w:before="59"/>
              <w:ind w:left="26" w:right="0"/>
              <w:jc w:val="both"/>
              <w:rPr>
                <w:rFonts w:ascii="Times New Roman" w:hAnsi="Times New Roman" w:cs="Times New Roman" w:eastAsia="Times New Roman" w:hint="default"/>
                <w:sz w:val="18"/>
                <w:szCs w:val="18"/>
              </w:rPr>
            </w:pPr>
            <w:r>
              <w:rPr>
                <w:rFonts w:ascii="Times New Roman"/>
                <w:sz w:val="18"/>
              </w:rPr>
              <w:t>1,070,0</w:t>
            </w:r>
          </w:p>
          <w:p>
            <w:pPr>
              <w:pStyle w:val="TableParagraph"/>
              <w:spacing w:line="300" w:lineRule="auto" w:before="63"/>
              <w:ind w:left="26" w:right="59"/>
              <w:jc w:val="both"/>
              <w:rPr>
                <w:rFonts w:ascii="宋体" w:hAnsi="宋体" w:cs="宋体" w:eastAsia="宋体" w:hint="default"/>
                <w:sz w:val="18"/>
                <w:szCs w:val="18"/>
              </w:rPr>
            </w:pPr>
            <w:r>
              <w:rPr>
                <w:rFonts w:ascii="Times New Roman" w:hAnsi="Times New Roman" w:cs="Times New Roman" w:eastAsia="Times New Roman" w:hint="default"/>
                <w:sz w:val="18"/>
                <w:szCs w:val="18"/>
              </w:rPr>
              <w:t>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 权</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466.52</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3" w:right="107"/>
              <w:jc w:val="both"/>
              <w:rPr>
                <w:rFonts w:ascii="宋体" w:hAnsi="宋体" w:cs="宋体" w:eastAsia="宋体" w:hint="default"/>
                <w:sz w:val="18"/>
                <w:szCs w:val="18"/>
              </w:rPr>
            </w:pPr>
            <w:r>
              <w:rPr>
                <w:rFonts w:ascii="宋体" w:hAnsi="宋体" w:cs="宋体" w:eastAsia="宋体" w:hint="default"/>
                <w:sz w:val="18"/>
                <w:szCs w:val="18"/>
              </w:rPr>
              <w:t>有利于 公司初 始投资 成本的 部分收 回，促 进公司 投资价 值有效 实现， 增加公 司现金 流。</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00" w:lineRule="auto"/>
              <w:ind w:left="23"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1"/>
              <w:jc w:val="left"/>
              <w:rPr>
                <w:rFonts w:ascii="Times New Roman" w:hAnsi="Times New Roman" w:cs="Times New Roman" w:eastAsia="Times New Roman" w:hint="default"/>
                <w:sz w:val="18"/>
                <w:szCs w:val="18"/>
              </w:rPr>
            </w:pPr>
            <w:r>
              <w:rPr>
                <w:rFonts w:ascii="宋体" w:hAnsi="宋体" w:cs="宋体" w:eastAsia="宋体" w:hint="default"/>
                <w:sz w:val="18"/>
                <w:szCs w:val="18"/>
              </w:rPr>
              <w:t>受国内 新冠疫 情影响 未能按 计划如 期实 施，目 前各方 正在协 商签订 补充协 议，详 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2020</w:t>
            </w:r>
          </w:p>
          <w:p>
            <w:pPr>
              <w:pStyle w:val="TableParagraph"/>
              <w:spacing w:line="248" w:lineRule="exact"/>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0" w:lineRule="auto" w:before="63"/>
              <w:ind w:left="24"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日披 露的</w:t>
            </w:r>
          </w:p>
          <w:p>
            <w:pPr>
              <w:pStyle w:val="TableParagraph"/>
              <w:spacing w:line="319" w:lineRule="auto" w:before="31"/>
              <w:ind w:left="24" w:right="110"/>
              <w:jc w:val="left"/>
              <w:rPr>
                <w:rFonts w:ascii="宋体" w:hAnsi="宋体" w:cs="宋体" w:eastAsia="宋体" w:hint="default"/>
                <w:sz w:val="18"/>
                <w:szCs w:val="18"/>
              </w:rPr>
            </w:pPr>
            <w:r>
              <w:rPr>
                <w:rFonts w:ascii="宋体" w:hAnsi="宋体" w:cs="宋体" w:eastAsia="宋体" w:hint="default"/>
                <w:sz w:val="18"/>
                <w:szCs w:val="18"/>
              </w:rPr>
              <w:t>《关于 转让参 股公司 部分股 权的进 展公 </w:t>
            </w:r>
            <w:r>
              <w:rPr>
                <w:rFonts w:ascii="宋体" w:hAnsi="宋体" w:cs="宋体" w:eastAsia="宋体" w:hint="default"/>
                <w:spacing w:val="-31"/>
                <w:sz w:val="18"/>
                <w:szCs w:val="18"/>
              </w:rPr>
              <w:t>告》。</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2" w:lineRule="exact"/>
              <w:ind w:left="26"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 转让参 股公司 部分股 权的公 </w:t>
            </w:r>
            <w:r>
              <w:rPr>
                <w:rFonts w:ascii="宋体" w:hAnsi="宋体" w:cs="宋体" w:eastAsia="宋体" w:hint="default"/>
                <w:spacing w:val="-24"/>
                <w:sz w:val="18"/>
                <w:szCs w:val="18"/>
              </w:rPr>
              <w:t>告》（公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告编 号： </w:t>
            </w:r>
            <w:r>
              <w:rPr>
                <w:rFonts w:ascii="Times New Roman" w:hAnsi="Times New Roman" w:cs="Times New Roman" w:eastAsia="Times New Roman" w:hint="default"/>
                <w:sz w:val="18"/>
                <w:szCs w:val="18"/>
              </w:rPr>
              <w:t>2019-07</w:t>
            </w:r>
          </w:p>
          <w:p>
            <w:pPr>
              <w:pStyle w:val="TableParagraph"/>
              <w:spacing w:line="312" w:lineRule="exact"/>
              <w:ind w:left="26" w:right="1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7"/>
                <w:sz w:val="18"/>
                <w:szCs w:val="18"/>
              </w:rPr>
              <w:t>9</w:t>
            </w:r>
            <w:r>
              <w:rPr>
                <w:rFonts w:ascii="宋体" w:hAnsi="宋体" w:cs="宋体" w:eastAsia="宋体" w:hint="default"/>
                <w:spacing w:val="-37"/>
                <w:sz w:val="18"/>
                <w:szCs w:val="18"/>
              </w:rPr>
              <w:t>）、《关</w:t>
            </w:r>
            <w:r>
              <w:rPr>
                <w:rFonts w:ascii="宋体" w:hAnsi="宋体" w:cs="宋体" w:eastAsia="宋体" w:hint="default"/>
                <w:sz w:val="18"/>
                <w:szCs w:val="18"/>
              </w:rPr>
              <w:t> 于转让 参股公 司部分 股权的 进展公 </w:t>
            </w:r>
            <w:r>
              <w:rPr>
                <w:rFonts w:ascii="宋体" w:hAnsi="宋体" w:cs="宋体" w:eastAsia="宋体" w:hint="default"/>
                <w:spacing w:val="-24"/>
                <w:sz w:val="18"/>
                <w:szCs w:val="18"/>
              </w:rPr>
              <w:t>告》（公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告编 号： </w:t>
            </w:r>
            <w:r>
              <w:rPr>
                <w:rFonts w:ascii="Times New Roman" w:hAnsi="Times New Roman" w:cs="Times New Roman" w:eastAsia="Times New Roman" w:hint="default"/>
                <w:sz w:val="18"/>
                <w:szCs w:val="18"/>
              </w:rPr>
              <w:t>2020-00</w:t>
            </w:r>
          </w:p>
          <w:p>
            <w:pPr>
              <w:pStyle w:val="TableParagraph"/>
              <w:spacing w:line="240" w:lineRule="auto" w:before="3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1133"/>
        <w:jc w:val="left"/>
        <w:rPr>
          <w:b w:val="0"/>
          <w:bCs w:val="0"/>
        </w:rPr>
      </w:pP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980" w:top="1060" w:bottom="1160" w:left="980" w:right="0"/>
        </w:sectPr>
      </w:pPr>
    </w:p>
    <w:p>
      <w:pPr>
        <w:pStyle w:val="BodyText"/>
        <w:spacing w:line="240" w:lineRule="auto" w:before="44"/>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right="-18"/>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4851" w:space="4069"/>
            <w:col w:w="2010"/>
          </w:cols>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7"/>
        <w:gridCol w:w="1046"/>
        <w:gridCol w:w="1044"/>
        <w:gridCol w:w="1045"/>
        <w:gridCol w:w="1046"/>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5"/>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96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4" w:right="118"/>
              <w:jc w:val="both"/>
              <w:rPr>
                <w:rFonts w:ascii="宋体" w:hAnsi="宋体" w:cs="宋体" w:eastAsia="宋体" w:hint="default"/>
                <w:sz w:val="18"/>
                <w:szCs w:val="18"/>
              </w:rPr>
            </w:pPr>
            <w:r>
              <w:rPr>
                <w:rFonts w:ascii="宋体" w:hAnsi="宋体" w:cs="宋体" w:eastAsia="宋体" w:hint="default"/>
                <w:sz w:val="18"/>
                <w:szCs w:val="18"/>
              </w:rPr>
              <w:t>苏州吴中恒 久光电子科 技有限公司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0"/>
              <w:jc w:val="both"/>
              <w:rPr>
                <w:rFonts w:ascii="宋体" w:hAnsi="宋体" w:cs="宋体" w:eastAsia="宋体" w:hint="default"/>
                <w:sz w:val="18"/>
                <w:szCs w:val="18"/>
              </w:rPr>
            </w:pPr>
            <w:r>
              <w:rPr>
                <w:rFonts w:ascii="宋体" w:hAnsi="宋体" w:cs="宋体" w:eastAsia="宋体" w:hint="default"/>
                <w:sz w:val="18"/>
                <w:szCs w:val="18"/>
              </w:rPr>
              <w:t>光电子器件 与组件、计 算机及其周 边设备的研 发、生产与 销售</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6"/>
              <w:jc w:val="right"/>
              <w:rPr>
                <w:rFonts w:ascii="Times New Roman" w:hAnsi="Times New Roman" w:cs="Times New Roman" w:eastAsia="Times New Roman" w:hint="default"/>
                <w:sz w:val="18"/>
                <w:szCs w:val="18"/>
              </w:rPr>
            </w:pPr>
            <w:r>
              <w:rPr>
                <w:rFonts w:ascii="Times New Roman"/>
                <w:spacing w:val="-1"/>
                <w:sz w:val="18"/>
              </w:rPr>
              <w:t>90,000,000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200,078,332.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174,820,510.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52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155,520,744.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8,773,725.06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7,195,559.95</w:t>
            </w:r>
          </w:p>
        </w:tc>
      </w:tr>
      <w:tr>
        <w:trPr>
          <w:trHeight w:val="5081"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316" w:lineRule="auto"/>
              <w:ind w:left="24" w:right="118"/>
              <w:jc w:val="both"/>
              <w:rPr>
                <w:rFonts w:ascii="宋体" w:hAnsi="宋体" w:cs="宋体" w:eastAsia="宋体" w:hint="default"/>
                <w:sz w:val="18"/>
                <w:szCs w:val="18"/>
              </w:rPr>
            </w:pPr>
            <w:r>
              <w:rPr>
                <w:rFonts w:ascii="宋体" w:hAnsi="宋体" w:cs="宋体" w:eastAsia="宋体" w:hint="default"/>
                <w:sz w:val="18"/>
                <w:szCs w:val="18"/>
              </w:rPr>
              <w:t>福建省闽保 信息技术有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计算机软硬 件开发、设 计及安装施 工；电子与 智能化工程 的设计与施 工；在线数 据处理与交 易处理业 务；安防工 程的设计与 施工；计算 机系统集成 服务；档案 数字化服务 等</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96"/>
              <w:jc w:val="right"/>
              <w:rPr>
                <w:rFonts w:ascii="Times New Roman" w:hAnsi="Times New Roman" w:cs="Times New Roman" w:eastAsia="Times New Roman" w:hint="default"/>
                <w:sz w:val="18"/>
                <w:szCs w:val="18"/>
              </w:rPr>
            </w:pPr>
            <w:r>
              <w:rPr>
                <w:rFonts w:ascii="Times New Roman"/>
                <w:spacing w:val="-1"/>
                <w:sz w:val="18"/>
              </w:rPr>
              <w:t>32,132,800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pacing w:val="-1"/>
                <w:sz w:val="18"/>
              </w:rPr>
              <w:t>73,279,684.1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22"/>
              <w:jc w:val="right"/>
              <w:rPr>
                <w:rFonts w:ascii="Times New Roman" w:hAnsi="Times New Roman" w:cs="Times New Roman" w:eastAsia="Times New Roman" w:hint="default"/>
                <w:sz w:val="18"/>
                <w:szCs w:val="18"/>
              </w:rPr>
            </w:pPr>
            <w:r>
              <w:rPr>
                <w:rFonts w:ascii="Times New Roman"/>
                <w:spacing w:val="-1"/>
                <w:sz w:val="18"/>
              </w:rPr>
              <w:t>41,446,127.3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19"/>
              <w:jc w:val="right"/>
              <w:rPr>
                <w:rFonts w:ascii="Times New Roman" w:hAnsi="Times New Roman" w:cs="Times New Roman" w:eastAsia="Times New Roman" w:hint="default"/>
                <w:sz w:val="18"/>
                <w:szCs w:val="18"/>
              </w:rPr>
            </w:pPr>
            <w:r>
              <w:rPr>
                <w:rFonts w:ascii="Times New Roman"/>
                <w:spacing w:val="-1"/>
                <w:sz w:val="18"/>
              </w:rPr>
              <w:t>37,137,394.0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pacing w:val="-1"/>
                <w:sz w:val="18"/>
              </w:rPr>
              <w:t>17,941,698.5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17"/>
              <w:jc w:val="right"/>
              <w:rPr>
                <w:rFonts w:ascii="Times New Roman" w:hAnsi="Times New Roman" w:cs="Times New Roman" w:eastAsia="Times New Roman" w:hint="default"/>
                <w:sz w:val="18"/>
                <w:szCs w:val="18"/>
              </w:rPr>
            </w:pPr>
            <w:r>
              <w:rPr>
                <w:rFonts w:ascii="Times New Roman"/>
                <w:spacing w:val="-1"/>
                <w:sz w:val="18"/>
              </w:rPr>
              <w:t>15,253,657.3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w:t>
            </w:r>
          </w:p>
        </w:tc>
      </w:tr>
      <w:tr>
        <w:trPr>
          <w:trHeight w:val="196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4" w:right="118"/>
              <w:jc w:val="both"/>
              <w:rPr>
                <w:rFonts w:ascii="宋体" w:hAnsi="宋体" w:cs="宋体" w:eastAsia="宋体" w:hint="default"/>
                <w:sz w:val="18"/>
                <w:szCs w:val="18"/>
              </w:rPr>
            </w:pPr>
            <w:r>
              <w:rPr>
                <w:rFonts w:ascii="宋体" w:hAnsi="宋体" w:cs="宋体" w:eastAsia="宋体" w:hint="default"/>
                <w:sz w:val="18"/>
                <w:szCs w:val="18"/>
              </w:rPr>
              <w:t>深圳市壹办 公科技股份 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0"/>
              <w:jc w:val="both"/>
              <w:rPr>
                <w:rFonts w:ascii="宋体" w:hAnsi="宋体" w:cs="宋体" w:eastAsia="宋体" w:hint="default"/>
                <w:sz w:val="18"/>
                <w:szCs w:val="18"/>
              </w:rPr>
            </w:pPr>
            <w:r>
              <w:rPr>
                <w:rFonts w:ascii="宋体" w:hAnsi="宋体" w:cs="宋体" w:eastAsia="宋体" w:hint="default"/>
                <w:sz w:val="18"/>
                <w:szCs w:val="18"/>
              </w:rPr>
              <w:t>硒鼓等打印 机耗材的生 产与销售； 办公设备及 耗材的批发 与零售等</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6"/>
              <w:jc w:val="right"/>
              <w:rPr>
                <w:rFonts w:ascii="Times New Roman" w:hAnsi="Times New Roman" w:cs="Times New Roman" w:eastAsia="Times New Roman" w:hint="default"/>
                <w:sz w:val="18"/>
                <w:szCs w:val="18"/>
              </w:rPr>
            </w:pPr>
            <w:r>
              <w:rPr>
                <w:rFonts w:ascii="Times New Roman"/>
                <w:spacing w:val="-1"/>
                <w:sz w:val="18"/>
              </w:rPr>
              <w:t>38,522,880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154,185,472.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17,746,260.7</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410,682,780.</w:t>
            </w:r>
          </w:p>
          <w:p>
            <w:pPr>
              <w:pStyle w:val="TableParagraph"/>
              <w:spacing w:line="240" w:lineRule="auto" w:before="102"/>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-36,297,281.</w:t>
            </w:r>
            <w:r>
              <w:rPr>
                <w:rFonts w:ascii="Times New Roman"/>
                <w:sz w:val="18"/>
              </w:rPr>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-43,414,195.</w:t>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49</w:t>
            </w:r>
          </w:p>
        </w:tc>
      </w:tr>
    </w:tbl>
    <w:p>
      <w:pPr>
        <w:pStyle w:val="BodyText"/>
        <w:spacing w:line="240" w:lineRule="auto" w:before="49"/>
        <w:ind w:right="1133"/>
        <w:jc w:val="left"/>
      </w:pPr>
      <w:r>
        <w:rPr/>
        <w:t>报告期内取得和处置子公司的情况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2909"/>
        <w:gridCol w:w="347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102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福建省闽保信息技术有限公司</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现金购买</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年，该公司净利润</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15,253,657.35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纳入公司合并报表范围净利润</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9,554,604.48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r>
    </w:tbl>
    <w:p>
      <w:pPr>
        <w:pStyle w:val="BodyText"/>
        <w:spacing w:line="439" w:lineRule="auto" w:before="49"/>
        <w:ind w:left="513" w:right="1198" w:hanging="361"/>
        <w:jc w:val="left"/>
      </w:pPr>
      <w:r>
        <w:rPr/>
        <w:t>主要控股参股公司情况说明 福建省闽保信息技术有限公司为公司控股子公司，持股比例为</w:t>
      </w:r>
      <w:r>
        <w:rPr>
          <w:rFonts w:ascii="Times New Roman" w:hAnsi="Times New Roman" w:cs="Times New Roman" w:eastAsia="Times New Roman" w:hint="default"/>
        </w:rPr>
        <w:t>71.26%</w:t>
      </w:r>
      <w:r>
        <w:rPr/>
        <w:t>。闽保信息是一家从事信息安全领域软件开发及</w:t>
      </w:r>
    </w:p>
    <w:p>
      <w:pPr>
        <w:pStyle w:val="BodyText"/>
        <w:spacing w:line="463" w:lineRule="auto" w:before="53"/>
        <w:ind w:right="1130"/>
        <w:jc w:val="both"/>
      </w:pPr>
      <w:r>
        <w:rPr>
          <w:spacing w:val="-2"/>
        </w:rPr>
        <w:t>系统集成的高新技术企业，作为信息安全整体解决方案服务商，专注于信息安全及保密技术与产品的研发、生产及销售，其</w:t>
      </w:r>
      <w:r>
        <w:rPr>
          <w:spacing w:val="-63"/>
        </w:rPr>
        <w:t> </w:t>
      </w:r>
      <w:r>
        <w:rPr>
          <w:spacing w:val="-63"/>
        </w:rPr>
      </w:r>
      <w:r>
        <w:rPr/>
        <w:t>拥有</w:t>
      </w:r>
      <w:r>
        <w:rPr>
          <w:rFonts w:ascii="Times New Roman" w:hAnsi="Times New Roman" w:cs="Times New Roman" w:eastAsia="Times New Roman" w:hint="default"/>
        </w:rPr>
        <w:t>CMMI5</w:t>
      </w:r>
      <w:r>
        <w:rPr/>
        <w:t>（软件能力成熟度模型）认定、涉密信息系统集成乙级、信息安全服务资质（信息系统安全集成三级）、武器 </w:t>
      </w:r>
      <w:r>
        <w:rPr>
          <w:spacing w:val="-1"/>
        </w:rPr>
        <w:t>装备质量体系认证等多项信息安全及保密业务相关资质及证书。</w:t>
      </w:r>
      <w:r>
        <w:rPr>
          <w:rFonts w:ascii="Times New Roman" w:hAnsi="Times New Roman" w:cs="Times New Roman" w:eastAsia="Times New Roman" w:hint="default"/>
          <w:spacing w:val="-1"/>
        </w:rPr>
        <w:t>2019</w:t>
      </w:r>
      <w:r>
        <w:rPr>
          <w:spacing w:val="-1"/>
        </w:rPr>
        <w:t>年全年，闽保信息实现营业收入</w:t>
      </w:r>
      <w:r>
        <w:rPr>
          <w:rFonts w:ascii="Times New Roman" w:hAnsi="Times New Roman" w:cs="Times New Roman" w:eastAsia="Times New Roman" w:hint="default"/>
          <w:spacing w:val="-1"/>
        </w:rPr>
        <w:t>37,137,394.07</w:t>
      </w:r>
      <w:r>
        <w:rPr>
          <w:spacing w:val="-1"/>
        </w:rPr>
        <w:t>元，实现</w:t>
      </w:r>
    </w:p>
    <w:p>
      <w:pPr>
        <w:spacing w:after="0" w:line="463"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51" w:lineRule="auto"/>
        <w:ind w:left="513" w:right="1198" w:hanging="361"/>
        <w:jc w:val="left"/>
      </w:pPr>
      <w:r>
        <w:rPr/>
        <w:t>净利润</w:t>
      </w:r>
      <w:r>
        <w:rPr>
          <w:rFonts w:ascii="Times New Roman" w:hAnsi="Times New Roman" w:cs="Times New Roman" w:eastAsia="Times New Roman" w:hint="default"/>
        </w:rPr>
        <w:t>15,253,657.35</w:t>
      </w:r>
      <w:r>
        <w:rPr/>
        <w:t>元；</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月纳入公司合并报表范围实现营业收入</w:t>
      </w:r>
      <w:r>
        <w:rPr>
          <w:rFonts w:ascii="Times New Roman" w:hAnsi="Times New Roman" w:cs="Times New Roman" w:eastAsia="Times New Roman" w:hint="default"/>
        </w:rPr>
        <w:t>18,272,085.43</w:t>
      </w:r>
      <w:r>
        <w:rPr/>
        <w:t>元，净利润</w:t>
      </w:r>
      <w:r>
        <w:rPr>
          <w:rFonts w:ascii="Times New Roman" w:hAnsi="Times New Roman" w:cs="Times New Roman" w:eastAsia="Times New Roman" w:hint="default"/>
        </w:rPr>
        <w:t>9,554,604.48</w:t>
      </w:r>
      <w:r>
        <w:rPr/>
        <w:t>元。 深圳市壹办公科技股份有限公司系本公司参股公司，持股比例为</w:t>
      </w:r>
      <w:r>
        <w:rPr>
          <w:rFonts w:ascii="Times New Roman" w:hAnsi="Times New Roman" w:cs="Times New Roman" w:eastAsia="Times New Roman" w:hint="default"/>
        </w:rPr>
        <w:t>27.50%</w:t>
      </w:r>
      <w:r>
        <w:rPr/>
        <w:t>。壹办公为全国中小企业股份转让系统挂牌公</w:t>
      </w:r>
    </w:p>
    <w:p>
      <w:pPr>
        <w:pStyle w:val="BodyText"/>
        <w:spacing w:line="451" w:lineRule="auto" w:before="43"/>
        <w:ind w:right="1049"/>
        <w:jc w:val="left"/>
      </w:pPr>
      <w:r>
        <w:rPr/>
        <w:t>司（证券代码：</w:t>
      </w:r>
      <w:r>
        <w:rPr>
          <w:rFonts w:ascii="Times New Roman" w:hAnsi="Times New Roman" w:cs="Times New Roman" w:eastAsia="Times New Roman" w:hint="default"/>
        </w:rPr>
        <w:t>837439</w:t>
      </w:r>
      <w:r>
        <w:rPr/>
        <w:t>），其一方面致力于打印耗材硒鼓、墨盒的研发、生产和销售；另一方面开发运营了</w:t>
      </w:r>
      <w:r>
        <w:rPr>
          <w:rFonts w:ascii="Times New Roman" w:hAnsi="Times New Roman" w:cs="Times New Roman" w:eastAsia="Times New Roman" w:hint="default"/>
        </w:rPr>
        <w:t>“</w:t>
      </w:r>
      <w:r>
        <w:rPr/>
        <w:t>壹办公电商云 </w:t>
      </w:r>
      <w:r>
        <w:rPr>
          <w:spacing w:val="-2"/>
        </w:rPr>
        <w:t>平台</w:t>
      </w:r>
      <w:r>
        <w:rPr>
          <w:rFonts w:ascii="Times New Roman" w:hAnsi="Times New Roman" w:cs="Times New Roman" w:eastAsia="Times New Roman" w:hint="default"/>
          <w:spacing w:val="-2"/>
        </w:rPr>
        <w:t>”</w:t>
      </w:r>
      <w:r>
        <w:rPr>
          <w:spacing w:val="-2"/>
        </w:rPr>
        <w:t>，专注于大办公行业的互联网</w:t>
      </w:r>
      <w:r>
        <w:rPr>
          <w:rFonts w:ascii="Times New Roman" w:hAnsi="Times New Roman" w:cs="Times New Roman" w:eastAsia="Times New Roman" w:hint="default"/>
          <w:spacing w:val="-2"/>
        </w:rPr>
        <w:t>+</w:t>
      </w:r>
      <w:r>
        <w:rPr>
          <w:spacing w:val="-2"/>
        </w:rPr>
        <w:t>政采（集采）电商平台运营。</w:t>
      </w:r>
      <w:r>
        <w:rPr>
          <w:rFonts w:ascii="Times New Roman" w:hAnsi="Times New Roman" w:cs="Times New Roman" w:eastAsia="Times New Roman" w:hint="default"/>
          <w:spacing w:val="-2"/>
        </w:rPr>
        <w:t>2019</w:t>
      </w:r>
      <w:r>
        <w:rPr>
          <w:spacing w:val="-2"/>
        </w:rPr>
        <w:t>年，壹办公受市场竞争激烈的影响，工厂业务受到影</w:t>
      </w:r>
      <w:r>
        <w:rPr>
          <w:spacing w:val="-66"/>
        </w:rPr>
        <w:t> </w:t>
      </w:r>
      <w:r>
        <w:rPr>
          <w:spacing w:val="-66"/>
        </w:rPr>
      </w:r>
      <w:r>
        <w:rPr/>
        <w:t>响，叠加筹备子公司壹供享供应链平台，壹供享主要开发交易平台，技术人员等开发费用较大，导致亏损较大。</w:t>
      </w:r>
      <w:r>
        <w:rPr>
          <w:rFonts w:ascii="Times New Roman" w:hAnsi="Times New Roman" w:cs="Times New Roman" w:eastAsia="Times New Roman" w:hint="default"/>
        </w:rPr>
        <w:t>2019</w:t>
      </w:r>
      <w:r>
        <w:rPr/>
        <w:t>年度， 该公司实现净利润</w:t>
      </w:r>
      <w:r>
        <w:rPr>
          <w:rFonts w:ascii="Times New Roman" w:hAnsi="Times New Roman" w:cs="Times New Roman" w:eastAsia="Times New Roman" w:hint="default"/>
        </w:rPr>
        <w:t>-4,341.42</w:t>
      </w:r>
      <w:r>
        <w:rPr/>
        <w:t>万元，公司按权益法核算的投资收益为</w:t>
      </w:r>
      <w:r>
        <w:rPr>
          <w:rFonts w:ascii="Times New Roman" w:hAnsi="Times New Roman" w:cs="Times New Roman" w:eastAsia="Times New Roman" w:hint="default"/>
        </w:rPr>
        <w:t>-1,193.89</w:t>
      </w:r>
      <w:r>
        <w:rPr/>
        <w:t>万元。关于转让壹办公</w:t>
      </w:r>
      <w:r>
        <w:rPr>
          <w:rFonts w:ascii="Times New Roman" w:hAnsi="Times New Roman" w:cs="Times New Roman" w:eastAsia="Times New Roman" w:hint="default"/>
        </w:rPr>
        <w:t>8.732%</w:t>
      </w:r>
      <w:r>
        <w:rPr/>
        <w:t>事宜，公司与交易 各方正在积极协商中。具体内容详见公司公告（编号：</w:t>
      </w:r>
      <w:r>
        <w:rPr>
          <w:rFonts w:ascii="Times New Roman" w:hAnsi="Times New Roman" w:cs="Times New Roman" w:eastAsia="Times New Roman" w:hint="default"/>
        </w:rPr>
        <w:t>2019-079</w:t>
      </w:r>
      <w:r>
        <w:rPr/>
        <w:t>、</w:t>
      </w:r>
      <w:r>
        <w:rPr>
          <w:rFonts w:ascii="Times New Roman" w:hAnsi="Times New Roman" w:cs="Times New Roman" w:eastAsia="Times New Roman" w:hint="default"/>
        </w:rPr>
        <w:t>2020-008</w:t>
      </w:r>
      <w:r>
        <w:rPr/>
        <w:t>）。</w:t>
      </w:r>
    </w:p>
    <w:p>
      <w:pPr>
        <w:spacing w:line="240" w:lineRule="auto" w:before="9"/>
        <w:rPr>
          <w:rFonts w:ascii="宋体" w:hAnsi="宋体" w:cs="宋体" w:eastAsia="宋体" w:hint="default"/>
          <w:sz w:val="16"/>
          <w:szCs w:val="16"/>
        </w:rPr>
      </w:pPr>
    </w:p>
    <w:p>
      <w:pPr>
        <w:pStyle w:val="Heading2"/>
        <w:spacing w:line="240" w:lineRule="auto"/>
        <w:ind w:right="1133"/>
        <w:jc w:val="left"/>
        <w:rPr>
          <w:b w:val="0"/>
          <w:bCs w:val="0"/>
        </w:rPr>
      </w:pP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九、公司未来发展的展望</w:t>
      </w:r>
      <w:r>
        <w:rPr>
          <w:b w:val="0"/>
          <w:bCs w:val="0"/>
        </w:rPr>
      </w:r>
    </w:p>
    <w:p>
      <w:pPr>
        <w:spacing w:line="240" w:lineRule="auto" w:before="7"/>
        <w:rPr>
          <w:rFonts w:ascii="宋体" w:hAnsi="宋体" w:cs="宋体" w:eastAsia="宋体" w:hint="default"/>
          <w:b/>
          <w:bCs/>
          <w:sz w:val="32"/>
          <w:szCs w:val="32"/>
        </w:rPr>
      </w:pPr>
    </w:p>
    <w:p>
      <w:pPr>
        <w:pStyle w:val="Heading4"/>
        <w:spacing w:line="240" w:lineRule="auto"/>
        <w:ind w:right="1133"/>
        <w:jc w:val="left"/>
        <w:rPr>
          <w:b w:val="0"/>
          <w:bCs w:val="0"/>
        </w:rPr>
      </w:pPr>
      <w:r>
        <w:rPr/>
        <w:t>（一）行业发展格局与趋势</w:t>
      </w:r>
      <w:r>
        <w:rPr>
          <w:b w:val="0"/>
          <w:bCs w:val="0"/>
        </w:rPr>
      </w:r>
    </w:p>
    <w:p>
      <w:pPr>
        <w:spacing w:line="240" w:lineRule="auto" w:before="10"/>
        <w:rPr>
          <w:rFonts w:ascii="宋体" w:hAnsi="宋体" w:cs="宋体" w:eastAsia="宋体" w:hint="default"/>
          <w:b/>
          <w:bCs/>
          <w:sz w:val="17"/>
          <w:szCs w:val="17"/>
        </w:rPr>
      </w:pPr>
    </w:p>
    <w:p>
      <w:pPr>
        <w:pStyle w:val="BodyText"/>
        <w:spacing w:line="451" w:lineRule="auto"/>
        <w:ind w:left="513" w:right="1129"/>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）影像耗材领域</w:t>
      </w:r>
      <w:r>
        <w:rPr>
          <w:rFonts w:ascii="宋体" w:hAnsi="宋体" w:cs="宋体" w:eastAsia="宋体" w:hint="default"/>
          <w:b/>
          <w:bCs/>
          <w:w w:val="99"/>
        </w:rPr>
        <w:t> </w:t>
      </w:r>
      <w:r>
        <w:rPr>
          <w:spacing w:val="-2"/>
        </w:rPr>
        <w:t>近年来，围绕公司长期发展战略，公司通过相关投资逐步在打印耗材产业领域进行了一定的扩展与布局，初步形成并正</w:t>
      </w:r>
    </w:p>
    <w:p>
      <w:pPr>
        <w:pStyle w:val="BodyText"/>
        <w:spacing w:line="451" w:lineRule="auto" w:before="74"/>
        <w:ind w:left="513" w:right="1129" w:hanging="361"/>
        <w:jc w:val="left"/>
      </w:pPr>
      <w:r>
        <w:rPr/>
        <w:t>在继续培育有机光导鼓（</w:t>
      </w:r>
      <w:r>
        <w:rPr>
          <w:rFonts w:ascii="Times New Roman" w:hAnsi="Times New Roman" w:cs="Times New Roman" w:eastAsia="Times New Roman" w:hint="default"/>
        </w:rPr>
        <w:t>OPC</w:t>
      </w:r>
      <w:r>
        <w:rPr/>
        <w:t>）、碳粉、硒鼓以及大办公电商采购平台构成的影像耗材产业链。 </w:t>
      </w:r>
      <w:r>
        <w:rPr>
          <w:spacing w:val="-2"/>
        </w:rPr>
        <w:t>有机光导鼓的市场主要分为原装配套市场和通用耗材市场两部分。原装配套市场仍几乎全部被外资品牌垄断。通用耗材</w:t>
      </w:r>
    </w:p>
    <w:p>
      <w:pPr>
        <w:pStyle w:val="BodyText"/>
        <w:spacing w:line="477" w:lineRule="auto" w:before="74"/>
        <w:ind w:right="1131"/>
        <w:jc w:val="both"/>
      </w:pPr>
      <w:r>
        <w:rPr>
          <w:spacing w:val="-2"/>
        </w:rPr>
        <w:t>市场企业一方面依靠生产技术和产品品质，在与原装配套企业竞争中不断获得新的市场份额，且随着自身产品质量的不断改</w:t>
      </w:r>
      <w:r>
        <w:rPr>
          <w:spacing w:val="-64"/>
        </w:rPr>
        <w:t> </w:t>
      </w:r>
      <w:r>
        <w:rPr>
          <w:spacing w:val="-64"/>
        </w:rPr>
      </w:r>
      <w:r>
        <w:rPr>
          <w:spacing w:val="-2"/>
        </w:rPr>
        <w:t>善以及价格上的优势，通用耗材的市场占有率将越来越高；另一方面，随着通用耗材行业内各企业的发展，通用耗材企业之</w:t>
      </w:r>
      <w:r>
        <w:rPr>
          <w:spacing w:val="-65"/>
        </w:rPr>
        <w:t> </w:t>
      </w:r>
      <w:r>
        <w:rPr>
          <w:spacing w:val="-65"/>
        </w:rPr>
      </w:r>
      <w:r>
        <w:rPr>
          <w:spacing w:val="-2"/>
        </w:rPr>
        <w:t>间的竞争也日趋激烈，在面临巨大挑战的同时，也面临巨大的机遇，各企业在战略、品牌、技术、质量、价格等方面进行市</w:t>
      </w:r>
      <w:r>
        <w:rPr>
          <w:spacing w:val="-73"/>
        </w:rPr>
        <w:t> </w:t>
      </w:r>
      <w:r>
        <w:rPr>
          <w:spacing w:val="-73"/>
        </w:rPr>
      </w:r>
      <w:r>
        <w:rPr/>
        <w:t>场布局并充分竞争，在巩固原有市场份额的同时开拓新的市场，以提升企业的核心竞争优势。</w:t>
      </w:r>
    </w:p>
    <w:p>
      <w:pPr>
        <w:pStyle w:val="BodyText"/>
        <w:spacing w:line="470" w:lineRule="auto" w:before="54"/>
        <w:ind w:right="1034" w:firstLine="360"/>
        <w:jc w:val="left"/>
      </w:pPr>
      <w:r>
        <w:rPr/>
        <w:t>有机光导鼓作为激光打印机、数码复印机、激光传真机及多功能一体机等现代办公设备中最为核心的部件及耗材之一， </w:t>
      </w:r>
      <w:r>
        <w:rPr>
          <w:spacing w:val="-2"/>
        </w:rPr>
        <w:t>其市场需求与激光打印机、数码复印机、激光传真机及多功能一体机的产量与保有量息息相关。近年来，随着信息技术的不</w:t>
      </w:r>
      <w:r>
        <w:rPr>
          <w:spacing w:val="-64"/>
        </w:rPr>
        <w:t> </w:t>
      </w:r>
      <w:r>
        <w:rPr>
          <w:spacing w:val="-64"/>
        </w:rPr>
      </w:r>
      <w:r>
        <w:rPr>
          <w:spacing w:val="-2"/>
        </w:rPr>
        <w:t>断发展与突破，全球打印外设设备（</w:t>
      </w:r>
      <w:r>
        <w:rPr>
          <w:rFonts w:ascii="Times New Roman" w:hAnsi="Times New Roman" w:cs="Times New Roman" w:eastAsia="Times New Roman" w:hint="default"/>
          <w:spacing w:val="-2"/>
        </w:rPr>
        <w:t>HCP</w:t>
      </w:r>
      <w:r>
        <w:rPr>
          <w:spacing w:val="-2"/>
        </w:rPr>
        <w:t>）市场出货量均保持稳定发展，同时，随着数码印刷技术的快速发展和应用的日益</w:t>
      </w:r>
      <w:r>
        <w:rPr>
          <w:spacing w:val="-56"/>
        </w:rPr>
        <w:t> </w:t>
      </w:r>
      <w:r>
        <w:rPr>
          <w:spacing w:val="-56"/>
        </w:rPr>
      </w:r>
      <w:r>
        <w:rPr>
          <w:spacing w:val="-2"/>
        </w:rPr>
        <w:t>广泛，人们对印刷品快速化、个性化、多样性的需求不断增加，带动数码印刷行业迅速发展。这些均为有机光导鼓行业的发</w:t>
      </w:r>
      <w:r>
        <w:rPr>
          <w:spacing w:val="-67"/>
        </w:rPr>
        <w:t> </w:t>
      </w:r>
      <w:r>
        <w:rPr>
          <w:spacing w:val="-67"/>
        </w:rPr>
      </w:r>
      <w:r>
        <w:rPr/>
        <w:t>展带来广阔的市场空间与行业前景。</w:t>
      </w:r>
    </w:p>
    <w:p>
      <w:pPr>
        <w:pStyle w:val="BodyText"/>
        <w:spacing w:line="451" w:lineRule="auto" w:before="59"/>
        <w:ind w:right="1131" w:firstLine="360"/>
        <w:jc w:val="both"/>
      </w:pPr>
      <w:r>
        <w:rPr/>
        <w:t>根据智研咨询网发布的《</w:t>
      </w:r>
      <w:r>
        <w:rPr>
          <w:rFonts w:ascii="Times New Roman" w:hAnsi="Times New Roman" w:cs="Times New Roman" w:eastAsia="Times New Roman" w:hint="default"/>
        </w:rPr>
        <w:t>2018-2024</w:t>
      </w:r>
      <w:r>
        <w:rPr/>
        <w:t>年中国打印机行业竞争现状及投资前景分析报告》，</w:t>
      </w:r>
      <w:r>
        <w:rPr>
          <w:rFonts w:ascii="Times New Roman" w:hAnsi="Times New Roman" w:cs="Times New Roman" w:eastAsia="Times New Roman" w:hint="default"/>
        </w:rPr>
        <w:t>2018</w:t>
      </w:r>
      <w:r>
        <w:rPr/>
        <w:t>年全球打印耗材整体的出 </w:t>
      </w:r>
      <w:r>
        <w:rPr>
          <w:spacing w:val="-1"/>
        </w:rPr>
        <w:t>货金额将达到</w:t>
      </w:r>
      <w:r>
        <w:rPr>
          <w:rFonts w:ascii="Times New Roman" w:hAnsi="Times New Roman" w:cs="Times New Roman" w:eastAsia="Times New Roman" w:hint="default"/>
          <w:spacing w:val="-1"/>
        </w:rPr>
        <w:t>777.30</w:t>
      </w:r>
      <w:r>
        <w:rPr>
          <w:spacing w:val="-1"/>
        </w:rPr>
        <w:t>亿美元，预计未来</w:t>
      </w:r>
      <w:r>
        <w:rPr>
          <w:rFonts w:ascii="Times New Roman" w:hAnsi="Times New Roman" w:cs="Times New Roman" w:eastAsia="Times New Roman" w:hint="default"/>
          <w:spacing w:val="-1"/>
        </w:rPr>
        <w:t>5</w:t>
      </w:r>
      <w:r>
        <w:rPr>
          <w:spacing w:val="-1"/>
        </w:rPr>
        <w:t>年年均复合增长率为</w:t>
      </w:r>
      <w:r>
        <w:rPr>
          <w:rFonts w:ascii="Times New Roman" w:hAnsi="Times New Roman" w:cs="Times New Roman" w:eastAsia="Times New Roman" w:hint="default"/>
          <w:spacing w:val="-1"/>
        </w:rPr>
        <w:t>0.3%</w:t>
      </w:r>
      <w:r>
        <w:rPr>
          <w:spacing w:val="-1"/>
        </w:rPr>
        <w:t>；中国市场的出货金额将达到</w:t>
      </w:r>
      <w:r>
        <w:rPr>
          <w:rFonts w:ascii="Times New Roman" w:hAnsi="Times New Roman" w:cs="Times New Roman" w:eastAsia="Times New Roman" w:hint="default"/>
          <w:spacing w:val="-1"/>
        </w:rPr>
        <w:t>1,421.41</w:t>
      </w:r>
      <w:r>
        <w:rPr>
          <w:spacing w:val="-1"/>
        </w:rPr>
        <w:t>亿人民币，预计未来</w:t>
      </w:r>
      <w:r>
        <w:rPr>
          <w:spacing w:val="-86"/>
        </w:rPr>
        <w:t> </w:t>
      </w:r>
      <w:r>
        <w:rPr>
          <w:spacing w:val="-86"/>
        </w:rPr>
      </w:r>
      <w:r>
        <w:rPr>
          <w:rFonts w:ascii="Times New Roman" w:hAnsi="Times New Roman" w:cs="Times New Roman" w:eastAsia="Times New Roman" w:hint="default"/>
        </w:rPr>
        <w:t>5</w:t>
      </w:r>
      <w:r>
        <w:rPr/>
        <w:t>年年均复合增长率为</w:t>
      </w:r>
      <w:r>
        <w:rPr>
          <w:rFonts w:ascii="Times New Roman" w:hAnsi="Times New Roman" w:cs="Times New Roman" w:eastAsia="Times New Roman" w:hint="default"/>
        </w:rPr>
        <w:t>2.5%</w:t>
      </w:r>
      <w:r>
        <w:rPr/>
        <w:t>，超过全球行业增速。</w:t>
      </w:r>
    </w:p>
    <w:p>
      <w:pPr>
        <w:pStyle w:val="Heading4"/>
        <w:spacing w:line="240" w:lineRule="auto" w:before="43"/>
        <w:ind w:right="1133"/>
        <w:jc w:val="left"/>
        <w:rPr>
          <w:b w:val="0"/>
          <w:bCs w:val="0"/>
        </w:rPr>
      </w:pPr>
      <w:r>
        <w:rPr/>
        <w:t>（</w:t>
      </w:r>
      <w:r>
        <w:rPr>
          <w:rFonts w:ascii="Times New Roman" w:hAnsi="Times New Roman" w:cs="Times New Roman" w:eastAsia="Times New Roman" w:hint="default"/>
        </w:rPr>
        <w:t>2</w:t>
      </w:r>
      <w:r>
        <w:rPr/>
        <w:t>）信息安全</w:t>
      </w:r>
      <w:r>
        <w:rPr>
          <w:b w:val="0"/>
          <w:bCs w:val="0"/>
        </w:rPr>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pStyle w:val="BodyText"/>
        <w:spacing w:line="472" w:lineRule="auto"/>
        <w:ind w:right="1129" w:firstLine="360"/>
        <w:jc w:val="both"/>
      </w:pPr>
      <w:r>
        <w:rPr>
          <w:rFonts w:ascii="Times New Roman" w:hAnsi="Times New Roman" w:cs="Times New Roman" w:eastAsia="Times New Roman" w:hint="default"/>
        </w:rPr>
        <w:t>2017</w:t>
      </w:r>
      <w:r>
        <w:rPr/>
        <w:t>年，国家工业和信息化部公布了《软件和信息技术服务业发展规划（</w:t>
      </w:r>
      <w:r>
        <w:rPr>
          <w:rFonts w:ascii="Times New Roman" w:hAnsi="Times New Roman" w:cs="Times New Roman" w:eastAsia="Times New Roman" w:hint="default"/>
        </w:rPr>
        <w:t>2016-2020</w:t>
      </w:r>
      <w:r>
        <w:rPr/>
        <w:t>）》，明确指出将研究制定新形势 </w:t>
      </w:r>
      <w:r>
        <w:rPr>
          <w:spacing w:val="-2"/>
        </w:rPr>
        <w:t>下适应产业发展特点的政策措施，加大对软件和信息技术服务业发展的财政资金支持，着力研发云计算、大数据、移动互联</w:t>
      </w:r>
      <w:r>
        <w:rPr>
          <w:spacing w:val="-64"/>
        </w:rPr>
        <w:t> </w:t>
      </w:r>
      <w:r>
        <w:rPr>
          <w:spacing w:val="-64"/>
        </w:rPr>
      </w:r>
      <w:r>
        <w:rPr>
          <w:spacing w:val="-2"/>
        </w:rPr>
        <w:t>网、物联网等新兴领域关键软件产品和解决方案，加快培育新业态和新模式。软件和信息技术服务业是关系国民经济和社会</w:t>
      </w:r>
      <w:r>
        <w:rPr>
          <w:spacing w:val="-63"/>
        </w:rPr>
        <w:t> </w:t>
      </w:r>
      <w:r>
        <w:rPr>
          <w:spacing w:val="-63"/>
        </w:rPr>
      </w:r>
      <w:r>
        <w:rPr>
          <w:spacing w:val="-2"/>
        </w:rPr>
        <w:t>发展全局的基础性、战略性、先导性产业，具有技术更新快、产品附加值高、应用领域广、渗透能力强、资源消耗低、人力</w:t>
      </w:r>
      <w:r>
        <w:rPr>
          <w:spacing w:val="-65"/>
        </w:rPr>
        <w:t> </w:t>
      </w:r>
      <w:r>
        <w:rPr>
          <w:spacing w:val="-65"/>
        </w:rPr>
      </w:r>
      <w:r>
        <w:rPr>
          <w:spacing w:val="-2"/>
        </w:rPr>
        <w:t>资源利用充分等突出特点，对经济社会发展具有重要的支撑和引领作用。发展和提升软件和信息技术服务业，对于推动信息</w:t>
      </w:r>
      <w:r>
        <w:rPr>
          <w:spacing w:val="-63"/>
        </w:rPr>
        <w:t> </w:t>
      </w:r>
      <w:r>
        <w:rPr>
          <w:spacing w:val="-63"/>
        </w:rPr>
      </w:r>
      <w:r>
        <w:rPr>
          <w:spacing w:val="-2"/>
        </w:rPr>
        <w:t>化和工业化深度融合，培育和发展战略性新兴产业，建设创新型国家，加快经济发展方式转变和产业结构调整，提高国家信</w:t>
      </w:r>
      <w:r>
        <w:rPr>
          <w:spacing w:val="-65"/>
        </w:rPr>
        <w:t> </w:t>
      </w:r>
      <w:r>
        <w:rPr>
          <w:spacing w:val="-65"/>
        </w:rPr>
      </w:r>
      <w:r>
        <w:rPr/>
        <w:t>息安全保障能力和国际竞争力具有重要意义。</w:t>
      </w:r>
    </w:p>
    <w:p>
      <w:pPr>
        <w:pStyle w:val="BodyText"/>
        <w:spacing w:line="472" w:lineRule="auto" w:before="58"/>
        <w:ind w:right="1034" w:firstLine="360"/>
        <w:jc w:val="left"/>
      </w:pPr>
      <w:r>
        <w:rPr/>
        <w:t>随着我国经济的不断发展，且由于近年来的网络安全事故频发，政府、企业、个人都对信息安全的关注程度日益提高， </w:t>
      </w:r>
      <w:r>
        <w:rPr>
          <w:spacing w:val="-2"/>
        </w:rPr>
        <w:t>社会对信息安全的需求与日俱增，政府部门、重点行业在信息安全产品和服务上的投入也不断增加，促进了信息安全行业的</w:t>
      </w:r>
      <w:r>
        <w:rPr>
          <w:spacing w:val="-65"/>
        </w:rPr>
        <w:t> </w:t>
      </w:r>
      <w:r>
        <w:rPr>
          <w:spacing w:val="-65"/>
        </w:rPr>
      </w:r>
      <w:r>
        <w:rPr>
          <w:spacing w:val="-2"/>
        </w:rPr>
        <w:t>持续增长，网络安全已经上升为国家战略。与此同时，云计算、大数据以及社交网络的快速发展给信息系统架构带来了巨大</w:t>
      </w:r>
      <w:r>
        <w:rPr>
          <w:spacing w:val="-64"/>
        </w:rPr>
        <w:t> </w:t>
      </w:r>
      <w:r>
        <w:rPr>
          <w:spacing w:val="-64"/>
        </w:rPr>
      </w:r>
      <w:r>
        <w:rPr>
          <w:spacing w:val="-2"/>
        </w:rPr>
        <w:t>变化，信息安全亦随之迎来挑战。例如云计算技术，使得数据中心的基础设施由原来的各业务系统独立建设模式转变为资源</w:t>
      </w:r>
      <w:r>
        <w:rPr>
          <w:spacing w:val="-66"/>
        </w:rPr>
        <w:t> </w:t>
      </w:r>
      <w:r>
        <w:rPr>
          <w:spacing w:val="-66"/>
        </w:rPr>
      </w:r>
      <w:r>
        <w:rPr/>
        <w:t>池建设模式，服务器、存储、网络设备的部署方式相应改变。基础架构的变化要求信息安全建设能够适应新的</w:t>
      </w:r>
      <w:r>
        <w:rPr>
          <w:rFonts w:ascii="Times New Roman" w:hAnsi="Times New Roman" w:cs="Times New Roman" w:eastAsia="Times New Roman" w:hint="default"/>
        </w:rPr>
        <w:t>IT</w:t>
      </w:r>
      <w:r>
        <w:rPr/>
        <w:t>基础架构， </w:t>
      </w:r>
      <w:r>
        <w:rPr>
          <w:spacing w:val="-2"/>
        </w:rPr>
        <w:t>从而满足新的安全需求，这也为信息安全建设带来了新的发展空间。因此，构建安全可控的信息技术体系成为国家信息化建</w:t>
      </w:r>
      <w:r>
        <w:rPr>
          <w:spacing w:val="-66"/>
        </w:rPr>
        <w:t> </w:t>
      </w:r>
      <w:r>
        <w:rPr>
          <w:spacing w:val="-66"/>
        </w:rPr>
      </w:r>
      <w:r>
        <w:rPr/>
        <w:t>设进程的必然途径。</w:t>
      </w:r>
    </w:p>
    <w:p>
      <w:pPr>
        <w:pStyle w:val="BodyText"/>
        <w:spacing w:line="451" w:lineRule="auto" w:before="58"/>
        <w:ind w:right="1124" w:firstLine="360"/>
        <w:jc w:val="left"/>
      </w:pPr>
      <w:r>
        <w:rPr>
          <w:rFonts w:ascii="Times New Roman" w:hAnsi="Times New Roman" w:cs="Times New Roman" w:eastAsia="Times New Roman" w:hint="default"/>
        </w:rPr>
        <w:t>2019</w:t>
      </w:r>
      <w:r>
        <w:rPr/>
        <w:t>年，信息安全领域多项重要的法律法规和政策逐一落地，如：</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日，《国家网络安全产业发展规划》正 式发布。根据规划，依托产业园带动北京市网络安全产业规模超过</w:t>
      </w:r>
      <w:r>
        <w:rPr>
          <w:rFonts w:ascii="Times New Roman" w:hAnsi="Times New Roman" w:cs="Times New Roman" w:eastAsia="Times New Roman" w:hint="default"/>
        </w:rPr>
        <w:t>1,000</w:t>
      </w:r>
      <w:r>
        <w:rPr/>
        <w:t>亿元，拉动</w:t>
      </w:r>
      <w:r>
        <w:rPr>
          <w:rFonts w:ascii="Times New Roman" w:hAnsi="Times New Roman" w:cs="Times New Roman" w:eastAsia="Times New Roman" w:hint="default"/>
        </w:rPr>
        <w:t>GDP</w:t>
      </w:r>
      <w:r>
        <w:rPr/>
        <w:t>增长超过</w:t>
      </w:r>
      <w:r>
        <w:rPr>
          <w:rFonts w:ascii="Times New Roman" w:hAnsi="Times New Roman" w:cs="Times New Roman" w:eastAsia="Times New Roman" w:hint="default"/>
        </w:rPr>
        <w:t>3,300</w:t>
      </w:r>
      <w:r>
        <w:rPr/>
        <w:t>亿元，打造不少于</w:t>
      </w:r>
      <w:r>
        <w:rPr>
          <w:rFonts w:ascii="Times New Roman" w:hAnsi="Times New Roman" w:cs="Times New Roman" w:eastAsia="Times New Roman" w:hint="default"/>
        </w:rPr>
        <w:t>3 </w:t>
      </w:r>
      <w:r>
        <w:rPr/>
        <w:t>家年收入超过</w:t>
      </w:r>
      <w:r>
        <w:rPr>
          <w:rFonts w:ascii="Times New Roman" w:hAnsi="Times New Roman" w:cs="Times New Roman" w:eastAsia="Times New Roman" w:hint="default"/>
        </w:rPr>
        <w:t>100</w:t>
      </w:r>
      <w:r>
        <w:rPr/>
        <w:t>亿元的骨干企业，增强网络安全产业发展的高端引领作用，进一步保障网络时代国家安全利益；《信息安 全技术网络安全等级保护基本要求》正式发布并于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日起正式实施，将等级保护管控范围扩大，新增对云计算、 大数据、人工智能等新技术的管控，标志着等级保护标准正式进入</w:t>
      </w:r>
      <w:r>
        <w:rPr>
          <w:rFonts w:ascii="Times New Roman" w:hAnsi="Times New Roman" w:cs="Times New Roman" w:eastAsia="Times New Roman" w:hint="default"/>
        </w:rPr>
        <w:t>2.0</w:t>
      </w:r>
      <w:r>
        <w:rPr/>
        <w:t>时代；《中华人民共和国密码法》也于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rFonts w:ascii="Times New Roman" w:hAnsi="Times New Roman" w:cs="Times New Roman" w:eastAsia="Times New Roman" w:hint="default"/>
          <w:spacing w:val="-2"/>
        </w:rPr>
        <w:t> </w:t>
      </w:r>
      <w:r>
        <w:rPr/>
        <w:t>日正式颁布并于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日正式实施，是密码领域第一部、综合性、基础性的法律，对保障网络安全具有重要意义。</w:t>
      </w:r>
    </w:p>
    <w:p>
      <w:pPr>
        <w:pStyle w:val="BodyText"/>
        <w:spacing w:line="451" w:lineRule="auto" w:before="43"/>
        <w:ind w:right="1133" w:firstLine="360"/>
        <w:jc w:val="left"/>
      </w:pPr>
      <w:r>
        <w:rPr>
          <w:spacing w:val="-1"/>
        </w:rPr>
        <w:t>根据中国产业调研网发布的《中国信息安全服务行业调查分析及市场前景预测报告（</w:t>
      </w:r>
      <w:r>
        <w:rPr>
          <w:rFonts w:ascii="Times New Roman" w:hAnsi="Times New Roman" w:cs="Times New Roman" w:eastAsia="Times New Roman" w:hint="default"/>
          <w:spacing w:val="-1"/>
        </w:rPr>
        <w:t>2019-2025</w:t>
      </w:r>
      <w:r>
        <w:rPr>
          <w:spacing w:val="-1"/>
        </w:rPr>
        <w:t>年）》，</w:t>
      </w:r>
      <w:r>
        <w:rPr>
          <w:rFonts w:ascii="Times New Roman" w:hAnsi="Times New Roman" w:cs="Times New Roman" w:eastAsia="Times New Roman" w:hint="default"/>
          <w:spacing w:val="-1"/>
        </w:rPr>
        <w:t>2019-2022</w:t>
      </w:r>
      <w:r>
        <w:rPr>
          <w:spacing w:val="-1"/>
        </w:rPr>
        <w:t>年市</w:t>
      </w:r>
      <w:r>
        <w:rPr/>
        <w:t> 场增长速度将保持平稳增长的势头，</w:t>
      </w:r>
      <w:r>
        <w:rPr>
          <w:rFonts w:ascii="Times New Roman" w:hAnsi="Times New Roman" w:cs="Times New Roman" w:eastAsia="Times New Roman" w:hint="default"/>
        </w:rPr>
        <w:t>10%</w:t>
      </w:r>
      <w:r>
        <w:rPr/>
        <w:t>左右的增幅是一个较为理想的水平，预计</w:t>
      </w:r>
      <w:r>
        <w:rPr>
          <w:rFonts w:ascii="Times New Roman" w:hAnsi="Times New Roman" w:cs="Times New Roman" w:eastAsia="Times New Roman" w:hint="default"/>
        </w:rPr>
        <w:t>2022</w:t>
      </w:r>
      <w:r>
        <w:rPr/>
        <w:t>年将超过</w:t>
      </w:r>
      <w:r>
        <w:rPr>
          <w:rFonts w:ascii="Times New Roman" w:hAnsi="Times New Roman" w:cs="Times New Roman" w:eastAsia="Times New Roman" w:hint="default"/>
        </w:rPr>
        <w:t>967.53</w:t>
      </w:r>
      <w:r>
        <w:rPr/>
        <w:t>亿元。</w:t>
      </w:r>
    </w:p>
    <w:p>
      <w:pPr>
        <w:pStyle w:val="BodyText"/>
        <w:spacing w:line="477" w:lineRule="auto" w:before="43"/>
        <w:ind w:left="513" w:right="1129"/>
        <w:jc w:val="left"/>
      </w:pPr>
      <w:r>
        <w:rPr>
          <w:rFonts w:ascii="宋体" w:hAnsi="宋体" w:cs="宋体" w:eastAsia="宋体" w:hint="default"/>
          <w:b/>
          <w:bCs/>
        </w:rPr>
        <w:t>（二）公司发展战略</w:t>
      </w:r>
      <w:r>
        <w:rPr>
          <w:rFonts w:ascii="宋体" w:hAnsi="宋体" w:cs="宋体" w:eastAsia="宋体" w:hint="default"/>
          <w:b/>
          <w:bCs/>
          <w:w w:val="99"/>
        </w:rPr>
        <w:t> </w:t>
      </w:r>
      <w:r>
        <w:rPr>
          <w:spacing w:val="-2"/>
        </w:rPr>
        <w:t>公司的发展战略采取内生式成长与外延式发展并重的双重举措。公司内生式成长战略主要是立足于有机光导鼓等光电子</w:t>
      </w:r>
    </w:p>
    <w:p>
      <w:pPr>
        <w:pStyle w:val="BodyText"/>
        <w:spacing w:line="470" w:lineRule="auto" w:before="54"/>
        <w:ind w:right="1131"/>
        <w:jc w:val="both"/>
      </w:pPr>
      <w:r>
        <w:rPr>
          <w:spacing w:val="-2"/>
        </w:rPr>
        <w:t>器件及碳粉等先进功能材料为核心而形成的产业链，深耕以打印、复印、图文和数码快印为功能特征的影像产业，以持续不</w:t>
      </w:r>
      <w:r>
        <w:rPr>
          <w:spacing w:val="-64"/>
        </w:rPr>
        <w:t> </w:t>
      </w:r>
      <w:r>
        <w:rPr>
          <w:spacing w:val="-64"/>
        </w:rPr>
      </w:r>
      <w:r>
        <w:rPr>
          <w:spacing w:val="-2"/>
        </w:rPr>
        <w:t>断的技术创新、产品研发为基础，通过</w:t>
      </w:r>
      <w:r>
        <w:rPr>
          <w:rFonts w:ascii="Times New Roman" w:hAnsi="Times New Roman" w:cs="Times New Roman" w:eastAsia="Times New Roman" w:hint="default"/>
          <w:spacing w:val="-2"/>
        </w:rPr>
        <w:t>“</w:t>
      </w:r>
      <w:r>
        <w:rPr>
          <w:spacing w:val="-2"/>
        </w:rPr>
        <w:t>市场、研发、生产、人才</w:t>
      </w:r>
      <w:r>
        <w:rPr>
          <w:rFonts w:ascii="Times New Roman" w:hAnsi="Times New Roman" w:cs="Times New Roman" w:eastAsia="Times New Roman" w:hint="default"/>
          <w:spacing w:val="-2"/>
        </w:rPr>
        <w:t>”</w:t>
      </w:r>
      <w:r>
        <w:rPr>
          <w:spacing w:val="-2"/>
        </w:rPr>
        <w:t>四个核心工程的实施，全面提升公司的持续发展能力、创</w:t>
      </w:r>
      <w:r>
        <w:rPr>
          <w:spacing w:val="-46"/>
        </w:rPr>
        <w:t> </w:t>
      </w:r>
      <w:r>
        <w:rPr>
          <w:spacing w:val="-46"/>
        </w:rPr>
      </w:r>
      <w:r>
        <w:rPr>
          <w:spacing w:val="-2"/>
        </w:rPr>
        <w:t>新能力和核心竞争力，致力于将公司由目前以制造影印系统光电元器件为主的企业，建设成为具有国际先进水平的有机光电</w:t>
      </w:r>
      <w:r>
        <w:rPr>
          <w:spacing w:val="-64"/>
        </w:rPr>
        <w:t> </w:t>
      </w:r>
      <w:r>
        <w:rPr>
          <w:spacing w:val="-64"/>
        </w:rPr>
      </w:r>
      <w:r>
        <w:rPr>
          <w:spacing w:val="-2"/>
        </w:rPr>
        <w:t>专业化研发与生产基地。公司外延式发展战略是顺应影像产业的发展趋势和要求，通过收购或参股投资快速切入信息安全和</w:t>
      </w:r>
      <w:r>
        <w:rPr>
          <w:spacing w:val="-64"/>
        </w:rPr>
        <w:t> </w:t>
      </w:r>
      <w:r>
        <w:rPr>
          <w:spacing w:val="-64"/>
        </w:rPr>
      </w:r>
      <w:r>
        <w:rPr/>
        <w:t>能源系统管理领域，形成产业间的协同发展，初步形成了</w:t>
      </w:r>
      <w:r>
        <w:rPr>
          <w:rFonts w:ascii="Times New Roman" w:hAnsi="Times New Roman" w:cs="Times New Roman" w:eastAsia="Times New Roman" w:hint="default"/>
        </w:rPr>
        <w:t>“</w:t>
      </w:r>
      <w:r>
        <w:rPr/>
        <w:t>影像耗材</w:t>
      </w:r>
      <w:r>
        <w:rPr>
          <w:rFonts w:ascii="Times New Roman" w:hAnsi="Times New Roman" w:cs="Times New Roman" w:eastAsia="Times New Roman" w:hint="default"/>
        </w:rPr>
        <w:t>+</w:t>
      </w:r>
      <w:r>
        <w:rPr/>
        <w:t>信息安全</w:t>
      </w:r>
      <w:r>
        <w:rPr>
          <w:rFonts w:ascii="Times New Roman" w:hAnsi="Times New Roman" w:cs="Times New Roman" w:eastAsia="Times New Roman" w:hint="default"/>
        </w:rPr>
        <w:t>+</w:t>
      </w:r>
      <w:r>
        <w:rPr/>
        <w:t>新兴能源</w:t>
      </w:r>
      <w:r>
        <w:rPr>
          <w:rFonts w:ascii="Times New Roman" w:hAnsi="Times New Roman" w:cs="Times New Roman" w:eastAsia="Times New Roman" w:hint="default"/>
        </w:rPr>
        <w:t>”</w:t>
      </w:r>
      <w:r>
        <w:rPr/>
        <w:t>的产业格局和战略布局。</w:t>
      </w:r>
    </w:p>
    <w:p>
      <w:pPr>
        <w:pStyle w:val="Heading4"/>
        <w:spacing w:line="240" w:lineRule="auto" w:before="27"/>
        <w:ind w:right="1133"/>
        <w:jc w:val="left"/>
        <w:rPr>
          <w:b w:val="0"/>
          <w:bCs w:val="0"/>
        </w:rPr>
      </w:pPr>
      <w:r>
        <w:rPr/>
        <w:t>（三）经营计划</w:t>
      </w:r>
      <w:r>
        <w:rPr>
          <w:b w:val="0"/>
          <w:bCs w:val="0"/>
        </w:rPr>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pStyle w:val="BodyText"/>
        <w:spacing w:line="240" w:lineRule="auto"/>
        <w:ind w:left="513" w:right="1133"/>
        <w:jc w:val="left"/>
      </w:pPr>
      <w:r>
        <w:rPr>
          <w:rFonts w:ascii="Times New Roman" w:hAnsi="Times New Roman" w:cs="Times New Roman" w:eastAsia="Times New Roman" w:hint="default"/>
        </w:rPr>
        <w:t>2020</w:t>
      </w:r>
      <w:r>
        <w:rPr/>
        <w:t>年，公司将积极推进实施以下经营计划：</w:t>
      </w:r>
    </w:p>
    <w:p>
      <w:pPr>
        <w:spacing w:line="240" w:lineRule="auto" w:before="10"/>
        <w:rPr>
          <w:rFonts w:ascii="宋体" w:hAnsi="宋体" w:cs="宋体" w:eastAsia="宋体" w:hint="default"/>
          <w:sz w:val="16"/>
          <w:szCs w:val="16"/>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、巩固与发展市场，优化客户与产品结构</w:t>
      </w:r>
      <w:r>
        <w:rPr>
          <w:b w:val="0"/>
          <w:bCs w:val="0"/>
        </w:rPr>
      </w:r>
    </w:p>
    <w:p>
      <w:pPr>
        <w:spacing w:line="240" w:lineRule="auto" w:before="9"/>
        <w:rPr>
          <w:rFonts w:ascii="宋体" w:hAnsi="宋体" w:cs="宋体" w:eastAsia="宋体" w:hint="default"/>
          <w:b/>
          <w:bCs/>
          <w:sz w:val="16"/>
          <w:szCs w:val="16"/>
        </w:rPr>
      </w:pPr>
    </w:p>
    <w:p>
      <w:pPr>
        <w:pStyle w:val="BodyText"/>
        <w:spacing w:line="468" w:lineRule="auto"/>
        <w:ind w:right="0" w:firstLine="360"/>
        <w:jc w:val="left"/>
      </w:pPr>
      <w:r>
        <w:rPr>
          <w:rFonts w:ascii="Times New Roman" w:hAnsi="Times New Roman" w:cs="Times New Roman" w:eastAsia="Times New Roman" w:hint="default"/>
          <w:spacing w:val="-4"/>
        </w:rPr>
        <w:t>2020</w:t>
      </w:r>
      <w:r>
        <w:rPr>
          <w:spacing w:val="-4"/>
        </w:rPr>
        <w:t>年，激光有机光导鼓系列产品方面，公司将在维护原有销售渠道、稳定原有市场的基础上，继续加强新市场的调研、</w:t>
      </w:r>
      <w:r>
        <w:rPr/>
        <w:t> </w:t>
      </w:r>
      <w:r>
        <w:rPr>
          <w:spacing w:val="-2"/>
        </w:rPr>
        <w:t>开发与管理，全力做好老客户的维护、拓展与新市场的开发，并继续攻克与原装整机厂配套合作业务，同时优化客户结构与</w:t>
      </w:r>
      <w:r>
        <w:rPr>
          <w:spacing w:val="-65"/>
        </w:rPr>
        <w:t> </w:t>
      </w:r>
      <w:r>
        <w:rPr>
          <w:spacing w:val="-65"/>
        </w:rPr>
      </w:r>
      <w:r>
        <w:rPr>
          <w:spacing w:val="-2"/>
        </w:rPr>
        <w:t>产品结构，提高产品及服务质量，增加产品附加值。公司将继续秉承以市场为导向，产品创新为依托，质量为本的原则，提</w:t>
      </w:r>
      <w:r>
        <w:rPr>
          <w:spacing w:val="-70"/>
        </w:rPr>
        <w:t> </w:t>
      </w:r>
      <w:r>
        <w:rPr>
          <w:spacing w:val="-70"/>
        </w:rPr>
      </w:r>
      <w:r>
        <w:rPr/>
        <w:t>高市场占有率。</w:t>
      </w:r>
    </w:p>
    <w:p>
      <w:pPr>
        <w:pStyle w:val="BodyText"/>
        <w:spacing w:line="477" w:lineRule="auto" w:before="61"/>
        <w:ind w:right="1129" w:firstLine="360"/>
        <w:jc w:val="both"/>
      </w:pPr>
      <w:r>
        <w:rPr>
          <w:spacing w:val="-2"/>
        </w:rPr>
        <w:t>信息安全方面，闽保信息将继续保持和加强公司原有细分领域的客户资源和业务优势，不断扩展已有成果，由点到面不</w:t>
      </w:r>
      <w:r>
        <w:rPr/>
        <w:t> </w:t>
      </w:r>
      <w:r>
        <w:rPr>
          <w:spacing w:val="-2"/>
        </w:rPr>
        <w:t>断扩大市场。积极进行横向多行业扩张：通过多年来在信息安全领域的经验积淀优势为突破口，进入省外市场，扩大行业用</w:t>
      </w:r>
      <w:r>
        <w:rPr>
          <w:spacing w:val="-64"/>
        </w:rPr>
        <w:t> </w:t>
      </w:r>
      <w:r>
        <w:rPr>
          <w:spacing w:val="-64"/>
        </w:rPr>
      </w:r>
      <w:r>
        <w:rPr>
          <w:spacing w:val="-2"/>
        </w:rPr>
        <w:t>户数量和规模。合理利用行业应用软件领域的优势，做好细分行业内有影响力的大客户和典型客户的全套方案，增加典型案</w:t>
      </w:r>
      <w:r>
        <w:rPr>
          <w:spacing w:val="-63"/>
        </w:rPr>
        <w:t> </w:t>
      </w:r>
      <w:r>
        <w:rPr>
          <w:spacing w:val="-63"/>
        </w:rPr>
      </w:r>
      <w:r>
        <w:rPr>
          <w:spacing w:val="-2"/>
        </w:rPr>
        <w:t>例，进而扩大闽保信息在国内品牌影响力和竞争力。闽保信息定位的发展方向将由集成项目型慢慢过渡到自研产品型。积极</w:t>
      </w:r>
      <w:r>
        <w:rPr>
          <w:spacing w:val="-63"/>
        </w:rPr>
        <w:t> </w:t>
      </w:r>
      <w:r>
        <w:rPr>
          <w:spacing w:val="-63"/>
        </w:rPr>
      </w:r>
      <w:r>
        <w:rPr>
          <w:spacing w:val="-2"/>
        </w:rPr>
        <w:t>加大研发投入力度，研发各类信息安全以及安全相关产品的软硬件，拟开发多款国产安可类硬件产品、多款涉密及非密专用</w:t>
      </w:r>
      <w:r>
        <w:rPr>
          <w:spacing w:val="-63"/>
        </w:rPr>
        <w:t> </w:t>
      </w:r>
      <w:r>
        <w:rPr>
          <w:spacing w:val="-63"/>
        </w:rPr>
      </w:r>
      <w:r>
        <w:rPr>
          <w:spacing w:val="-2"/>
        </w:rPr>
        <w:t>管控软件、多项行业信息安全综合管理平台。同时，探索建立区块链相关行业应用服务平台，升级并迭代安全技术，逐步构</w:t>
      </w:r>
      <w:r>
        <w:rPr>
          <w:spacing w:val="-67"/>
        </w:rPr>
        <w:t> </w:t>
      </w:r>
      <w:r>
        <w:rPr>
          <w:spacing w:val="-67"/>
        </w:rPr>
      </w:r>
      <w:r>
        <w:rPr/>
        <w:t>建技术壁垒和行业壁垒。</w:t>
      </w:r>
    </w:p>
    <w:p>
      <w:pPr>
        <w:pStyle w:val="Heading4"/>
        <w:spacing w:line="240" w:lineRule="auto" w:before="54"/>
        <w:ind w:right="1133"/>
        <w:jc w:val="left"/>
        <w:rPr>
          <w:b w:val="0"/>
          <w:bCs w:val="0"/>
        </w:rPr>
      </w:pPr>
      <w:r>
        <w:rPr>
          <w:rFonts w:ascii="Times New Roman" w:hAnsi="Times New Roman" w:cs="Times New Roman" w:eastAsia="Times New Roman" w:hint="default"/>
        </w:rPr>
        <w:t>2</w:t>
      </w:r>
      <w:r>
        <w:rPr/>
        <w:t>、强化公司内部管理，持续完善公司治理</w:t>
      </w:r>
      <w:r>
        <w:rPr>
          <w:b w:val="0"/>
          <w:bCs w:val="0"/>
        </w:rPr>
      </w:r>
    </w:p>
    <w:p>
      <w:pPr>
        <w:spacing w:line="240" w:lineRule="auto" w:before="9"/>
        <w:rPr>
          <w:rFonts w:ascii="宋体" w:hAnsi="宋体" w:cs="宋体" w:eastAsia="宋体" w:hint="default"/>
          <w:b/>
          <w:bCs/>
          <w:sz w:val="16"/>
          <w:szCs w:val="16"/>
        </w:rPr>
      </w:pPr>
    </w:p>
    <w:p>
      <w:pPr>
        <w:pStyle w:val="BodyText"/>
        <w:spacing w:line="477" w:lineRule="auto"/>
        <w:ind w:left="513" w:right="1133"/>
        <w:jc w:val="left"/>
      </w:pPr>
      <w:r>
        <w:rPr/>
        <w:t>①加强内控体系建设，完善公司治理水平 </w:t>
      </w:r>
      <w:r>
        <w:rPr>
          <w:spacing w:val="-2"/>
        </w:rPr>
        <w:t>公司将根据《企业内部控制基本规范》等规范性文件要求，逐步完善内控体系建设，提升风险控制和防范能力，增强企</w:t>
      </w:r>
    </w:p>
    <w:p>
      <w:pPr>
        <w:pStyle w:val="BodyText"/>
        <w:spacing w:line="477" w:lineRule="auto" w:before="54"/>
        <w:ind w:right="1129"/>
        <w:jc w:val="left"/>
      </w:pPr>
      <w:r>
        <w:rPr>
          <w:spacing w:val="-2"/>
        </w:rPr>
        <w:t>业盈利能力和核心竞争力。持续完善公司治理机制，对主要制度文件进行修订与完善，加强信息披露管理工作，积极开展投</w:t>
      </w:r>
      <w:r>
        <w:rPr>
          <w:spacing w:val="-65"/>
        </w:rPr>
        <w:t> </w:t>
      </w:r>
      <w:r>
        <w:rPr>
          <w:spacing w:val="-65"/>
        </w:rPr>
      </w:r>
      <w:r>
        <w:rPr/>
        <w:t>资者关系管理工作，保护全体股东权益。</w:t>
      </w:r>
    </w:p>
    <w:p>
      <w:pPr>
        <w:pStyle w:val="BodyText"/>
        <w:spacing w:line="477" w:lineRule="auto" w:before="54"/>
        <w:ind w:left="513" w:right="0"/>
        <w:jc w:val="left"/>
      </w:pPr>
      <w:r>
        <w:rPr/>
        <w:t>②加强子公司管理，促进母子公司协调发展 </w:t>
      </w:r>
      <w:r>
        <w:rPr>
          <w:spacing w:val="-4"/>
        </w:rPr>
        <w:t>发挥子公司经营自主性和积极性，通过财务方面的统一垂直管理，促进母子公司协同发展。同时，在子公司的战略制定、</w:t>
      </w:r>
    </w:p>
    <w:p>
      <w:pPr>
        <w:pStyle w:val="BodyText"/>
        <w:spacing w:line="451" w:lineRule="auto" w:before="54"/>
        <w:ind w:right="1034"/>
        <w:jc w:val="left"/>
      </w:pPr>
      <w:r>
        <w:rPr>
          <w:spacing w:val="-2"/>
        </w:rPr>
        <w:t>重大决策及资源需求等方面给予必要支持。《控股子公司管理制度》在</w:t>
      </w:r>
      <w:r>
        <w:rPr>
          <w:rFonts w:ascii="Times New Roman" w:hAnsi="Times New Roman" w:cs="Times New Roman" w:eastAsia="Times New Roman" w:hint="default"/>
          <w:spacing w:val="-2"/>
        </w:rPr>
        <w:t>“</w:t>
      </w:r>
      <w:r>
        <w:rPr>
          <w:spacing w:val="-2"/>
        </w:rPr>
        <w:t>重大事项</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信息报送</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财务管理</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人事管理</w:t>
      </w:r>
      <w:r>
        <w:rPr>
          <w:rFonts w:ascii="Times New Roman" w:hAnsi="Times New Roman" w:cs="Times New Roman" w:eastAsia="Times New Roman" w:hint="default"/>
          <w:spacing w:val="-2"/>
        </w:rPr>
        <w:t>”</w:t>
      </w:r>
      <w:r>
        <w:rPr>
          <w:spacing w:val="-2"/>
        </w:rPr>
        <w:t>、</w:t>
      </w:r>
      <w:r>
        <w:rPr>
          <w:spacing w:val="-69"/>
        </w:rPr>
        <w:t> </w:t>
      </w:r>
      <w:r>
        <w:rPr>
          <w:rFonts w:ascii="Times New Roman" w:hAnsi="Times New Roman" w:cs="Times New Roman" w:eastAsia="Times New Roman" w:hint="default"/>
        </w:rPr>
        <w:t>“</w:t>
      </w:r>
      <w:r>
        <w:rPr/>
        <w:t>内部审计</w:t>
      </w:r>
      <w:r>
        <w:rPr>
          <w:rFonts w:ascii="Times New Roman" w:hAnsi="Times New Roman" w:cs="Times New Roman" w:eastAsia="Times New Roman" w:hint="default"/>
        </w:rPr>
        <w:t>”</w:t>
      </w:r>
      <w:r>
        <w:rPr/>
        <w:t>等多方面进行了详细规定，切实提高子公司规范运作的意识，履行重大事项的审批流程和监管，对核心流程管理 进行不断梳理及优化，坚决执行重大信息报送制度，促进母子公司协同发展，不断思考和总结深化与闽保信息的全面融合。</w:t>
      </w:r>
    </w:p>
    <w:p>
      <w:pPr>
        <w:pStyle w:val="BodyText"/>
        <w:spacing w:line="240" w:lineRule="auto" w:before="74"/>
        <w:ind w:left="513" w:right="1133"/>
        <w:jc w:val="left"/>
      </w:pPr>
      <w:r>
        <w:rPr/>
        <w:t>③强化内部管理，优化用人机制</w:t>
      </w:r>
    </w:p>
    <w:p>
      <w:pPr>
        <w:spacing w:line="240" w:lineRule="auto" w:before="10"/>
        <w:rPr>
          <w:rFonts w:ascii="宋体" w:hAnsi="宋体" w:cs="宋体" w:eastAsia="宋体" w:hint="default"/>
          <w:sz w:val="17"/>
          <w:szCs w:val="17"/>
        </w:rPr>
      </w:pPr>
    </w:p>
    <w:p>
      <w:pPr>
        <w:pStyle w:val="BodyText"/>
        <w:spacing w:line="470" w:lineRule="auto"/>
        <w:ind w:right="0" w:firstLine="360"/>
        <w:jc w:val="left"/>
      </w:pPr>
      <w:r>
        <w:rPr>
          <w:rFonts w:ascii="Times New Roman" w:hAnsi="Times New Roman" w:cs="Times New Roman" w:eastAsia="Times New Roman" w:hint="default"/>
          <w:spacing w:val="-2"/>
        </w:rPr>
        <w:t>2020</w:t>
      </w:r>
      <w:r>
        <w:rPr>
          <w:spacing w:val="-2"/>
        </w:rPr>
        <w:t>年，公司将继续强化采购、生产、销售、研发、质检等各环节的内部管理与监控，降低生产经营成本，增强企业运</w:t>
      </w:r>
      <w:r>
        <w:rPr/>
        <w:t> </w:t>
      </w:r>
      <w:r>
        <w:rPr>
          <w:spacing w:val="-2"/>
        </w:rPr>
        <w:t>营效率，提升公司决策力、执行力与组织活力。在用人机制上，公司进一步完善绩效考核和薪酬分配激励机制，不断改善工</w:t>
      </w:r>
      <w:r>
        <w:rPr>
          <w:spacing w:val="-67"/>
        </w:rPr>
        <w:t> </w:t>
      </w:r>
      <w:r>
        <w:rPr>
          <w:spacing w:val="-67"/>
        </w:rPr>
      </w:r>
      <w:r>
        <w:rPr>
          <w:spacing w:val="-2"/>
        </w:rPr>
        <w:t>作环境，提高员工的福利待遇和个人成就感，加强公司整体的凝聚力与战斗力。公司积极拓展人才引进渠道，吸引培养以及</w:t>
      </w:r>
      <w:r>
        <w:rPr>
          <w:spacing w:val="-65"/>
        </w:rPr>
        <w:t> </w:t>
      </w:r>
      <w:r>
        <w:rPr>
          <w:spacing w:val="-65"/>
        </w:rPr>
      </w:r>
      <w:r>
        <w:rPr>
          <w:spacing w:val="-4"/>
        </w:rPr>
        <w:t>稳定优秀人才；同时公司通过内部培训、聘请外部专家、开通网络培训平台等多种形式开展知识技能类培训、资质取证培训、</w:t>
      </w:r>
      <w:r>
        <w:rPr>
          <w:spacing w:val="-46"/>
        </w:rPr>
        <w:t> </w:t>
      </w:r>
      <w:r>
        <w:rPr>
          <w:spacing w:val="-46"/>
        </w:rPr>
      </w:r>
      <w:r>
        <w:rPr/>
        <w:t>新员工入职、保密培训等，不断提升员工职业素质水平。</w:t>
      </w:r>
    </w:p>
    <w:p>
      <w:pPr>
        <w:pStyle w:val="Heading4"/>
        <w:spacing w:line="240" w:lineRule="auto" w:before="59"/>
        <w:ind w:right="1133"/>
        <w:jc w:val="left"/>
        <w:rPr>
          <w:b w:val="0"/>
          <w:bCs w:val="0"/>
        </w:rPr>
      </w:pPr>
      <w:r>
        <w:rPr>
          <w:rFonts w:ascii="Times New Roman" w:hAnsi="Times New Roman" w:cs="Times New Roman" w:eastAsia="Times New Roman" w:hint="default"/>
        </w:rPr>
        <w:t>3</w:t>
      </w:r>
      <w:r>
        <w:rPr/>
        <w:t>、加快募投项目建设，坚持科技创新，培育技术人才</w:t>
      </w:r>
      <w:r>
        <w:rPr>
          <w:b w:val="0"/>
          <w:bCs w:val="0"/>
        </w:rPr>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pStyle w:val="BodyText"/>
        <w:spacing w:line="458" w:lineRule="auto"/>
        <w:ind w:right="1130" w:firstLine="360"/>
        <w:jc w:val="left"/>
      </w:pPr>
      <w:r>
        <w:rPr>
          <w:rFonts w:ascii="Times New Roman" w:hAnsi="Times New Roman" w:cs="Times New Roman" w:eastAsia="Times New Roman" w:hint="default"/>
        </w:rPr>
        <w:t>2020</w:t>
      </w:r>
      <w:r>
        <w:rPr/>
        <w:t>年，公司将加快募投项目</w:t>
      </w:r>
      <w:r>
        <w:rPr>
          <w:rFonts w:ascii="Times New Roman" w:hAnsi="Times New Roman" w:cs="Times New Roman" w:eastAsia="Times New Roman" w:hint="default"/>
        </w:rPr>
        <w:t>“</w:t>
      </w:r>
      <w:r>
        <w:rPr/>
        <w:t>有机光电工程技术研究中心</w:t>
      </w:r>
      <w:r>
        <w:rPr>
          <w:rFonts w:ascii="Times New Roman" w:hAnsi="Times New Roman" w:cs="Times New Roman" w:eastAsia="Times New Roman" w:hint="default"/>
        </w:rPr>
        <w:t>”</w:t>
      </w:r>
      <w:r>
        <w:rPr/>
        <w:t>的建设步伐，结合公司现有的</w:t>
      </w:r>
      <w:r>
        <w:rPr>
          <w:rFonts w:ascii="Times New Roman" w:hAnsi="Times New Roman" w:cs="Times New Roman" w:eastAsia="Times New Roman" w:hint="default"/>
        </w:rPr>
        <w:t>“</w:t>
      </w:r>
      <w:r>
        <w:rPr/>
        <w:t>江苏省省级企业技术中心</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spacing w:val="-1"/>
        </w:rPr>
        <w:t>和</w:t>
      </w:r>
      <w:r>
        <w:rPr>
          <w:rFonts w:ascii="Times New Roman" w:hAnsi="Times New Roman" w:cs="Times New Roman" w:eastAsia="Times New Roman" w:hint="default"/>
          <w:spacing w:val="-1"/>
        </w:rPr>
        <w:t>“</w:t>
      </w:r>
      <w:r>
        <w:rPr>
          <w:spacing w:val="-1"/>
        </w:rPr>
        <w:t>苏州市有机光导工程技术研究中心</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苏州市新型纳米激光光导鼓工程技术研究中心</w:t>
      </w:r>
      <w:r>
        <w:rPr>
          <w:rFonts w:ascii="Times New Roman" w:hAnsi="Times New Roman" w:cs="Times New Roman" w:eastAsia="Times New Roman" w:hint="default"/>
          <w:spacing w:val="-1"/>
        </w:rPr>
        <w:t>”</w:t>
      </w:r>
      <w:r>
        <w:rPr>
          <w:spacing w:val="-1"/>
        </w:rPr>
        <w:t>研发平台，专注有机光电领域核心</w:t>
      </w:r>
      <w:r>
        <w:rPr>
          <w:spacing w:val="-80"/>
        </w:rPr>
        <w:t> </w:t>
      </w:r>
      <w:r>
        <w:rPr>
          <w:spacing w:val="-80"/>
        </w:rPr>
      </w:r>
      <w:r>
        <w:rPr>
          <w:spacing w:val="-2"/>
        </w:rPr>
        <w:t>技术与产品的研发，提高关键核心技术创新能力，为公司发展提供有力科技保障。同时，公司将持续注重技术团队与人才的</w:t>
      </w:r>
      <w:r>
        <w:rPr>
          <w:spacing w:val="-64"/>
        </w:rPr>
        <w:t> </w:t>
      </w:r>
      <w:r>
        <w:rPr>
          <w:spacing w:val="-64"/>
        </w:rPr>
      </w:r>
      <w:r>
        <w:rPr/>
        <w:t>培育与发展，营造</w:t>
      </w:r>
      <w:r>
        <w:rPr>
          <w:rFonts w:ascii="Times New Roman" w:hAnsi="Times New Roman" w:cs="Times New Roman" w:eastAsia="Times New Roman" w:hint="default"/>
        </w:rPr>
        <w:t>“</w:t>
      </w:r>
      <w:r>
        <w:rPr/>
        <w:t>尊重劳动、尊重人才、尊重知识、尊重创造</w:t>
      </w:r>
      <w:r>
        <w:rPr>
          <w:rFonts w:ascii="Times New Roman" w:hAnsi="Times New Roman" w:cs="Times New Roman" w:eastAsia="Times New Roman" w:hint="default"/>
        </w:rPr>
        <w:t>”</w:t>
      </w:r>
      <w:r>
        <w:rPr/>
        <w:t>的良好环境，以保持企业持续的创新能力。</w:t>
      </w:r>
    </w:p>
    <w:p>
      <w:pPr>
        <w:spacing w:line="451" w:lineRule="auto" w:before="37"/>
        <w:ind w:left="513" w:right="1129"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、整合产业资源，夯实企业发展战略</w:t>
      </w:r>
      <w:r>
        <w:rPr>
          <w:rFonts w:ascii="宋体" w:hAnsi="宋体" w:cs="宋体" w:eastAsia="宋体" w:hint="default"/>
          <w:b/>
          <w:bCs/>
          <w:w w:val="99"/>
          <w:sz w:val="18"/>
          <w:szCs w:val="18"/>
        </w:rPr>
        <w:t> </w:t>
      </w:r>
      <w:r>
        <w:rPr>
          <w:rFonts w:ascii="宋体" w:hAnsi="宋体" w:cs="宋体" w:eastAsia="宋体" w:hint="default"/>
          <w:spacing w:val="-2"/>
          <w:sz w:val="18"/>
          <w:szCs w:val="18"/>
        </w:rPr>
        <w:t>围绕公司长期发展战略，充分发挥各产业之间的协同增强效应：一方面，根据公司现有的以硬件处理信息的技术产品优</w:t>
      </w:r>
    </w:p>
    <w:p>
      <w:pPr>
        <w:pStyle w:val="BodyText"/>
        <w:spacing w:line="477" w:lineRule="auto" w:before="74"/>
        <w:ind w:right="1034"/>
        <w:jc w:val="left"/>
      </w:pPr>
      <w:r>
        <w:rPr>
          <w:spacing w:val="-2"/>
        </w:rPr>
        <w:t>势，结合闽保信息以软件处理信息的产业特点，形成以软硬件结合处理信息的技术互补优势，进一步扩大市场的发展空间和</w:t>
      </w:r>
      <w:r>
        <w:rPr>
          <w:spacing w:val="-63"/>
        </w:rPr>
        <w:t> </w:t>
      </w:r>
      <w:r>
        <w:rPr>
          <w:spacing w:val="-63"/>
        </w:rPr>
      </w:r>
      <w:r>
        <w:rPr>
          <w:spacing w:val="-2"/>
        </w:rPr>
        <w:t>拓展以信息安全和保密为特点的新的产业发展机会；另一方面，依托闽保信息多年来在信息安全和系统集成领域的技术成果</w:t>
      </w:r>
      <w:r>
        <w:rPr>
          <w:spacing w:val="-64"/>
        </w:rPr>
        <w:t> </w:t>
      </w:r>
      <w:r>
        <w:rPr>
          <w:spacing w:val="-64"/>
        </w:rPr>
      </w:r>
      <w:r>
        <w:rPr/>
        <w:t>以及较强的软件开发能力，进一步加强公司产品的保密性和安全性，提高产品品质，扩展产品使用领域，增强公司在打印、 </w:t>
      </w:r>
      <w:r>
        <w:rPr>
          <w:spacing w:val="-2"/>
        </w:rPr>
        <w:t>复印和数码快印以及智慧云共享等影像产业领域的综合竞争力；此外，充分利用公司本身在新材料领域的长期技术积累和闽</w:t>
      </w:r>
      <w:r>
        <w:rPr>
          <w:spacing w:val="-64"/>
        </w:rPr>
        <w:t> </w:t>
      </w:r>
      <w:r>
        <w:rPr>
          <w:spacing w:val="-64"/>
        </w:rPr>
      </w:r>
      <w:r>
        <w:rPr/>
        <w:t>保信息较强的软件及系统开发能力，增强在新能源核心材料及管理系统方面的竞争力。</w:t>
      </w:r>
    </w:p>
    <w:p>
      <w:pPr>
        <w:pStyle w:val="Heading4"/>
        <w:spacing w:line="240" w:lineRule="auto" w:before="54"/>
        <w:ind w:right="1133"/>
        <w:jc w:val="left"/>
        <w:rPr>
          <w:b w:val="0"/>
          <w:bCs w:val="0"/>
        </w:rPr>
      </w:pPr>
      <w:r>
        <w:rPr/>
        <w:t>（四）可能面对的风险</w:t>
      </w:r>
      <w:r>
        <w:rPr>
          <w:b w:val="0"/>
          <w:bCs w:val="0"/>
        </w:rPr>
      </w:r>
    </w:p>
    <w:p>
      <w:pPr>
        <w:spacing w:line="240" w:lineRule="auto" w:before="10"/>
        <w:rPr>
          <w:rFonts w:ascii="宋体" w:hAnsi="宋体" w:cs="宋体" w:eastAsia="宋体" w:hint="default"/>
          <w:b/>
          <w:bCs/>
          <w:sz w:val="17"/>
          <w:szCs w:val="17"/>
        </w:rPr>
      </w:pPr>
    </w:p>
    <w:p>
      <w:pPr>
        <w:spacing w:line="451" w:lineRule="auto" w:before="0"/>
        <w:ind w:left="513" w:right="103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、行业与市场竞争加剧的风险</w:t>
      </w:r>
      <w:r>
        <w:rPr>
          <w:rFonts w:ascii="宋体" w:hAnsi="宋体" w:cs="宋体" w:eastAsia="宋体" w:hint="default"/>
          <w:b/>
          <w:bCs/>
          <w:w w:val="99"/>
          <w:sz w:val="18"/>
          <w:szCs w:val="18"/>
        </w:rPr>
        <w:t> </w:t>
      </w:r>
      <w:r>
        <w:rPr>
          <w:rFonts w:ascii="宋体" w:hAnsi="宋体" w:cs="宋体" w:eastAsia="宋体" w:hint="default"/>
          <w:sz w:val="18"/>
          <w:szCs w:val="18"/>
        </w:rPr>
        <w:t>随着行业内各企业的发展，企业之间的竞争也日趋激烈，在面临巨大挑战的同时，也面临巨大的机遇，各企业在战略、</w:t>
      </w:r>
    </w:p>
    <w:p>
      <w:pPr>
        <w:pStyle w:val="BodyText"/>
        <w:spacing w:line="477" w:lineRule="auto" w:before="74"/>
        <w:ind w:right="1133"/>
        <w:jc w:val="both"/>
      </w:pPr>
      <w:r>
        <w:rPr>
          <w:spacing w:val="-2"/>
        </w:rPr>
        <w:t>品牌、技术、质量、价格等方面进行市场布局并充分竞争，行业竞争加剧，公司产品的市场销售价格存在下降的风险，从而</w:t>
      </w:r>
      <w:r>
        <w:rPr>
          <w:spacing w:val="-70"/>
        </w:rPr>
        <w:t> </w:t>
      </w:r>
      <w:r>
        <w:rPr>
          <w:spacing w:val="-70"/>
        </w:rPr>
      </w:r>
      <w:r>
        <w:rPr>
          <w:spacing w:val="-2"/>
        </w:rPr>
        <w:t>影响公司的盈利能力和利润水平。另外，软件和信息技术服务业也是一个竞争较为充分的行业，随着市场环境的逐步成熟和</w:t>
      </w:r>
      <w:r>
        <w:rPr>
          <w:spacing w:val="-66"/>
        </w:rPr>
        <w:t> </w:t>
      </w:r>
      <w:r>
        <w:rPr>
          <w:spacing w:val="-66"/>
        </w:rPr>
      </w:r>
      <w:r>
        <w:rPr/>
        <w:t>市场规模的迅速扩大，国内越来越多企业涉足信息技术与服务领域，更多国内厂商加入到信息技术变革的竞争当中。</w:t>
      </w:r>
    </w:p>
    <w:p>
      <w:pPr>
        <w:pStyle w:val="BodyText"/>
        <w:spacing w:line="468" w:lineRule="auto" w:before="54"/>
        <w:ind w:right="1044" w:firstLine="360"/>
        <w:jc w:val="left"/>
      </w:pPr>
      <w:r>
        <w:rPr/>
        <w:t>激光</w:t>
      </w:r>
      <w:r>
        <w:rPr>
          <w:rFonts w:ascii="Times New Roman" w:hAnsi="Times New Roman" w:cs="Times New Roman" w:eastAsia="Times New Roman" w:hint="default"/>
        </w:rPr>
        <w:t>OPC</w:t>
      </w:r>
      <w:r>
        <w:rPr/>
        <w:t>鼓系列产品方面，与同行业其他企业相比，公司拥有行业内显著的规模生产、研制技术及专用设备集成能力， </w:t>
      </w:r>
      <w:r>
        <w:rPr>
          <w:spacing w:val="-2"/>
        </w:rPr>
        <w:t>抵御市场变化的风险能力较强。公司将加强研发创新，做好成本管控和精益生产管理，提升产品品质及议价能力，充分利用</w:t>
      </w:r>
      <w:r>
        <w:rPr>
          <w:spacing w:val="-64"/>
        </w:rPr>
        <w:t> </w:t>
      </w:r>
      <w:r>
        <w:rPr>
          <w:spacing w:val="-64"/>
        </w:rPr>
      </w:r>
      <w:r>
        <w:rPr>
          <w:spacing w:val="-2"/>
        </w:rPr>
        <w:t>技术、管理和市场的差异化优势保持产品综合盈利水平。信息安全方面，闽保信息将进一步采取措施控制成本投入，降低运</w:t>
      </w:r>
      <w:r>
        <w:rPr>
          <w:spacing w:val="-65"/>
        </w:rPr>
        <w:t> </w:t>
      </w:r>
      <w:r>
        <w:rPr>
          <w:spacing w:val="-65"/>
        </w:rPr>
      </w:r>
      <w:r>
        <w:rPr/>
        <w:t>营成本支出，寻求第三方合作，从而加强产品研发及产品创新，提升客户服务水平，提高自身竞争力水平。</w:t>
      </w:r>
    </w:p>
    <w:p>
      <w:pPr>
        <w:pStyle w:val="BodyText"/>
        <w:spacing w:line="451" w:lineRule="auto" w:before="61"/>
        <w:ind w:left="513" w:right="0"/>
        <w:jc w:val="left"/>
      </w:pPr>
      <w:r>
        <w:rPr>
          <w:rFonts w:ascii="Times New Roman" w:hAnsi="Times New Roman" w:cs="Times New Roman" w:eastAsia="Times New Roman" w:hint="default"/>
          <w:b/>
          <w:bCs/>
        </w:rPr>
        <w:t>2</w:t>
      </w:r>
      <w:r>
        <w:rPr>
          <w:rFonts w:ascii="宋体" w:hAnsi="宋体" w:cs="宋体" w:eastAsia="宋体" w:hint="default"/>
          <w:b/>
          <w:bCs/>
        </w:rPr>
        <w:t>、技术创新风险</w:t>
      </w:r>
      <w:r>
        <w:rPr>
          <w:rFonts w:ascii="宋体" w:hAnsi="宋体" w:cs="宋体" w:eastAsia="宋体" w:hint="default"/>
          <w:b/>
          <w:bCs/>
          <w:w w:val="99"/>
        </w:rPr>
        <w:t> </w:t>
      </w:r>
      <w:r>
        <w:rPr>
          <w:spacing w:val="-2"/>
        </w:rPr>
        <w:t>随着打印、复印技术水平以及客户对产品技术性能要求的不断提高，如果公司在短期内无法对新技术、新需求作出快速</w:t>
      </w:r>
    </w:p>
    <w:p>
      <w:pPr>
        <w:pStyle w:val="BodyText"/>
        <w:spacing w:line="477" w:lineRule="auto" w:before="74"/>
        <w:ind w:right="1131"/>
        <w:jc w:val="both"/>
      </w:pPr>
      <w:r>
        <w:rPr>
          <w:spacing w:val="-2"/>
        </w:rPr>
        <w:t>反应，或者国内其他企业在技术研究上取得重大突破，超越公司，则可能致使公司不再拥有技术优势，进而对公司的经营产</w:t>
      </w:r>
      <w:r>
        <w:rPr>
          <w:spacing w:val="-65"/>
        </w:rPr>
        <w:t> </w:t>
      </w:r>
      <w:r>
        <w:rPr>
          <w:spacing w:val="-65"/>
        </w:rPr>
      </w:r>
      <w:r>
        <w:rPr>
          <w:spacing w:val="-2"/>
        </w:rPr>
        <w:t>生不利影响。另外，信息安全领域涉及的专业技术门类较多，为了保持竞争优势，公司必须准确预测业内技术发展趋势，及</w:t>
      </w:r>
      <w:r>
        <w:rPr>
          <w:spacing w:val="-67"/>
        </w:rPr>
        <w:t> </w:t>
      </w:r>
      <w:r>
        <w:rPr>
          <w:spacing w:val="-67"/>
        </w:rPr>
      </w:r>
      <w:r>
        <w:rPr>
          <w:spacing w:val="-2"/>
        </w:rPr>
        <w:t>时将成熟、实用、先进的技术用于自身产品的设计开发和技术升级。如果不能准确地把握行业技术的发展趋势，在技术开发</w:t>
      </w:r>
      <w:r>
        <w:rPr>
          <w:spacing w:val="-64"/>
        </w:rPr>
        <w:t> </w:t>
      </w:r>
      <w:r>
        <w:rPr>
          <w:spacing w:val="-64"/>
        </w:rPr>
      </w:r>
      <w:r>
        <w:rPr/>
        <w:t>方向的决策上发生失误，或不能及时将新技术运用于业务的开发和升</w:t>
      </w:r>
      <w:r>
        <w:rPr>
          <w:spacing w:val="2"/>
        </w:rPr>
        <w:t> </w:t>
      </w:r>
      <w:r>
        <w:rPr/>
        <w:t>级，公司将可能丧失在技术研发和市场的优势。</w:t>
      </w:r>
    </w:p>
    <w:p>
      <w:pPr>
        <w:pStyle w:val="BodyText"/>
        <w:spacing w:line="477" w:lineRule="auto" w:before="54"/>
        <w:ind w:right="1131" w:firstLine="360"/>
        <w:jc w:val="both"/>
      </w:pPr>
      <w:r>
        <w:rPr>
          <w:spacing w:val="-2"/>
        </w:rPr>
        <w:t>公司将持续研发投入，专注于有机光电产业领域的工程技术课题及相关研发活动，实时跟踪激光打（复）印设备的技术</w:t>
      </w:r>
      <w:r>
        <w:rPr/>
        <w:t> </w:t>
      </w:r>
      <w:r>
        <w:rPr>
          <w:spacing w:val="-2"/>
        </w:rPr>
        <w:t>发展趋势和新产品方向。同时，准确把握信息安全行业技术的发展趋势，加强自身产品的设计开发和技术升级，不断整合研</w:t>
      </w:r>
      <w:r>
        <w:rPr>
          <w:spacing w:val="-65"/>
        </w:rPr>
        <w:t> </w:t>
      </w:r>
      <w:r>
        <w:rPr>
          <w:spacing w:val="-65"/>
        </w:rPr>
      </w:r>
      <w:r>
        <w:rPr/>
        <w:t>发力量，进一步提升自主创新能力。</w:t>
      </w:r>
    </w:p>
    <w:p>
      <w:pPr>
        <w:spacing w:after="0" w:line="477"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line="451" w:lineRule="auto" w:before="0"/>
        <w:ind w:left="513" w:right="1129"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、遭受他方知识产权侵权求偿或诉讼风险</w:t>
      </w:r>
      <w:r>
        <w:rPr>
          <w:rFonts w:ascii="宋体" w:hAnsi="宋体" w:cs="宋体" w:eastAsia="宋体" w:hint="default"/>
          <w:b/>
          <w:bCs/>
          <w:w w:val="99"/>
          <w:sz w:val="18"/>
          <w:szCs w:val="18"/>
        </w:rPr>
        <w:t> </w:t>
      </w:r>
      <w:r>
        <w:rPr>
          <w:rFonts w:ascii="宋体" w:hAnsi="宋体" w:cs="宋体" w:eastAsia="宋体" w:hint="default"/>
          <w:spacing w:val="-2"/>
          <w:sz w:val="18"/>
          <w:szCs w:val="18"/>
        </w:rPr>
        <w:t>激光</w:t>
      </w:r>
      <w:r>
        <w:rPr>
          <w:rFonts w:ascii="Times New Roman" w:hAnsi="Times New Roman" w:cs="Times New Roman" w:eastAsia="Times New Roman" w:hint="default"/>
          <w:spacing w:val="-2"/>
          <w:sz w:val="18"/>
          <w:szCs w:val="18"/>
        </w:rPr>
        <w:t>OPC</w:t>
      </w:r>
      <w:r>
        <w:rPr>
          <w:rFonts w:ascii="宋体" w:hAnsi="宋体" w:cs="宋体" w:eastAsia="宋体" w:hint="default"/>
          <w:spacing w:val="-2"/>
          <w:sz w:val="18"/>
          <w:szCs w:val="18"/>
        </w:rPr>
        <w:t>鼓行业属于高度集成与高科技含量的先进制造产业，知识产权在行业的发展过程中发挥着重要的作用，行业内</w:t>
      </w:r>
    </w:p>
    <w:p>
      <w:pPr>
        <w:pStyle w:val="BodyText"/>
        <w:spacing w:line="477" w:lineRule="auto" w:before="43"/>
        <w:ind w:right="1129"/>
        <w:jc w:val="both"/>
      </w:pPr>
      <w:r>
        <w:rPr>
          <w:spacing w:val="-2"/>
        </w:rPr>
        <w:t>的企业对自身知识产权的保护力度亦越来越大，向侵权者提起侵权求偿或诉讼已经成为相关企业保护自身权益及打击竞争对</w:t>
      </w:r>
      <w:r>
        <w:rPr>
          <w:spacing w:val="-64"/>
        </w:rPr>
        <w:t> </w:t>
      </w:r>
      <w:r>
        <w:rPr>
          <w:spacing w:val="-64"/>
        </w:rPr>
      </w:r>
      <w:r>
        <w:rPr>
          <w:spacing w:val="-2"/>
        </w:rPr>
        <w:t>手的重要手段。随着公司业务规模及产品种类的不断扩张，遭受他方知识产权侵权求偿或诉讼的风险日益增加，竞争对手或</w:t>
      </w:r>
      <w:r>
        <w:rPr>
          <w:spacing w:val="-62"/>
        </w:rPr>
        <w:t> </w:t>
      </w:r>
      <w:r>
        <w:rPr>
          <w:spacing w:val="-62"/>
        </w:rPr>
      </w:r>
      <w:r>
        <w:rPr>
          <w:spacing w:val="-2"/>
        </w:rPr>
        <w:t>第三方可能就本公司业务有关的技术、专利、商标及其他知识产权提出侵权或诉讼。虽然公司一直注重自身知识产权来源的</w:t>
      </w:r>
      <w:r>
        <w:rPr>
          <w:spacing w:val="-66"/>
        </w:rPr>
        <w:t> </w:t>
      </w:r>
      <w:r>
        <w:rPr>
          <w:spacing w:val="-66"/>
        </w:rPr>
      </w:r>
      <w:r>
        <w:rPr>
          <w:spacing w:val="-2"/>
        </w:rPr>
        <w:t>合法性和合规性，但仍然无法完全规避遭受他方知识产权侵权求偿或诉讼的风险，届时无论相关求偿、诉讼是否有效或获得</w:t>
      </w:r>
      <w:r>
        <w:rPr>
          <w:spacing w:val="-63"/>
        </w:rPr>
        <w:t> </w:t>
      </w:r>
      <w:r>
        <w:rPr>
          <w:spacing w:val="-63"/>
        </w:rPr>
      </w:r>
      <w:r>
        <w:rPr/>
        <w:t>裁决部门支持，公司都可能因抗辩或应诉而发生法律费用。</w:t>
      </w:r>
    </w:p>
    <w:p>
      <w:pPr>
        <w:spacing w:line="451" w:lineRule="auto" w:before="54"/>
        <w:ind w:left="51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、规模扩张引发的管理风险</w:t>
      </w:r>
      <w:r>
        <w:rPr>
          <w:rFonts w:ascii="宋体" w:hAnsi="宋体" w:cs="宋体" w:eastAsia="宋体" w:hint="default"/>
          <w:b/>
          <w:bCs/>
          <w:w w:val="99"/>
          <w:sz w:val="18"/>
          <w:szCs w:val="18"/>
        </w:rPr>
        <w:t> </w:t>
      </w:r>
      <w:r>
        <w:rPr>
          <w:rFonts w:ascii="宋体" w:hAnsi="宋体" w:cs="宋体" w:eastAsia="宋体" w:hint="default"/>
          <w:spacing w:val="-2"/>
          <w:sz w:val="18"/>
          <w:szCs w:val="18"/>
        </w:rPr>
        <w:t>公司资产、业务、人员、子公司数量在增加，规模扩大，新产品开发、市场开拓、内部管理的压力将增大。如果公司的</w:t>
      </w:r>
    </w:p>
    <w:p>
      <w:pPr>
        <w:pStyle w:val="BodyText"/>
        <w:spacing w:line="477" w:lineRule="auto" w:before="74"/>
        <w:ind w:left="513" w:right="0" w:hanging="361"/>
        <w:jc w:val="left"/>
      </w:pPr>
      <w:r>
        <w:rPr/>
        <w:t>经营管理水平和组织管理体系不能满足公司资产和经营规模扩大后的要求，将对公司经营目标的实现产生不利影响。 </w:t>
      </w:r>
      <w:r>
        <w:rPr>
          <w:spacing w:val="-4"/>
        </w:rPr>
        <w:t>公司将根据实际经营情况提升管理理念，不断完善现有的管理方法，制定出适合公司现阶段发展的组织架构和管理制度，</w:t>
      </w:r>
    </w:p>
    <w:p>
      <w:pPr>
        <w:pStyle w:val="BodyText"/>
        <w:spacing w:line="477" w:lineRule="auto" w:before="54"/>
        <w:ind w:right="1051"/>
        <w:jc w:val="both"/>
      </w:pPr>
      <w:r>
        <w:rPr/>
        <w:t>母公司加强战略统筹规划，坚持经营绩效考核和财务垂直管理，梳理和完善内部控制流程等，以进一步充分发挥协同效应， 加强资源整合，实现公司利益最大化。</w:t>
      </w:r>
    </w:p>
    <w:p>
      <w:pPr>
        <w:pStyle w:val="Heading4"/>
        <w:spacing w:line="240" w:lineRule="auto" w:before="54"/>
        <w:ind w:right="1133"/>
        <w:jc w:val="left"/>
        <w:rPr>
          <w:b w:val="0"/>
          <w:bCs w:val="0"/>
        </w:rPr>
      </w:pPr>
      <w:r>
        <w:rPr>
          <w:rFonts w:ascii="Times New Roman" w:hAnsi="Times New Roman" w:cs="Times New Roman" w:eastAsia="Times New Roman" w:hint="default"/>
        </w:rPr>
        <w:t>5</w:t>
      </w:r>
      <w:r>
        <w:rPr/>
        <w:t>、业绩承诺无法实现的风险</w:t>
      </w:r>
      <w:r>
        <w:rPr>
          <w:b w:val="0"/>
          <w:bCs w:val="0"/>
        </w:rPr>
      </w:r>
    </w:p>
    <w:p>
      <w:pPr>
        <w:spacing w:line="240" w:lineRule="auto" w:before="9"/>
        <w:rPr>
          <w:rFonts w:ascii="宋体" w:hAnsi="宋体" w:cs="宋体" w:eastAsia="宋体" w:hint="default"/>
          <w:b/>
          <w:bCs/>
          <w:sz w:val="16"/>
          <w:szCs w:val="16"/>
        </w:rPr>
      </w:pPr>
    </w:p>
    <w:p>
      <w:pPr>
        <w:pStyle w:val="BodyText"/>
        <w:spacing w:line="460" w:lineRule="auto"/>
        <w:ind w:right="1128" w:firstLine="360"/>
        <w:jc w:val="both"/>
      </w:pPr>
      <w:r>
        <w:rPr>
          <w:spacing w:val="-2"/>
        </w:rPr>
        <w:t>报告期内，公司收购了闽保信息</w:t>
      </w:r>
      <w:r>
        <w:rPr>
          <w:rFonts w:ascii="Times New Roman" w:hAnsi="Times New Roman" w:cs="Times New Roman" w:eastAsia="Times New Roman" w:hint="default"/>
          <w:spacing w:val="-2"/>
        </w:rPr>
        <w:t>71.26%</w:t>
      </w:r>
      <w:r>
        <w:rPr>
          <w:spacing w:val="-2"/>
        </w:rPr>
        <w:t>的股权。交易对方林章威先生对闽保信息作出</w:t>
      </w:r>
      <w:r>
        <w:rPr>
          <w:rFonts w:ascii="Times New Roman" w:hAnsi="Times New Roman" w:cs="Times New Roman" w:eastAsia="Times New Roman" w:hint="default"/>
          <w:spacing w:val="-2"/>
        </w:rPr>
        <w:t>2019-2024</w:t>
      </w:r>
      <w:r>
        <w:rPr>
          <w:spacing w:val="-2"/>
        </w:rPr>
        <w:t>年度业绩承诺，</w:t>
      </w:r>
      <w:r>
        <w:rPr>
          <w:rFonts w:ascii="Times New Roman" w:hAnsi="Times New Roman" w:cs="Times New Roman" w:eastAsia="Times New Roman" w:hint="default"/>
          <w:spacing w:val="-2"/>
        </w:rPr>
        <w:t>6</w:t>
      </w:r>
      <w:r>
        <w:rPr>
          <w:spacing w:val="-2"/>
        </w:rPr>
        <w:t>年合计</w:t>
      </w:r>
      <w:r>
        <w:rPr/>
        <w:t> </w:t>
      </w:r>
      <w:r>
        <w:rPr>
          <w:spacing w:val="-1"/>
        </w:rPr>
        <w:t>承诺净利润总额为不低于</w:t>
      </w:r>
      <w:r>
        <w:rPr>
          <w:rFonts w:ascii="Times New Roman" w:hAnsi="Times New Roman" w:cs="Times New Roman" w:eastAsia="Times New Roman" w:hint="default"/>
          <w:spacing w:val="-1"/>
        </w:rPr>
        <w:t>19,808</w:t>
      </w:r>
      <w:r>
        <w:rPr>
          <w:spacing w:val="-1"/>
        </w:rPr>
        <w:t>万元。</w:t>
      </w:r>
      <w:r>
        <w:rPr>
          <w:rFonts w:ascii="Times New Roman" w:hAnsi="Times New Roman" w:cs="Times New Roman" w:eastAsia="Times New Roman" w:hint="default"/>
          <w:spacing w:val="-1"/>
        </w:rPr>
        <w:t>2019</w:t>
      </w:r>
      <w:r>
        <w:rPr>
          <w:spacing w:val="-1"/>
        </w:rPr>
        <w:t>年度，闽保信息完成了业绩承诺，但如闽保信息未来所处市场环境发生重大不利</w:t>
      </w:r>
      <w:r>
        <w:rPr>
          <w:spacing w:val="-74"/>
        </w:rPr>
        <w:t> </w:t>
      </w:r>
      <w:r>
        <w:rPr>
          <w:spacing w:val="-74"/>
        </w:rPr>
      </w:r>
      <w:r>
        <w:rPr>
          <w:spacing w:val="-2"/>
        </w:rPr>
        <w:t>变化、业务发展进度未及预期、管理团队或关键技术人才流失等不利因素出现，可能导致其实际盈利情况低于预期，存在业</w:t>
      </w:r>
      <w:r>
        <w:rPr>
          <w:spacing w:val="-65"/>
        </w:rPr>
        <w:t> </w:t>
      </w:r>
      <w:r>
        <w:rPr>
          <w:spacing w:val="-65"/>
        </w:rPr>
      </w:r>
      <w:r>
        <w:rPr/>
        <w:t>绩承诺不能实现的风险。</w:t>
      </w:r>
    </w:p>
    <w:p>
      <w:pPr>
        <w:pStyle w:val="BodyText"/>
        <w:spacing w:line="477" w:lineRule="auto" w:before="67"/>
        <w:ind w:right="1129" w:firstLine="360"/>
        <w:jc w:val="left"/>
      </w:pPr>
      <w:r>
        <w:rPr>
          <w:spacing w:val="-2"/>
        </w:rPr>
        <w:t>公司收购闽保信息时，约定了业绩补偿条款作为保障措施，公司也在积极推动闽保信息重大项目实施和业务发展，不断</w:t>
      </w:r>
      <w:r>
        <w:rPr/>
        <w:t> 加强业务及战略协同，力促业绩承诺的实现。</w:t>
      </w:r>
    </w:p>
    <w:p>
      <w:pPr>
        <w:pStyle w:val="BodyText"/>
        <w:spacing w:line="451" w:lineRule="auto" w:before="54"/>
        <w:ind w:left="513" w:right="1198"/>
        <w:jc w:val="left"/>
      </w:pPr>
      <w:r>
        <w:rPr>
          <w:rFonts w:ascii="Times New Roman" w:hAnsi="Times New Roman" w:cs="Times New Roman" w:eastAsia="Times New Roman" w:hint="default"/>
          <w:b/>
          <w:bCs/>
        </w:rPr>
        <w:t>6</w:t>
      </w:r>
      <w:r>
        <w:rPr>
          <w:rFonts w:ascii="宋体" w:hAnsi="宋体" w:cs="宋体" w:eastAsia="宋体" w:hint="default"/>
          <w:b/>
          <w:bCs/>
        </w:rPr>
        <w:t>、商誉减值风险</w:t>
      </w:r>
      <w:r>
        <w:rPr>
          <w:rFonts w:ascii="宋体" w:hAnsi="宋体" w:cs="宋体" w:eastAsia="宋体" w:hint="default"/>
          <w:b/>
          <w:bCs/>
          <w:w w:val="99"/>
        </w:rPr>
        <w:t> </w:t>
      </w:r>
      <w:r>
        <w:rPr/>
        <w:t>报告期内，因收购闽保信息</w:t>
      </w:r>
      <w:r>
        <w:rPr>
          <w:rFonts w:ascii="Times New Roman" w:hAnsi="Times New Roman" w:cs="Times New Roman" w:eastAsia="Times New Roman" w:hint="default"/>
        </w:rPr>
        <w:t>71.26%</w:t>
      </w:r>
      <w:r>
        <w:rPr/>
        <w:t>的股权，公司确认了较大金额的商誉，根据《企业会计准则》规定，并购重组形成</w:t>
      </w:r>
    </w:p>
    <w:p>
      <w:pPr>
        <w:pStyle w:val="BodyText"/>
        <w:spacing w:line="477" w:lineRule="auto" w:before="43"/>
        <w:ind w:right="1129"/>
        <w:jc w:val="both"/>
      </w:pPr>
      <w:r>
        <w:rPr>
          <w:spacing w:val="-2"/>
        </w:rPr>
        <w:t>的商誉不作摊销处理，但需在未来每年年度终了做减值测试。如闽保信息未来经营状况未达预期，则本次股权收购所形成的</w:t>
      </w:r>
      <w:r>
        <w:rPr>
          <w:spacing w:val="-62"/>
        </w:rPr>
        <w:t> </w:t>
      </w:r>
      <w:r>
        <w:rPr>
          <w:spacing w:val="-62"/>
        </w:rPr>
      </w:r>
      <w:r>
        <w:rPr/>
        <w:t>商誉将会有减值风险，从而对公司经营业绩产生不利影响。</w:t>
      </w:r>
    </w:p>
    <w:p>
      <w:pPr>
        <w:pStyle w:val="BodyText"/>
        <w:spacing w:line="468" w:lineRule="auto" w:before="54"/>
        <w:ind w:right="1034" w:firstLine="360"/>
        <w:jc w:val="left"/>
      </w:pPr>
      <w:r>
        <w:rPr>
          <w:spacing w:val="-2"/>
        </w:rPr>
        <w:t>为此，公司将积极加强与子公司的业务与战略协同，加快公司与闽保信息在市场、人员、资金、技术、业务等方面的资</w:t>
      </w:r>
      <w:r>
        <w:rPr/>
        <w:t> 源整合和优势互补；加强母子公司之间的沟通交流，保证母子公司管理层定期会议的召开，及时了解子公司经营发展情况； </w:t>
      </w:r>
      <w:r>
        <w:rPr>
          <w:spacing w:val="-2"/>
        </w:rPr>
        <w:t>加强团队建设和企业文化建设，奉行</w:t>
      </w:r>
      <w:r>
        <w:rPr>
          <w:rFonts w:ascii="Times New Roman" w:hAnsi="Times New Roman" w:cs="Times New Roman" w:eastAsia="Times New Roman" w:hint="default"/>
          <w:spacing w:val="-2"/>
        </w:rPr>
        <w:t>“</w:t>
      </w:r>
      <w:r>
        <w:rPr>
          <w:spacing w:val="-2"/>
        </w:rPr>
        <w:t>团结、敬业、高效、奉献</w:t>
      </w:r>
      <w:r>
        <w:rPr>
          <w:rFonts w:ascii="Times New Roman" w:hAnsi="Times New Roman" w:cs="Times New Roman" w:eastAsia="Times New Roman" w:hint="default"/>
          <w:spacing w:val="-2"/>
        </w:rPr>
        <w:t>”</w:t>
      </w:r>
      <w:r>
        <w:rPr>
          <w:spacing w:val="-2"/>
        </w:rPr>
        <w:t>的价值观念，提升公司整体凝聚力，以协同效应提升闽保信</w:t>
      </w:r>
      <w:r>
        <w:rPr>
          <w:spacing w:val="-46"/>
        </w:rPr>
        <w:t> </w:t>
      </w:r>
      <w:r>
        <w:rPr>
          <w:spacing w:val="-46"/>
        </w:rPr>
      </w:r>
      <w:r>
        <w:rPr/>
        <w:t>息竞争力和盈利能力，尽可能将因收购而形成的商誉对公司未来业绩的影响降至最低。</w:t>
      </w:r>
    </w:p>
    <w:p>
      <w:pPr>
        <w:pStyle w:val="BodyText"/>
        <w:spacing w:line="451" w:lineRule="auto" w:before="61"/>
        <w:ind w:left="513" w:right="1129"/>
        <w:jc w:val="left"/>
      </w:pPr>
      <w:r>
        <w:rPr>
          <w:rFonts w:ascii="Times New Roman" w:hAnsi="Times New Roman" w:cs="Times New Roman" w:eastAsia="Times New Roman" w:hint="default"/>
          <w:b/>
          <w:bCs/>
        </w:rPr>
        <w:t>7</w:t>
      </w:r>
      <w:r>
        <w:rPr>
          <w:rFonts w:ascii="宋体" w:hAnsi="宋体" w:cs="宋体" w:eastAsia="宋体" w:hint="default"/>
          <w:b/>
          <w:bCs/>
        </w:rPr>
        <w:t>、汇率变动的风险</w:t>
      </w:r>
      <w:r>
        <w:rPr>
          <w:rFonts w:ascii="宋体" w:hAnsi="宋体" w:cs="宋体" w:eastAsia="宋体" w:hint="default"/>
          <w:b/>
          <w:bCs/>
          <w:w w:val="99"/>
        </w:rPr>
        <w:t> </w:t>
      </w:r>
      <w:r>
        <w:rPr>
          <w:spacing w:val="-2"/>
        </w:rPr>
        <w:t>公司产品销往国内外市场，国内市场占主要份额。公司外销收入的主要结算货币主要为美元，美元资产占有公司资产总</w:t>
      </w:r>
    </w:p>
    <w:p>
      <w:pPr>
        <w:spacing w:after="0" w:line="451"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left="513" w:right="1129" w:hanging="361"/>
        <w:jc w:val="left"/>
      </w:pPr>
      <w:r>
        <w:rPr/>
        <w:t>额一定的比重。因此，汇率的波动将会对产品销售价格及公司业绩产生一定的影响。 </w:t>
      </w:r>
      <w:r>
        <w:rPr>
          <w:spacing w:val="-2"/>
        </w:rPr>
        <w:t>公司将保持适当的美元资产在资产总额的配置比重，密切关注汇率变动趋势，适时选择汇率避险工具，实现公司资产保</w:t>
      </w:r>
    </w:p>
    <w:p>
      <w:pPr>
        <w:pStyle w:val="BodyText"/>
        <w:spacing w:line="240" w:lineRule="auto" w:before="54"/>
        <w:ind w:right="1133"/>
        <w:jc w:val="left"/>
      </w:pPr>
      <w:r>
        <w:rPr/>
        <w:t>值增值。</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2"/>
        <w:spacing w:line="240" w:lineRule="auto"/>
        <w:ind w:right="1133"/>
        <w:jc w:val="left"/>
        <w:rPr>
          <w:b w:val="0"/>
          <w:bCs w:val="0"/>
        </w:rPr>
      </w:pPr>
      <w:r>
        <w:rPr/>
        <w:t>十、接待调研、沟通、采访等活动</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before="0"/>
        <w:ind w:right="1133"/>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20"/>
              <w:jc w:val="righ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6"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0"/>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22"/>
              <w:jc w:val="left"/>
              <w:rPr>
                <w:rFonts w:ascii="宋体" w:hAnsi="宋体" w:cs="宋体" w:eastAsia="宋体" w:hint="default"/>
                <w:sz w:val="18"/>
                <w:szCs w:val="18"/>
              </w:rPr>
            </w:pPr>
            <w:r>
              <w:rPr>
                <w:rFonts w:ascii="宋体" w:hAnsi="宋体" w:cs="宋体" w:eastAsia="宋体" w:hint="default"/>
                <w:sz w:val="18"/>
                <w:szCs w:val="18"/>
              </w:rPr>
              <w:t>详见投资者关系互动平台上投资者关 系板块</w:t>
            </w:r>
          </w:p>
        </w:tc>
      </w:tr>
    </w:tbl>
    <w:p>
      <w:pPr>
        <w:spacing w:after="0" w:line="319"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399"/>
        <w:jc w:val="center"/>
        <w:rPr>
          <w:b w:val="0"/>
          <w:bCs w:val="0"/>
        </w:rPr>
      </w:pPr>
      <w:bookmarkStart w:name="_bookmark4" w:id="5"/>
      <w:bookmarkEnd w:id="5"/>
      <w:r>
        <w:rPr>
          <w:b w:val="0"/>
          <w:bCs w:val="0"/>
        </w:rPr>
      </w:r>
      <w:r>
        <w:rPr/>
        <w:t>第五节重要事项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报告期内普通股利润分配政策，特别是现金分红政策的制定、执行或调整情况</w:t>
      </w:r>
    </w:p>
    <w:p>
      <w:pPr>
        <w:pStyle w:val="BodyText"/>
        <w:spacing w:line="376" w:lineRule="auto" w:before="76"/>
        <w:ind w:left="513" w:right="1129"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报告期内，公司未对利润分配政策进行过调整。公司实行持续、稳定的利润分配政策，公司利润分配政策重视对投资者</w:t>
      </w:r>
    </w:p>
    <w:p>
      <w:pPr>
        <w:pStyle w:val="BodyText"/>
        <w:spacing w:line="477" w:lineRule="auto" w:before="130"/>
        <w:ind w:right="1034"/>
        <w:jc w:val="left"/>
      </w:pPr>
      <w:r>
        <w:rPr/>
        <w:t>的合理回报并兼顾公司的可持续发展。报告期内，公司利润分配预案在经股东大会审议通过及时在规定的时间内实施完毕， 切实保障了全体股东的利益。</w:t>
      </w:r>
    </w:p>
    <w:p>
      <w:pPr>
        <w:pStyle w:val="BodyText"/>
        <w:spacing w:line="451" w:lineRule="auto" w:before="55"/>
        <w:ind w:right="1130" w:firstLine="360"/>
        <w:jc w:val="both"/>
      </w:pPr>
      <w:r>
        <w:rPr>
          <w:spacing w:val="-4"/>
        </w:rPr>
        <w:t>报告期内，公司利润分配政策执行情况如下：</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25</w:t>
      </w:r>
      <w:r>
        <w:rPr>
          <w:spacing w:val="-4"/>
        </w:rPr>
        <w:t>日，公司第四届董事会第九次会议审议通过了《关于公司</w:t>
      </w:r>
      <w:r>
        <w:rPr>
          <w:rFonts w:ascii="Times New Roman" w:hAnsi="Times New Roman" w:cs="Times New Roman" w:eastAsia="Times New Roman" w:hint="default"/>
          <w:spacing w:val="-4"/>
        </w:rPr>
        <w:t>2018</w:t>
      </w:r>
      <w:r>
        <w:rPr>
          <w:rFonts w:ascii="Times New Roman" w:hAnsi="Times New Roman" w:cs="Times New Roman" w:eastAsia="Times New Roman" w:hint="default"/>
        </w:rPr>
        <w:t> </w:t>
      </w:r>
      <w:r>
        <w:rPr>
          <w:spacing w:val="-2"/>
        </w:rPr>
        <w:t>年度利润分配及资本公积转增股本预案的议案》，以截止</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日总股本</w:t>
      </w:r>
      <w:r>
        <w:rPr>
          <w:rFonts w:ascii="Times New Roman" w:hAnsi="Times New Roman" w:cs="Times New Roman" w:eastAsia="Times New Roman" w:hint="default"/>
          <w:spacing w:val="-2"/>
        </w:rPr>
        <w:t>192,000,000</w:t>
      </w:r>
      <w:r>
        <w:rPr>
          <w:spacing w:val="-2"/>
        </w:rPr>
        <w:t>股为基数，向全体股东每</w:t>
      </w:r>
      <w:r>
        <w:rPr>
          <w:rFonts w:ascii="Times New Roman" w:hAnsi="Times New Roman" w:cs="Times New Roman" w:eastAsia="Times New Roman" w:hint="default"/>
          <w:spacing w:val="-2"/>
        </w:rPr>
        <w:t>10</w:t>
      </w:r>
      <w:r>
        <w:rPr>
          <w:spacing w:val="-2"/>
        </w:rPr>
        <w:t>股派</w:t>
      </w:r>
      <w:r>
        <w:rPr>
          <w:spacing w:val="-51"/>
        </w:rPr>
        <w:t> </w:t>
      </w:r>
      <w:r>
        <w:rPr>
          <w:spacing w:val="-1"/>
        </w:rPr>
        <w:t>发现金股利人民币</w:t>
      </w:r>
      <w:r>
        <w:rPr>
          <w:rFonts w:ascii="Times New Roman" w:hAnsi="Times New Roman" w:cs="Times New Roman" w:eastAsia="Times New Roman" w:hint="default"/>
          <w:spacing w:val="-1"/>
        </w:rPr>
        <w:t>0.5</w:t>
      </w:r>
      <w:r>
        <w:rPr>
          <w:spacing w:val="-1"/>
        </w:rPr>
        <w:t>元（含税），共计派发现金股利人民币</w:t>
      </w:r>
      <w:r>
        <w:rPr>
          <w:rFonts w:ascii="Times New Roman" w:hAnsi="Times New Roman" w:cs="Times New Roman" w:eastAsia="Times New Roman" w:hint="default"/>
          <w:spacing w:val="-1"/>
        </w:rPr>
        <w:t>9,600,000</w:t>
      </w:r>
      <w:r>
        <w:rPr>
          <w:spacing w:val="-1"/>
        </w:rPr>
        <w:t>元；同时以资本公积向全体股东每十股转增</w:t>
      </w:r>
      <w:r>
        <w:rPr>
          <w:rFonts w:ascii="Times New Roman" w:hAnsi="Times New Roman" w:cs="Times New Roman" w:eastAsia="Times New Roman" w:hint="default"/>
          <w:spacing w:val="-1"/>
        </w:rPr>
        <w:t>4</w:t>
      </w:r>
      <w:r>
        <w:rPr>
          <w:spacing w:val="-1"/>
        </w:rPr>
        <w:t>股，合计</w:t>
      </w:r>
      <w:r>
        <w:rPr>
          <w:spacing w:val="-76"/>
        </w:rPr>
        <w:t> </w:t>
      </w:r>
      <w:r>
        <w:rPr>
          <w:spacing w:val="-76"/>
        </w:rPr>
      </w:r>
      <w:r>
        <w:rPr>
          <w:spacing w:val="-2"/>
        </w:rPr>
        <w:t>转增</w:t>
      </w:r>
      <w:r>
        <w:rPr>
          <w:rFonts w:ascii="Times New Roman" w:hAnsi="Times New Roman" w:cs="Times New Roman" w:eastAsia="Times New Roman" w:hint="default"/>
          <w:spacing w:val="-2"/>
        </w:rPr>
        <w:t>76,800,000</w:t>
      </w:r>
      <w:r>
        <w:rPr>
          <w:spacing w:val="-2"/>
        </w:rPr>
        <w:t>股，转增后公司总股本将增至</w:t>
      </w:r>
      <w:r>
        <w:rPr>
          <w:rFonts w:ascii="Times New Roman" w:hAnsi="Times New Roman" w:cs="Times New Roman" w:eastAsia="Times New Roman" w:hint="default"/>
          <w:spacing w:val="-2"/>
        </w:rPr>
        <w:t>268,800,000</w:t>
      </w:r>
      <w:r>
        <w:rPr>
          <w:spacing w:val="-2"/>
        </w:rPr>
        <w:t>股。该利润分配议案于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21</w:t>
      </w:r>
      <w:r>
        <w:rPr>
          <w:spacing w:val="-2"/>
        </w:rPr>
        <w:t>日经公司</w:t>
      </w:r>
      <w:r>
        <w:rPr>
          <w:rFonts w:ascii="Times New Roman" w:hAnsi="Times New Roman" w:cs="Times New Roman" w:eastAsia="Times New Roman" w:hint="default"/>
          <w:spacing w:val="-2"/>
        </w:rPr>
        <w:t>2018</w:t>
      </w:r>
      <w:r>
        <w:rPr>
          <w:spacing w:val="-2"/>
        </w:rPr>
        <w:t>年度股东大会审议</w:t>
      </w:r>
      <w:r>
        <w:rPr>
          <w:spacing w:val="-43"/>
        </w:rPr>
        <w:t> </w:t>
      </w:r>
      <w:r>
        <w:rPr>
          <w:spacing w:val="-43"/>
        </w:rPr>
      </w:r>
      <w:r>
        <w:rPr/>
        <w:t>通过。该利润分配方案已实施完毕。</w:t>
      </w:r>
    </w:p>
    <w:tbl>
      <w:tblPr>
        <w:tblW w:w="0" w:type="auto"/>
        <w:jc w:val="left"/>
        <w:tblInd w:w="160" w:type="dxa"/>
        <w:tblLayout w:type="fixed"/>
        <w:tblCellMar>
          <w:top w:w="0" w:type="dxa"/>
          <w:left w:w="0" w:type="dxa"/>
          <w:bottom w:w="0" w:type="dxa"/>
          <w:right w:w="0" w:type="dxa"/>
        </w:tblCellMar>
        <w:tblLook w:val="01E0"/>
      </w:tblPr>
      <w:tblGrid>
        <w:gridCol w:w="6499"/>
        <w:gridCol w:w="3059"/>
      </w:tblGrid>
      <w:tr>
        <w:trPr>
          <w:trHeight w:val="403"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1"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305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5"/>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305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5"/>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305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5"/>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6"/>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305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6"/>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left="12"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305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5"/>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1" w:hRule="exact"/>
        </w:trPr>
        <w:tc>
          <w:tcPr>
            <w:tcW w:w="64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059" w:type="dxa"/>
            <w:vMerge w:val="restart"/>
            <w:tcBorders>
              <w:top w:val="single" w:sz="4" w:space="0" w:color="000000"/>
              <w:left w:val="single" w:sz="10" w:space="0" w:color="D2D2D2"/>
              <w:right w:val="single" w:sz="4" w:space="0" w:color="000000"/>
            </w:tcBorders>
          </w:tcPr>
          <w:p>
            <w:pPr>
              <w:pStyle w:val="TableParagraph"/>
              <w:spacing w:line="316" w:lineRule="auto" w:before="35"/>
              <w:ind w:left="27" w:right="22"/>
              <w:jc w:val="left"/>
              <w:rPr>
                <w:rFonts w:ascii="宋体" w:hAnsi="宋体" w:cs="宋体" w:eastAsia="宋体" w:hint="default"/>
                <w:sz w:val="18"/>
                <w:szCs w:val="18"/>
              </w:rPr>
            </w:pPr>
            <w:r>
              <w:rPr>
                <w:rFonts w:ascii="宋体" w:hAnsi="宋体" w:cs="宋体" w:eastAsia="宋体" w:hint="default"/>
                <w:spacing w:val="-5"/>
                <w:sz w:val="18"/>
                <w:szCs w:val="18"/>
              </w:rPr>
              <w:t>不适用。报告期内，公司未调整或变更</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现金分红政策。</w:t>
            </w:r>
          </w:p>
        </w:tc>
      </w:tr>
      <w:tr>
        <w:trPr>
          <w:trHeight w:val="394" w:hRule="exact"/>
        </w:trPr>
        <w:tc>
          <w:tcPr>
            <w:tcW w:w="64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5"/>
              <w:ind w:left="12"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3059" w:type="dxa"/>
            <w:vMerge/>
            <w:tcBorders>
              <w:left w:val="single" w:sz="10" w:space="0" w:color="D2D2D2"/>
              <w:right w:val="single" w:sz="4" w:space="0" w:color="000000"/>
            </w:tcBorders>
          </w:tcPr>
          <w:p>
            <w:pPr/>
          </w:p>
        </w:tc>
      </w:tr>
      <w:tr>
        <w:trPr>
          <w:trHeight w:val="161" w:hRule="exact"/>
        </w:trPr>
        <w:tc>
          <w:tcPr>
            <w:tcW w:w="6499" w:type="dxa"/>
            <w:tcBorders>
              <w:top w:val="nil" w:sz="6" w:space="0" w:color="auto"/>
              <w:left w:val="single" w:sz="4" w:space="0" w:color="000000"/>
              <w:bottom w:val="single" w:sz="4" w:space="0" w:color="000000"/>
              <w:right w:val="single" w:sz="4" w:space="0" w:color="000000"/>
            </w:tcBorders>
            <w:shd w:val="clear" w:color="auto" w:fill="D2D2D2"/>
          </w:tcPr>
          <w:p>
            <w:pPr/>
          </w:p>
        </w:tc>
        <w:tc>
          <w:tcPr>
            <w:tcW w:w="3059" w:type="dxa"/>
            <w:vMerge/>
            <w:tcBorders>
              <w:left w:val="single" w:sz="10" w:space="0" w:color="D2D2D2"/>
              <w:bottom w:val="single" w:sz="4" w:space="0" w:color="000000"/>
              <w:right w:val="single" w:sz="4" w:space="0" w:color="000000"/>
            </w:tcBorders>
          </w:tcPr>
          <w:p>
            <w:pPr/>
          </w:p>
        </w:tc>
      </w:tr>
    </w:tbl>
    <w:p>
      <w:pPr>
        <w:pStyle w:val="BodyText"/>
        <w:spacing w:line="432" w:lineRule="auto" w:before="35"/>
        <w:ind w:left="513" w:right="1168" w:hanging="361"/>
        <w:jc w:val="left"/>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年（包括本报告期）的普通股股利分配方案（预案）、资本公积金转增股本方案（预案）情况</w:t>
      </w:r>
      <w:r>
        <w:rPr>
          <w:spacing w:val="-61"/>
        </w:rPr>
        <w:t> </w:t>
      </w:r>
      <w:r>
        <w:rPr>
          <w:spacing w:val="-61"/>
        </w:rPr>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年度利润分配方案 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192,000,000</w:t>
      </w:r>
      <w:r>
        <w:rPr/>
        <w:t>股为基数，向全体股东每</w:t>
      </w:r>
      <w:r>
        <w:rPr>
          <w:rFonts w:ascii="Times New Roman" w:hAnsi="Times New Roman" w:cs="Times New Roman" w:eastAsia="Times New Roman" w:hint="default"/>
        </w:rPr>
        <w:t>10</w:t>
      </w:r>
      <w:r>
        <w:rPr/>
        <w:t>股派现金股利</w:t>
      </w:r>
      <w:r>
        <w:rPr>
          <w:rFonts w:ascii="Times New Roman" w:hAnsi="Times New Roman" w:cs="Times New Roman" w:eastAsia="Times New Roman" w:hint="default"/>
        </w:rPr>
        <w:t>0.5</w:t>
      </w:r>
      <w:r>
        <w:rPr/>
        <w:t>元（含税），共计派发现金股利</w:t>
      </w:r>
    </w:p>
    <w:p>
      <w:pPr>
        <w:pStyle w:val="BodyText"/>
        <w:spacing w:line="240" w:lineRule="auto" w:before="59"/>
        <w:ind w:right="1133"/>
        <w:jc w:val="left"/>
      </w:pPr>
      <w:r>
        <w:rPr>
          <w:rFonts w:ascii="Times New Roman" w:hAnsi="Times New Roman" w:cs="Times New Roman" w:eastAsia="Times New Roman" w:hint="default"/>
        </w:rPr>
        <w:t>9,600,000</w:t>
      </w:r>
      <w:r>
        <w:rPr/>
        <w:t>元；不送红股，不以资本公积转增股本。剩余未分配利润结转以后年度。该利润分配方案已实施完毕。</w:t>
      </w:r>
    </w:p>
    <w:p>
      <w:pPr>
        <w:spacing w:line="240" w:lineRule="auto" w:before="9"/>
        <w:rPr>
          <w:rFonts w:ascii="宋体" w:hAnsi="宋体" w:cs="宋体" w:eastAsia="宋体" w:hint="default"/>
          <w:sz w:val="16"/>
          <w:szCs w:val="16"/>
        </w:rPr>
      </w:pPr>
    </w:p>
    <w:p>
      <w:pPr>
        <w:pStyle w:val="BodyText"/>
        <w:spacing w:line="451" w:lineRule="auto"/>
        <w:ind w:left="513" w:right="1168"/>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年度利润分配方案 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192,000,000</w:t>
      </w:r>
      <w:r>
        <w:rPr/>
        <w:t>股为基数，向全体股东每</w:t>
      </w:r>
      <w:r>
        <w:rPr>
          <w:rFonts w:ascii="Times New Roman" w:hAnsi="Times New Roman" w:cs="Times New Roman" w:eastAsia="Times New Roman" w:hint="default"/>
        </w:rPr>
        <w:t>10</w:t>
      </w:r>
      <w:r>
        <w:rPr/>
        <w:t>股派现金股利</w:t>
      </w:r>
      <w:r>
        <w:rPr>
          <w:rFonts w:ascii="Times New Roman" w:hAnsi="Times New Roman" w:cs="Times New Roman" w:eastAsia="Times New Roman" w:hint="default"/>
        </w:rPr>
        <w:t>0.5</w:t>
      </w:r>
      <w:r>
        <w:rPr/>
        <w:t>元（含税），共计派发现金股利</w:t>
      </w:r>
    </w:p>
    <w:p>
      <w:pPr>
        <w:pStyle w:val="BodyText"/>
        <w:spacing w:line="451" w:lineRule="auto" w:before="43"/>
        <w:ind w:right="1133"/>
        <w:jc w:val="left"/>
      </w:pPr>
      <w:r>
        <w:rPr>
          <w:rFonts w:ascii="Times New Roman" w:hAnsi="Times New Roman" w:cs="Times New Roman" w:eastAsia="Times New Roman" w:hint="default"/>
          <w:spacing w:val="-2"/>
        </w:rPr>
        <w:t>9,600,000</w:t>
      </w:r>
      <w:r>
        <w:rPr>
          <w:spacing w:val="-2"/>
        </w:rPr>
        <w:t>元；不送红股，以资本公积每十股转增</w:t>
      </w:r>
      <w:r>
        <w:rPr>
          <w:rFonts w:ascii="Times New Roman" w:hAnsi="Times New Roman" w:cs="Times New Roman" w:eastAsia="Times New Roman" w:hint="default"/>
          <w:spacing w:val="-2"/>
        </w:rPr>
        <w:t>4</w:t>
      </w:r>
      <w:r>
        <w:rPr>
          <w:spacing w:val="-2"/>
        </w:rPr>
        <w:t>股，合计转增</w:t>
      </w:r>
      <w:r>
        <w:rPr>
          <w:rFonts w:ascii="Times New Roman" w:hAnsi="Times New Roman" w:cs="Times New Roman" w:eastAsia="Times New Roman" w:hint="default"/>
          <w:spacing w:val="-2"/>
        </w:rPr>
        <w:t>76,800,000</w:t>
      </w:r>
      <w:r>
        <w:rPr>
          <w:spacing w:val="-2"/>
        </w:rPr>
        <w:t>股，转增后公司总股本将增至</w:t>
      </w:r>
      <w:r>
        <w:rPr>
          <w:rFonts w:ascii="Times New Roman" w:hAnsi="Times New Roman" w:cs="Times New Roman" w:eastAsia="Times New Roman" w:hint="default"/>
          <w:spacing w:val="-2"/>
        </w:rPr>
        <w:t>268,800,000</w:t>
      </w:r>
      <w:r>
        <w:rPr>
          <w:spacing w:val="-2"/>
        </w:rPr>
        <w:t>股。该利</w:t>
      </w:r>
      <w:r>
        <w:rPr>
          <w:spacing w:val="-42"/>
        </w:rPr>
        <w:t> </w:t>
      </w:r>
      <w:r>
        <w:rPr>
          <w:spacing w:val="-42"/>
        </w:rPr>
      </w:r>
      <w:r>
        <w:rPr/>
        <w:t>润分配方案已实施完毕。</w:t>
      </w:r>
    </w:p>
    <w:p>
      <w:pPr>
        <w:pStyle w:val="BodyText"/>
        <w:spacing w:line="240" w:lineRule="auto" w:before="74"/>
        <w:ind w:left="513" w:right="1133"/>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年度利润分配方案</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51" w:lineRule="auto"/>
        <w:ind w:right="1128" w:firstLine="360"/>
        <w:jc w:val="both"/>
      </w:pPr>
      <w:r>
        <w:rPr/>
        <w:t>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268,800,000</w:t>
      </w:r>
      <w:r>
        <w:rPr/>
        <w:t>股为基数，向全体股东每</w:t>
      </w:r>
      <w:r>
        <w:rPr>
          <w:rFonts w:ascii="Times New Roman" w:hAnsi="Times New Roman" w:cs="Times New Roman" w:eastAsia="Times New Roman" w:hint="default"/>
        </w:rPr>
        <w:t>10</w:t>
      </w:r>
      <w:r>
        <w:rPr/>
        <w:t>股派现金股利</w:t>
      </w:r>
      <w:r>
        <w:rPr>
          <w:rFonts w:ascii="Times New Roman" w:hAnsi="Times New Roman" w:cs="Times New Roman" w:eastAsia="Times New Roman" w:hint="default"/>
        </w:rPr>
        <w:t>0.2</w:t>
      </w:r>
      <w:r>
        <w:rPr/>
        <w:t>元（含税），共计派发现金股利 </w:t>
      </w:r>
      <w:r>
        <w:rPr>
          <w:rFonts w:ascii="Times New Roman" w:hAnsi="Times New Roman" w:cs="Times New Roman" w:eastAsia="Times New Roman" w:hint="default"/>
          <w:spacing w:val="-2"/>
        </w:rPr>
        <w:t>5,376,000</w:t>
      </w:r>
      <w:r>
        <w:rPr>
          <w:spacing w:val="-2"/>
        </w:rPr>
        <w:t>元；不送红股，不以资本公积转增股本。剩余未分配利润结转以后年度。该利润分配方案尚需提交</w:t>
      </w:r>
      <w:r>
        <w:rPr>
          <w:rFonts w:ascii="Times New Roman" w:hAnsi="Times New Roman" w:cs="Times New Roman" w:eastAsia="Times New Roman" w:hint="default"/>
          <w:spacing w:val="-2"/>
        </w:rPr>
        <w:t>2019</w:t>
      </w:r>
      <w:r>
        <w:rPr>
          <w:spacing w:val="-2"/>
        </w:rPr>
        <w:t>年度股东大</w:t>
      </w:r>
      <w:r>
        <w:rPr>
          <w:spacing w:val="-52"/>
        </w:rPr>
        <w:t> </w:t>
      </w:r>
      <w:r>
        <w:rPr>
          <w:spacing w:val="-52"/>
        </w:rPr>
      </w:r>
      <w:r>
        <w:rPr/>
        <w:t>会审议。</w:t>
      </w:r>
    </w:p>
    <w:p>
      <w:pPr>
        <w:pStyle w:val="BodyText"/>
        <w:spacing w:line="230" w:lineRule="exact"/>
        <w:ind w:left="513" w:right="1133"/>
        <w:jc w:val="left"/>
      </w:pPr>
      <w:r>
        <w:rPr/>
        <w:t>公司近三年（包括本报告期）普通股现金分红情况表</w:t>
      </w:r>
    </w:p>
    <w:p>
      <w:pPr>
        <w:pStyle w:val="BodyText"/>
        <w:spacing w:line="240" w:lineRule="auto" w:before="117"/>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6"/>
        <w:gridCol w:w="1197"/>
        <w:gridCol w:w="1184"/>
        <w:gridCol w:w="1208"/>
        <w:gridCol w:w="1184"/>
      </w:tblGrid>
      <w:tr>
        <w:trPr>
          <w:trHeight w:val="161" w:hRule="exact"/>
        </w:trPr>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7" w:type="dxa"/>
            <w:vMerge w:val="restart"/>
            <w:tcBorders>
              <w:top w:val="single" w:sz="4" w:space="0" w:color="000000"/>
              <w:left w:val="single" w:sz="4" w:space="0" w:color="000000"/>
              <w:right w:val="single" w:sz="4" w:space="0" w:color="000000"/>
            </w:tcBorders>
            <w:shd w:val="clear" w:color="auto" w:fill="D2D2D2"/>
          </w:tcPr>
          <w:p>
            <w:pPr/>
          </w:p>
        </w:tc>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vMerge w:val="restart"/>
            <w:tcBorders>
              <w:top w:val="single" w:sz="4" w:space="0" w:color="000000"/>
              <w:left w:val="single" w:sz="4" w:space="0" w:color="000000"/>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6"/>
              <w:ind w:left="51" w:right="41"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3"/>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7" w:type="dxa"/>
            <w:vMerge/>
            <w:tcBorders>
              <w:left w:val="single" w:sz="4" w:space="0" w:color="000000"/>
              <w:right w:val="single" w:sz="4" w:space="0" w:color="000000"/>
            </w:tcBorders>
            <w:shd w:val="clear" w:color="auto" w:fill="D2D2D2"/>
          </w:tcPr>
          <w:p>
            <w:pPr/>
          </w:p>
        </w:tc>
        <w:tc>
          <w:tcPr>
            <w:tcW w:w="11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41"/>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1"/>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6"/>
              <w:ind w:left="51" w:right="53"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423" w:right="141"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94" w:hRule="exact"/>
        </w:trPr>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7"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61" w:hRule="exact"/>
        </w:trPr>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5,376,000.00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20,928,978.84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25.69%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5,376,000.00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25.69%</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34,659,747.32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27.70%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9,600,000.00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27.70%</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9,600,000.00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30,446,607.75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31.53%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9,600,000.00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31.53%</w:t>
            </w:r>
          </w:p>
        </w:tc>
      </w:tr>
    </w:tbl>
    <w:p>
      <w:pPr>
        <w:pStyle w:val="BodyText"/>
        <w:spacing w:line="240" w:lineRule="auto" w:before="8"/>
        <w:ind w:right="1133"/>
        <w:jc w:val="left"/>
      </w:pPr>
      <w:r>
        <w:rPr/>
        <w:t>公司报告期内盈利且母公司可供普通股股东分配利润为正但未提出普通股现金红利分配预案</w:t>
      </w:r>
    </w:p>
    <w:p>
      <w:pPr>
        <w:pStyle w:val="BodyText"/>
        <w:spacing w:line="240" w:lineRule="auto" w:before="76"/>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Heading2"/>
        <w:spacing w:line="240" w:lineRule="auto" w:before="93"/>
        <w:ind w:right="1133"/>
        <w:jc w:val="left"/>
        <w:rPr>
          <w:b w:val="0"/>
          <w:bCs w:val="0"/>
        </w:rPr>
      </w:pPr>
      <w:r>
        <w:rPr/>
        <w:t>二、本报告期利润分配及资本公积金转增股本情况</w:t>
      </w:r>
      <w:r>
        <w:rPr>
          <w:b w:val="0"/>
          <w:bCs w:val="0"/>
        </w:rPr>
      </w:r>
    </w:p>
    <w:p>
      <w:pPr>
        <w:pStyle w:val="BodyText"/>
        <w:spacing w:line="240" w:lineRule="auto" w:before="16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231"/>
        <w:gridCol w:w="5328"/>
      </w:tblGrid>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32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32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w:t>
            </w: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32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32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268,800,000</w:t>
            </w: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32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5,376,000.00</w:t>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32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32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5,376,000.00</w:t>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32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165,650,957.27</w:t>
            </w:r>
          </w:p>
        </w:tc>
      </w:tr>
      <w:tr>
        <w:trPr>
          <w:trHeight w:val="406"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现金分红总额（含其他方式）占利润分配总额的比例</w:t>
            </w:r>
          </w:p>
        </w:tc>
        <w:tc>
          <w:tcPr>
            <w:tcW w:w="532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z w:val="18"/>
              </w:rPr>
              <w:t>100%</w:t>
            </w:r>
          </w:p>
        </w:tc>
      </w:tr>
      <w:tr>
        <w:trPr>
          <w:trHeight w:val="398"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4"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649"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经永拓会计师事务所（特殊普通合伙）审计，母公司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年度实现净利润</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3,576,429.78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元，按照母公司报告期内实现净利</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计提法定盈余公积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357,642.98</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元，加母公司年初未分配利润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172,032,170.47</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元，扣除</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年度对股东已实施的现</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金分红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9,600,000.00 </w:t>
            </w:r>
            <w:r>
              <w:rPr>
                <w:rFonts w:ascii="宋体" w:hAnsi="宋体" w:cs="宋体" w:eastAsia="宋体" w:hint="default"/>
                <w:spacing w:val="-4"/>
                <w:sz w:val="18"/>
                <w:szCs w:val="18"/>
              </w:rPr>
              <w:t>元，母公司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年末可供股东分配的利润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165,650,957.27</w:t>
            </w:r>
            <w:r>
              <w:rPr>
                <w:rFonts w:ascii="Times New Roman" w:hAnsi="Times New Roman" w:cs="Times New Roman" w:eastAsia="Times New Roman" w:hint="default"/>
                <w:spacing w:val="43"/>
                <w:sz w:val="18"/>
                <w:szCs w:val="18"/>
              </w:rPr>
              <w:t> </w:t>
            </w:r>
            <w:r>
              <w:rPr>
                <w:rFonts w:ascii="宋体" w:hAnsi="宋体" w:cs="宋体" w:eastAsia="宋体" w:hint="default"/>
                <w:spacing w:val="-3"/>
                <w:sz w:val="18"/>
                <w:szCs w:val="18"/>
              </w:rPr>
              <w:t>元。</w:t>
            </w:r>
            <w:r>
              <w:rPr>
                <w:rFonts w:ascii="Times New Roman" w:hAnsi="Times New Roman" w:cs="Times New Roman" w:eastAsia="Times New Roman" w:hint="default"/>
                <w:spacing w:val="-3"/>
                <w:sz w:val="18"/>
                <w:szCs w:val="18"/>
              </w:rPr>
              <w:t>2019</w:t>
            </w:r>
            <w:r>
              <w:rPr>
                <w:rFonts w:ascii="Times New Roman" w:hAnsi="Times New Roman" w:cs="Times New Roman" w:eastAsia="Times New Roman" w:hint="default"/>
                <w:sz w:val="18"/>
                <w:szCs w:val="18"/>
              </w:rPr>
              <w:t> </w:t>
            </w:r>
            <w:r>
              <w:rPr>
                <w:rFonts w:ascii="宋体" w:hAnsi="宋体" w:cs="宋体" w:eastAsia="宋体" w:hint="default"/>
                <w:sz w:val="18"/>
                <w:szCs w:val="18"/>
              </w:rPr>
              <w:t>年利润分配预案为以截止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3"/>
              <w:ind w:left="1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日的股本</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00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 </w:t>
            </w:r>
            <w:r>
              <w:rPr>
                <w:rFonts w:ascii="宋体" w:hAnsi="宋体" w:cs="宋体" w:eastAsia="宋体" w:hint="default"/>
                <w:sz w:val="18"/>
                <w:szCs w:val="18"/>
              </w:rPr>
              <w:t>股作为股本基数</w:t>
            </w:r>
            <w:r>
              <w:rPr>
                <w:rFonts w:ascii="宋体" w:hAnsi="宋体" w:cs="宋体" w:eastAsia="宋体" w:hint="default"/>
                <w:spacing w:val="-10"/>
                <w:sz w:val="18"/>
                <w:szCs w:val="18"/>
              </w:rPr>
              <w:t>，</w:t>
            </w:r>
            <w:r>
              <w:rPr>
                <w:rFonts w:ascii="宋体" w:hAnsi="宋体" w:cs="宋体" w:eastAsia="宋体" w:hint="default"/>
                <w:sz w:val="18"/>
                <w:szCs w:val="18"/>
              </w:rPr>
              <w:t>向全体股东每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股派发现金股利人</w:t>
            </w:r>
            <w:r>
              <w:rPr>
                <w:rFonts w:ascii="宋体" w:hAnsi="宋体" w:cs="宋体" w:eastAsia="宋体" w:hint="default"/>
                <w:spacing w:val="-3"/>
                <w:sz w:val="18"/>
                <w:szCs w:val="18"/>
              </w:rPr>
              <w:t>民</w:t>
            </w:r>
            <w:r>
              <w:rPr>
                <w:rFonts w:ascii="宋体" w:hAnsi="宋体" w:cs="宋体" w:eastAsia="宋体" w:hint="default"/>
                <w:sz w:val="18"/>
                <w:szCs w:val="18"/>
              </w:rPr>
              <w:t>币</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元</w:t>
            </w:r>
            <w:r>
              <w:rPr>
                <w:rFonts w:ascii="宋体" w:hAnsi="宋体" w:cs="宋体" w:eastAsia="宋体" w:hint="default"/>
                <w:sz w:val="18"/>
                <w:szCs w:val="18"/>
              </w:rPr>
              <w:t>（含税</w:t>
            </w:r>
            <w:r>
              <w:rPr>
                <w:rFonts w:ascii="宋体" w:hAnsi="宋体" w:cs="宋体" w:eastAsia="宋体" w:hint="default"/>
                <w:spacing w:val="-92"/>
                <w:sz w:val="18"/>
                <w:szCs w:val="18"/>
              </w:rPr>
              <w:t>）</w:t>
            </w:r>
            <w:r>
              <w:rPr>
                <w:rFonts w:ascii="宋体" w:hAnsi="宋体" w:cs="宋体" w:eastAsia="宋体" w:hint="default"/>
                <w:spacing w:val="-10"/>
                <w:sz w:val="18"/>
                <w:szCs w:val="18"/>
              </w:rPr>
              <w:t>，</w:t>
            </w:r>
            <w:r>
              <w:rPr>
                <w:rFonts w:ascii="宋体" w:hAnsi="宋体" w:cs="宋体" w:eastAsia="宋体" w:hint="default"/>
                <w:sz w:val="18"/>
                <w:szCs w:val="18"/>
              </w:rPr>
              <w:t>合计派发现金股</w:t>
            </w:r>
          </w:p>
          <w:p>
            <w:pPr>
              <w:pStyle w:val="TableParagraph"/>
              <w:spacing w:line="240" w:lineRule="auto" w:before="62"/>
              <w:ind w:left="12" w:right="0"/>
              <w:jc w:val="left"/>
              <w:rPr>
                <w:rFonts w:ascii="宋体" w:hAnsi="宋体" w:cs="宋体" w:eastAsia="宋体" w:hint="default"/>
                <w:sz w:val="18"/>
                <w:szCs w:val="18"/>
              </w:rPr>
            </w:pPr>
            <w:r>
              <w:rPr>
                <w:rFonts w:ascii="宋体" w:hAnsi="宋体" w:cs="宋体" w:eastAsia="宋体" w:hint="default"/>
                <w:sz w:val="18"/>
                <w:szCs w:val="18"/>
              </w:rPr>
              <w:t>利</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5,376,000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元；不送红股，不以资本公积转增股本。</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pStyle w:val="Heading2"/>
        <w:spacing w:line="240" w:lineRule="auto" w:before="28"/>
        <w:ind w:left="260" w:right="0"/>
        <w:jc w:val="left"/>
        <w:rPr>
          <w:b w:val="0"/>
          <w:bCs w:val="0"/>
        </w:rPr>
      </w:pPr>
      <w:r>
        <w:rPr/>
        <w:pict>
          <v:group style="position:absolute;margin-left:70.559998pt;margin-top:2.195603pt;width:700.9pt;height:.1pt;mso-position-horizontal-relative:page;mso-position-vertical-relative:paragraph;z-index:-1094584" coordorigin="1411,44" coordsize="14018,2">
            <v:shape style="position:absolute;left:1411;top:44;width:14018;height:2" coordorigin="1411,44" coordsize="14018,0" path="m1411,44l15429,44e" filled="false" stroked="true" strokeweight=".72pt" strokecolor="#000000">
              <v:path arrowok="t"/>
            </v:shape>
            <w10:wrap type="none"/>
          </v:group>
        </w:pict>
      </w:r>
      <w:r>
        <w:rPr/>
        <w:t>三、承诺事项履行情况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before="0"/>
        <w:ind w:left="260" w:right="0"/>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、公司实际控制人、股东、关联方、收购人以及公司等承诺相关方在报告期内履行完毕及截至报告期末尚未履行完毕的承诺事项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26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1702"/>
        <w:gridCol w:w="1423"/>
        <w:gridCol w:w="994"/>
        <w:gridCol w:w="7230"/>
        <w:gridCol w:w="994"/>
        <w:gridCol w:w="991"/>
        <w:gridCol w:w="924"/>
      </w:tblGrid>
      <w:tr>
        <w:trPr>
          <w:trHeight w:val="245" w:hRule="exact"/>
        </w:trPr>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423"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0"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92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7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4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36"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72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31"/>
              <w:jc w:val="right"/>
              <w:rPr>
                <w:rFonts w:ascii="宋体" w:hAnsi="宋体" w:cs="宋体" w:eastAsia="宋体" w:hint="default"/>
                <w:sz w:val="18"/>
                <w:szCs w:val="18"/>
              </w:rPr>
            </w:pPr>
            <w:r>
              <w:rPr>
                <w:rFonts w:ascii="宋体" w:hAnsi="宋体" w:cs="宋体" w:eastAsia="宋体" w:hint="default"/>
                <w:sz w:val="18"/>
                <w:szCs w:val="18"/>
              </w:rPr>
              <w:t>承诺期限</w:t>
            </w:r>
          </w:p>
        </w:tc>
        <w:tc>
          <w:tcPr>
            <w:tcW w:w="9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95"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242" w:hRule="exact"/>
        </w:trPr>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423"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0"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243" w:hRule="exact"/>
        </w:trPr>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423" w:type="dxa"/>
            <w:vMerge w:val="restart"/>
            <w:tcBorders>
              <w:top w:val="single" w:sz="4" w:space="0" w:color="000000"/>
              <w:left w:val="single" w:sz="10" w:space="0" w:color="D2D2D2"/>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c>
          <w:tcPr>
            <w:tcW w:w="7230"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924" w:type="dxa"/>
            <w:vMerge w:val="restart"/>
            <w:tcBorders>
              <w:top w:val="single" w:sz="4" w:space="0" w:color="000000"/>
              <w:left w:val="single" w:sz="4" w:space="0" w:color="000000"/>
              <w:right w:val="single" w:sz="4" w:space="0" w:color="000000"/>
            </w:tcBorders>
          </w:tcPr>
          <w:p>
            <w:pPr/>
          </w:p>
        </w:tc>
      </w:tr>
      <w:tr>
        <w:trPr>
          <w:trHeight w:val="394" w:hRule="exact"/>
        </w:trPr>
        <w:tc>
          <w:tcPr>
            <w:tcW w:w="17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423" w:type="dxa"/>
            <w:vMerge/>
            <w:tcBorders>
              <w:left w:val="single" w:sz="10" w:space="0" w:color="D2D2D2"/>
              <w:right w:val="single" w:sz="4" w:space="0" w:color="000000"/>
            </w:tcBorders>
          </w:tcPr>
          <w:p>
            <w:pPr/>
          </w:p>
        </w:tc>
        <w:tc>
          <w:tcPr>
            <w:tcW w:w="994" w:type="dxa"/>
            <w:vMerge/>
            <w:tcBorders>
              <w:left w:val="single" w:sz="4" w:space="0" w:color="000000"/>
              <w:right w:val="single" w:sz="4" w:space="0" w:color="000000"/>
            </w:tcBorders>
          </w:tcPr>
          <w:p>
            <w:pPr/>
          </w:p>
        </w:tc>
        <w:tc>
          <w:tcPr>
            <w:tcW w:w="723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24" w:type="dxa"/>
            <w:vMerge/>
            <w:tcBorders>
              <w:left w:val="single" w:sz="4" w:space="0" w:color="000000"/>
              <w:right w:val="single" w:sz="4" w:space="0" w:color="000000"/>
            </w:tcBorders>
          </w:tcPr>
          <w:p>
            <w:pPr/>
          </w:p>
        </w:tc>
      </w:tr>
      <w:tr>
        <w:trPr>
          <w:trHeight w:val="286" w:hRule="exact"/>
        </w:trPr>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423" w:type="dxa"/>
            <w:vMerge/>
            <w:tcBorders>
              <w:left w:val="single" w:sz="10" w:space="0" w:color="D2D2D2"/>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7230"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924" w:type="dxa"/>
            <w:vMerge/>
            <w:tcBorders>
              <w:left w:val="single" w:sz="4" w:space="0" w:color="000000"/>
              <w:bottom w:val="single" w:sz="4" w:space="0" w:color="000000"/>
              <w:right w:val="single" w:sz="4" w:space="0" w:color="000000"/>
            </w:tcBorders>
          </w:tcPr>
          <w:p>
            <w:pPr/>
          </w:p>
        </w:tc>
      </w:tr>
      <w:tr>
        <w:trPr>
          <w:trHeight w:val="835"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7"/>
              <w:ind w:left="23" w:right="46"/>
              <w:jc w:val="left"/>
              <w:rPr>
                <w:rFonts w:ascii="宋体" w:hAnsi="宋体" w:cs="宋体" w:eastAsia="宋体" w:hint="default"/>
                <w:sz w:val="18"/>
                <w:szCs w:val="18"/>
              </w:rPr>
            </w:pPr>
            <w:r>
              <w:rPr>
                <w:rFonts w:ascii="宋体" w:hAnsi="宋体" w:cs="宋体" w:eastAsia="宋体" w:hint="default"/>
                <w:sz w:val="18"/>
                <w:szCs w:val="18"/>
              </w:rPr>
              <w:t>收购报告书或权益变 动报告书中所作承诺</w:t>
            </w:r>
          </w:p>
        </w:tc>
        <w:tc>
          <w:tcPr>
            <w:tcW w:w="1423" w:type="dxa"/>
            <w:tcBorders>
              <w:top w:val="single" w:sz="4" w:space="0" w:color="000000"/>
              <w:left w:val="single" w:sz="13" w:space="0" w:color="D2D2D2"/>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23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423" w:type="dxa"/>
            <w:vMerge w:val="restart"/>
            <w:tcBorders>
              <w:top w:val="single" w:sz="4" w:space="0" w:color="000000"/>
              <w:left w:val="single" w:sz="10" w:space="0" w:color="D2D2D2"/>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c>
          <w:tcPr>
            <w:tcW w:w="7230"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924" w:type="dxa"/>
            <w:vMerge w:val="restart"/>
            <w:tcBorders>
              <w:top w:val="single" w:sz="4" w:space="0" w:color="000000"/>
              <w:left w:val="single" w:sz="4" w:space="0" w:color="000000"/>
              <w:right w:val="single" w:sz="4" w:space="0" w:color="000000"/>
            </w:tcBorders>
          </w:tcPr>
          <w:p>
            <w:pPr/>
          </w:p>
        </w:tc>
      </w:tr>
      <w:tr>
        <w:trPr>
          <w:trHeight w:val="391" w:hRule="exact"/>
        </w:trPr>
        <w:tc>
          <w:tcPr>
            <w:tcW w:w="17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423" w:type="dxa"/>
            <w:vMerge/>
            <w:tcBorders>
              <w:left w:val="single" w:sz="10" w:space="0" w:color="D2D2D2"/>
              <w:right w:val="single" w:sz="4" w:space="0" w:color="000000"/>
            </w:tcBorders>
          </w:tcPr>
          <w:p>
            <w:pPr/>
          </w:p>
        </w:tc>
        <w:tc>
          <w:tcPr>
            <w:tcW w:w="994" w:type="dxa"/>
            <w:vMerge/>
            <w:tcBorders>
              <w:left w:val="single" w:sz="4" w:space="0" w:color="000000"/>
              <w:right w:val="single" w:sz="4" w:space="0" w:color="000000"/>
            </w:tcBorders>
          </w:tcPr>
          <w:p>
            <w:pPr/>
          </w:p>
        </w:tc>
        <w:tc>
          <w:tcPr>
            <w:tcW w:w="723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24" w:type="dxa"/>
            <w:vMerge/>
            <w:tcBorders>
              <w:left w:val="single" w:sz="4" w:space="0" w:color="000000"/>
              <w:right w:val="single" w:sz="4" w:space="0" w:color="000000"/>
            </w:tcBorders>
          </w:tcPr>
          <w:p>
            <w:pPr/>
          </w:p>
        </w:tc>
      </w:tr>
      <w:tr>
        <w:trPr>
          <w:trHeight w:val="245" w:hRule="exact"/>
        </w:trPr>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423" w:type="dxa"/>
            <w:vMerge/>
            <w:tcBorders>
              <w:left w:val="single" w:sz="10" w:space="0" w:color="D2D2D2"/>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7230"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924" w:type="dxa"/>
            <w:vMerge/>
            <w:tcBorders>
              <w:left w:val="single" w:sz="4" w:space="0" w:color="000000"/>
              <w:bottom w:val="single" w:sz="4" w:space="0" w:color="000000"/>
              <w:right w:val="single" w:sz="4" w:space="0" w:color="000000"/>
            </w:tcBorders>
          </w:tcPr>
          <w:p>
            <w:pPr/>
          </w:p>
        </w:tc>
      </w:tr>
      <w:tr>
        <w:trPr>
          <w:trHeight w:val="1337" w:hRule="exact"/>
        </w:trPr>
        <w:tc>
          <w:tcPr>
            <w:tcW w:w="1702" w:type="dxa"/>
            <w:vMerge w:val="restart"/>
            <w:tcBorders>
              <w:top w:val="single" w:sz="4" w:space="0" w:color="000000"/>
              <w:left w:val="single" w:sz="4" w:space="0" w:color="000000"/>
              <w:right w:val="single" w:sz="4" w:space="0" w:color="000000"/>
            </w:tcBorders>
            <w:shd w:val="clear" w:color="auto" w:fill="D2D2D2"/>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3" w:right="26"/>
              <w:jc w:val="both"/>
              <w:rPr>
                <w:rFonts w:ascii="宋体" w:hAnsi="宋体" w:cs="宋体" w:eastAsia="宋体" w:hint="default"/>
                <w:sz w:val="18"/>
                <w:szCs w:val="18"/>
              </w:rPr>
            </w:pPr>
            <w:r>
              <w:rPr>
                <w:rFonts w:ascii="宋体" w:hAnsi="宋体" w:cs="宋体" w:eastAsia="宋体" w:hint="default"/>
                <w:sz w:val="18"/>
                <w:szCs w:val="18"/>
              </w:rPr>
              <w:t>兰山英</w:t>
            </w:r>
            <w:r>
              <w:rPr>
                <w:rFonts w:ascii="Times New Roman" w:hAnsi="Times New Roman" w:cs="Times New Roman" w:eastAsia="Times New Roman" w:hint="default"/>
                <w:sz w:val="18"/>
                <w:szCs w:val="18"/>
              </w:rPr>
              <w:t>;</w:t>
            </w:r>
            <w:r>
              <w:rPr>
                <w:rFonts w:ascii="宋体" w:hAnsi="宋体" w:cs="宋体" w:eastAsia="宋体" w:hint="default"/>
                <w:sz w:val="18"/>
                <w:szCs w:val="18"/>
              </w:rPr>
              <w:t>苏州恒久 荣盛科技投资有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孙忠良</w:t>
            </w:r>
            <w:r>
              <w:rPr>
                <w:rFonts w:ascii="Times New Roman" w:hAnsi="Times New Roman" w:cs="Times New Roman" w:eastAsia="Times New Roman" w:hint="default"/>
                <w:sz w:val="18"/>
                <w:szCs w:val="18"/>
              </w:rPr>
              <w:t>;</w:t>
            </w:r>
            <w:r>
              <w:rPr>
                <w:rFonts w:ascii="宋体" w:hAnsi="宋体" w:cs="宋体" w:eastAsia="宋体" w:hint="default"/>
                <w:sz w:val="18"/>
                <w:szCs w:val="18"/>
              </w:rPr>
              <w:t>余 荣清</w:t>
            </w:r>
            <w:r>
              <w:rPr>
                <w:rFonts w:ascii="Times New Roman" w:hAnsi="Times New Roman" w:cs="Times New Roman" w:eastAsia="Times New Roman" w:hint="default"/>
                <w:sz w:val="18"/>
                <w:szCs w:val="18"/>
              </w:rPr>
              <w:t>;</w:t>
            </w:r>
            <w:r>
              <w:rPr>
                <w:rFonts w:ascii="宋体" w:hAnsi="宋体" w:cs="宋体" w:eastAsia="宋体" w:hint="default"/>
                <w:sz w:val="18"/>
                <w:szCs w:val="18"/>
              </w:rPr>
              <w:t>余仲清</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3" w:right="59"/>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7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7" w:lineRule="auto"/>
              <w:ind w:left="21" w:right="20"/>
              <w:jc w:val="left"/>
              <w:rPr>
                <w:rFonts w:ascii="宋体" w:hAnsi="宋体" w:cs="宋体" w:eastAsia="宋体" w:hint="default"/>
                <w:sz w:val="18"/>
                <w:szCs w:val="18"/>
              </w:rPr>
            </w:pPr>
            <w:r>
              <w:rPr>
                <w:rFonts w:ascii="宋体" w:hAnsi="宋体" w:cs="宋体" w:eastAsia="宋体" w:hint="default"/>
                <w:sz w:val="18"/>
                <w:szCs w:val="18"/>
              </w:rPr>
              <w:t>自苏州恒久股票在证券交易所上市之日起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个月内，本人（公司）不转让或者委托他人管 </w:t>
            </w:r>
            <w:r>
              <w:rPr>
                <w:rFonts w:ascii="宋体" w:hAnsi="宋体" w:cs="宋体" w:eastAsia="宋体" w:hint="default"/>
                <w:spacing w:val="-1"/>
                <w:sz w:val="18"/>
                <w:szCs w:val="18"/>
              </w:rPr>
              <w:t>理本人（公司）现已持有的苏州恒久股份，也不由苏州恒久回购本人（公司）持有的该部分</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股份。</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32"/>
              <w:jc w:val="right"/>
              <w:rPr>
                <w:rFonts w:ascii="Times New Roman" w:hAnsi="Times New Roman" w:cs="Times New Roman" w:eastAsia="Times New Roman" w:hint="default"/>
                <w:sz w:val="18"/>
                <w:szCs w:val="18"/>
              </w:rPr>
            </w:pPr>
            <w:r>
              <w:rPr>
                <w:rFonts w:ascii="Times New Roman"/>
                <w:spacing w:val="-2"/>
                <w:sz w:val="18"/>
              </w:rPr>
              <w:t>2019-08-11</w:t>
            </w:r>
            <w:r>
              <w:rPr>
                <w:rFonts w:ascii="Times New Roman"/>
                <w:sz w:val="18"/>
              </w:rPr>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3" w:right="168"/>
              <w:jc w:val="left"/>
              <w:rPr>
                <w:rFonts w:ascii="宋体" w:hAnsi="宋体" w:cs="宋体" w:eastAsia="宋体" w:hint="default"/>
                <w:sz w:val="18"/>
                <w:szCs w:val="18"/>
              </w:rPr>
            </w:pPr>
            <w:r>
              <w:rPr>
                <w:rFonts w:ascii="宋体" w:hAnsi="宋体" w:cs="宋体" w:eastAsia="宋体" w:hint="default"/>
                <w:sz w:val="18"/>
                <w:szCs w:val="18"/>
              </w:rPr>
              <w:t>承诺已履 行完毕</w:t>
            </w:r>
          </w:p>
        </w:tc>
      </w:tr>
      <w:tr>
        <w:trPr>
          <w:trHeight w:val="408" w:hRule="exact"/>
        </w:trPr>
        <w:tc>
          <w:tcPr>
            <w:tcW w:w="1702" w:type="dxa"/>
            <w:vMerge/>
            <w:tcBorders>
              <w:left w:val="single" w:sz="4" w:space="0" w:color="000000"/>
              <w:bottom w:val="nil" w:sz="6" w:space="0" w:color="auto"/>
              <w:right w:val="single" w:sz="4" w:space="0" w:color="000000"/>
            </w:tcBorders>
            <w:shd w:val="clear" w:color="auto" w:fill="D2D2D2"/>
          </w:tcPr>
          <w:p>
            <w:pPr/>
          </w:p>
        </w:tc>
        <w:tc>
          <w:tcPr>
            <w:tcW w:w="1423"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兰山英</w:t>
            </w:r>
            <w:r>
              <w:rPr>
                <w:rFonts w:ascii="Times New Roman" w:hAnsi="Times New Roman" w:cs="Times New Roman" w:eastAsia="Times New Roman" w:hint="default"/>
                <w:sz w:val="18"/>
                <w:szCs w:val="18"/>
              </w:rPr>
              <w:t>;</w:t>
            </w:r>
            <w:r>
              <w:rPr>
                <w:rFonts w:ascii="宋体" w:hAnsi="宋体" w:cs="宋体" w:eastAsia="宋体" w:hint="default"/>
                <w:sz w:val="18"/>
                <w:szCs w:val="18"/>
              </w:rPr>
              <w:t>余荣清</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316" w:lineRule="auto"/>
              <w:ind w:left="23" w:right="59"/>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7230" w:type="dxa"/>
            <w:vMerge w:val="restart"/>
            <w:tcBorders>
              <w:top w:val="single" w:sz="4" w:space="0" w:color="000000"/>
              <w:left w:val="single" w:sz="4" w:space="0" w:color="000000"/>
              <w:right w:val="single" w:sz="4" w:space="0" w:color="000000"/>
            </w:tcBorders>
          </w:tcPr>
          <w:p>
            <w:pPr>
              <w:pStyle w:val="TableParagraph"/>
              <w:spacing w:line="304" w:lineRule="auto" w:before="49"/>
              <w:ind w:left="21"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在本人及本人的关联自然人在苏州恒久担任董事、监事、高级管理人员期间，每年转让的 股份不超过本人持有苏州恒久股份总数的</w:t>
            </w:r>
            <w:r>
              <w:rPr>
                <w:rFonts w:ascii="宋体" w:hAnsi="宋体" w:cs="宋体" w:eastAsia="宋体" w:hint="default"/>
                <w:spacing w:val="-50"/>
                <w:sz w:val="18"/>
                <w:szCs w:val="18"/>
              </w:rPr>
              <w:t> </w:t>
            </w:r>
            <w:r>
              <w:rPr>
                <w:rFonts w:ascii="Times New Roman" w:hAnsi="Times New Roman" w:cs="Times New Roman" w:eastAsia="Times New Roman" w:hint="default"/>
                <w:spacing w:val="-4"/>
                <w:sz w:val="18"/>
                <w:szCs w:val="18"/>
              </w:rPr>
              <w:t>25%</w:t>
            </w:r>
            <w:r>
              <w:rPr>
                <w:rFonts w:ascii="宋体" w:hAnsi="宋体" w:cs="宋体" w:eastAsia="宋体" w:hint="default"/>
                <w:spacing w:val="-4"/>
                <w:sz w:val="18"/>
                <w:szCs w:val="18"/>
              </w:rPr>
              <w:t>；离职后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个月内，不转让本人所持有的苏州 恒久股份；离职</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个月内通过证券交易所挂牌交易出售苏州恒久股票数量占本 人所持有苏州恒久股票总数的比例不超过</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50%</w:t>
            </w:r>
            <w:r>
              <w:rPr>
                <w:rFonts w:ascii="宋体" w:hAnsi="宋体" w:cs="宋体" w:eastAsia="宋体" w:hint="default"/>
                <w:spacing w:val="-4"/>
                <w:sz w:val="18"/>
                <w:szCs w:val="18"/>
              </w:rPr>
              <w:t>。苏州恒久上市后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个月内如苏州恒久股票连 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个交易日的收盘价均低于以当日为基准经前复权计算的发行价，或者上市后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个月期 </w:t>
            </w:r>
            <w:r>
              <w:rPr>
                <w:rFonts w:ascii="宋体" w:hAnsi="宋体" w:cs="宋体" w:eastAsia="宋体" w:hint="default"/>
                <w:spacing w:val="-1"/>
                <w:sz w:val="18"/>
                <w:szCs w:val="18"/>
              </w:rPr>
              <w:t>末收盘价低于以当日为基准经前复权计算的发行价，本人所持苏州恒久股票的锁定期限自动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延长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r>
              <w:rPr>
                <w:rFonts w:ascii="宋体" w:hAnsi="宋体" w:cs="宋体" w:eastAsia="宋体" w:hint="default"/>
                <w:spacing w:val="-19"/>
                <w:sz w:val="18"/>
                <w:szCs w:val="18"/>
              </w:rPr>
              <w:t> </w:t>
            </w:r>
            <w:r>
              <w:rPr>
                <w:rFonts w:ascii="宋体" w:hAnsi="宋体" w:cs="宋体" w:eastAsia="宋体" w:hint="default"/>
                <w:sz w:val="18"/>
                <w:szCs w:val="18"/>
              </w:rPr>
              <w:t>本人所持苏州恒久股份的上述</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个月锁定期届满后两年内，若确因自身经济 </w:t>
            </w:r>
            <w:r>
              <w:rPr>
                <w:rFonts w:ascii="宋体" w:hAnsi="宋体" w:cs="宋体" w:eastAsia="宋体" w:hint="default"/>
                <w:spacing w:val="-1"/>
                <w:sz w:val="18"/>
                <w:szCs w:val="18"/>
              </w:rPr>
              <w:t>需要，本人可通过深圳证券交易所减持本人所持苏州恒久股份，本人承诺按照相关法律法规</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1"/>
                <w:sz w:val="18"/>
                <w:szCs w:val="18"/>
              </w:rPr>
              <w:t>及深圳证券交易所规则要求进行减持，减持方式包括二级市场集中竞价交易、大宗交易或其</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21" w:right="0"/>
              <w:jc w:val="left"/>
              <w:rPr>
                <w:rFonts w:ascii="Times New Roman" w:hAnsi="Times New Roman" w:cs="Times New Roman" w:eastAsia="Times New Roman" w:hint="default"/>
                <w:sz w:val="18"/>
                <w:szCs w:val="18"/>
              </w:rPr>
            </w:pPr>
            <w:r>
              <w:rPr>
                <w:rFonts w:ascii="Times New Roman"/>
                <w:sz w:val="18"/>
              </w:rPr>
              <w:t>9999-12-31</w:t>
            </w:r>
          </w:p>
        </w:tc>
        <w:tc>
          <w:tcPr>
            <w:tcW w:w="9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316" w:lineRule="auto"/>
              <w:ind w:left="23" w:right="168"/>
              <w:jc w:val="left"/>
              <w:rPr>
                <w:rFonts w:ascii="宋体" w:hAnsi="宋体" w:cs="宋体" w:eastAsia="宋体" w:hint="default"/>
                <w:sz w:val="18"/>
                <w:szCs w:val="18"/>
              </w:rPr>
            </w:pPr>
            <w:r>
              <w:rPr>
                <w:rFonts w:ascii="宋体" w:hAnsi="宋体" w:cs="宋体" w:eastAsia="宋体" w:hint="default"/>
                <w:sz w:val="18"/>
                <w:szCs w:val="18"/>
              </w:rPr>
              <w:t>严格履行 承诺</w:t>
            </w:r>
          </w:p>
        </w:tc>
      </w:tr>
      <w:tr>
        <w:trPr>
          <w:trHeight w:val="703" w:hRule="exact"/>
        </w:trPr>
        <w:tc>
          <w:tcPr>
            <w:tcW w:w="17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3" w:right="46"/>
              <w:jc w:val="left"/>
              <w:rPr>
                <w:rFonts w:ascii="宋体" w:hAnsi="宋体" w:cs="宋体" w:eastAsia="宋体" w:hint="default"/>
                <w:sz w:val="18"/>
                <w:szCs w:val="18"/>
              </w:rPr>
            </w:pPr>
            <w:r>
              <w:rPr>
                <w:rFonts w:ascii="宋体" w:hAnsi="宋体" w:cs="宋体" w:eastAsia="宋体" w:hint="default"/>
                <w:sz w:val="18"/>
                <w:szCs w:val="18"/>
              </w:rPr>
              <w:t>首次公开发行或再融 资时所作承诺</w:t>
            </w:r>
          </w:p>
        </w:tc>
        <w:tc>
          <w:tcPr>
            <w:tcW w:w="1423" w:type="dxa"/>
            <w:vMerge/>
            <w:tcBorders>
              <w:left w:val="single" w:sz="10" w:space="0" w:color="D2D2D2"/>
              <w:right w:val="single" w:sz="4" w:space="0" w:color="000000"/>
            </w:tcBorders>
          </w:tcPr>
          <w:p>
            <w:pPr/>
          </w:p>
        </w:tc>
        <w:tc>
          <w:tcPr>
            <w:tcW w:w="994" w:type="dxa"/>
            <w:vMerge/>
            <w:tcBorders>
              <w:left w:val="single" w:sz="4" w:space="0" w:color="000000"/>
              <w:right w:val="single" w:sz="4" w:space="0" w:color="000000"/>
            </w:tcBorders>
          </w:tcPr>
          <w:p>
            <w:pPr/>
          </w:p>
        </w:tc>
        <w:tc>
          <w:tcPr>
            <w:tcW w:w="723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24" w:type="dxa"/>
            <w:vMerge/>
            <w:tcBorders>
              <w:left w:val="single" w:sz="4" w:space="0" w:color="000000"/>
              <w:right w:val="single" w:sz="4" w:space="0" w:color="000000"/>
            </w:tcBorders>
          </w:tcPr>
          <w:p>
            <w:pPr/>
          </w:p>
        </w:tc>
      </w:tr>
      <w:tr>
        <w:trPr>
          <w:trHeight w:val="1748" w:hRule="exact"/>
        </w:trPr>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423" w:type="dxa"/>
            <w:vMerge/>
            <w:tcBorders>
              <w:left w:val="single" w:sz="10" w:space="0" w:color="D2D2D2"/>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7230"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924" w:type="dxa"/>
            <w:vMerge/>
            <w:tcBorders>
              <w:left w:val="single" w:sz="4" w:space="0" w:color="000000"/>
              <w:bottom w:val="single" w:sz="4" w:space="0" w:color="000000"/>
              <w:right w:val="single" w:sz="4" w:space="0" w:color="000000"/>
            </w:tcBorders>
          </w:tcPr>
          <w:p>
            <w:pPr/>
          </w:p>
        </w:tc>
      </w:tr>
    </w:tbl>
    <w:p>
      <w:pPr>
        <w:spacing w:after="0"/>
        <w:sectPr>
          <w:headerReference w:type="default" r:id="rId13"/>
          <w:footerReference w:type="default" r:id="rId14"/>
          <w:pgSz w:w="16840" w:h="11910" w:orient="landscape"/>
          <w:pgMar w:header="867" w:footer="980" w:top="1060" w:bottom="1160" w:left="1180" w:right="1160"/>
          <w:pgNumType w:start="43"/>
        </w:sectPr>
      </w:pPr>
    </w:p>
    <w:p>
      <w:pPr>
        <w:spacing w:line="240" w:lineRule="auto" w:before="2"/>
        <w:rPr>
          <w:rFonts w:ascii="Times New Roman" w:hAnsi="Times New Roman" w:cs="Times New Roman" w:eastAsia="Times New Roman" w:hint="default"/>
          <w:sz w:val="3"/>
          <w:szCs w:val="3"/>
        </w:rPr>
      </w:pPr>
      <w:r>
        <w:rPr/>
        <w:pict>
          <v:shape style="position:absolute;margin-left:491.059998pt;margin-top:57.240005pt;width:190.4pt;height:158pt;mso-position-horizontal-relative:page;mso-position-vertical-relative:page;z-index:-109456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9"/>
                      <w:szCs w:val="19"/>
                    </w:rPr>
                  </w:pPr>
                </w:p>
                <w:p>
                  <w:pPr>
                    <w:pStyle w:val="BodyText"/>
                    <w:spacing w:line="240" w:lineRule="auto"/>
                    <w:ind w:left="0" w:right="0"/>
                    <w:jc w:val="left"/>
                  </w:pPr>
                  <w:r>
                    <w:rPr/>
                    <w:t>在本人拟转让所持苏州恒久股份时，</w:t>
                  </w:r>
                </w:p>
              </w:txbxContent>
            </v:textbox>
            <w10:wrap type="none"/>
          </v:shape>
        </w:pict>
      </w:r>
      <w:r>
        <w:rPr/>
        <w:pict>
          <v:shape style="position:absolute;margin-left:545.210022pt;margin-top:215.690002pt;width:136.25pt;height:132.65pt;mso-position-horizontal-relative:page;mso-position-vertical-relative:page;z-index:-109453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23"/>
                      <w:szCs w:val="23"/>
                    </w:rPr>
                  </w:pPr>
                </w:p>
                <w:p>
                  <w:pPr>
                    <w:pStyle w:val="BodyText"/>
                    <w:spacing w:line="240" w:lineRule="auto"/>
                    <w:ind w:left="0" w:right="0"/>
                    <w:jc w:val="left"/>
                  </w:pPr>
                  <w:r>
                    <w:rPr/>
                    <w:t>若确因自身经济需要，</w:t>
                  </w:r>
                </w:p>
              </w:txbxContent>
            </v:textbox>
            <w10:wrap type="none"/>
          </v:shape>
        </w:pict>
      </w:r>
      <w:r>
        <w:rPr/>
        <w:pict>
          <v:group style="position:absolute;margin-left:632.229980pt;margin-top:57.240005pt;width:49.25pt;height:291.1pt;mso-position-horizontal-relative:page;mso-position-vertical-relative:page;z-index:-1094512" coordorigin="12645,1145" coordsize="985,5822">
            <v:group style="position:absolute;left:12645;top:1145;width:985;height:3160" coordorigin="12645,1145" coordsize="985,3160">
              <v:shape style="position:absolute;left:12645;top:1145;width:985;height:3160" coordorigin="12645,1145" coordsize="985,3160" path="m12645,4304l13629,4304,13629,1145,12645,1145,12645,4304xe" filled="true" fillcolor="#ffffff" stroked="false">
                <v:path arrowok="t"/>
                <v:fill type="solid"/>
              </v:shape>
            </v:group>
            <v:group style="position:absolute;left:12645;top:4314;width:985;height:2653" coordorigin="12645,4314" coordsize="985,2653">
              <v:shape style="position:absolute;left:12645;top:4314;width:985;height:2653" coordorigin="12645,4314" coordsize="985,2653" path="m12645,6966l13629,6966,13629,4314,12645,4314,12645,6966xe" filled="true" fillcolor="#ffffff" stroked="false">
                <v:path arrowok="t"/>
                <v:fill type="solid"/>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1702"/>
        <w:gridCol w:w="1423"/>
        <w:gridCol w:w="994"/>
        <w:gridCol w:w="7230"/>
        <w:gridCol w:w="994"/>
        <w:gridCol w:w="991"/>
        <w:gridCol w:w="924"/>
      </w:tblGrid>
      <w:tr>
        <w:trPr>
          <w:trHeight w:val="332" w:hRule="exact"/>
        </w:trPr>
        <w:tc>
          <w:tcPr>
            <w:tcW w:w="1702" w:type="dxa"/>
            <w:vMerge w:val="restart"/>
            <w:tcBorders>
              <w:top w:val="single" w:sz="15" w:space="0" w:color="000000"/>
              <w:left w:val="single" w:sz="4" w:space="0" w:color="000000"/>
              <w:right w:val="single" w:sz="4" w:space="0" w:color="000000"/>
            </w:tcBorders>
            <w:shd w:val="clear" w:color="auto" w:fill="D2D2D2"/>
          </w:tcPr>
          <w:p>
            <w:pPr/>
          </w:p>
        </w:tc>
        <w:tc>
          <w:tcPr>
            <w:tcW w:w="1423" w:type="dxa"/>
            <w:vMerge w:val="restart"/>
            <w:tcBorders>
              <w:top w:val="single" w:sz="15" w:space="0" w:color="000000"/>
              <w:left w:val="single" w:sz="4" w:space="0" w:color="000000"/>
              <w:right w:val="single" w:sz="4" w:space="0" w:color="000000"/>
            </w:tcBorders>
          </w:tcPr>
          <w:p>
            <w:pPr/>
          </w:p>
        </w:tc>
        <w:tc>
          <w:tcPr>
            <w:tcW w:w="994" w:type="dxa"/>
            <w:vMerge w:val="restart"/>
            <w:tcBorders>
              <w:top w:val="single" w:sz="15" w:space="0" w:color="000000"/>
              <w:left w:val="single" w:sz="4" w:space="0" w:color="000000"/>
              <w:right w:val="single" w:sz="4" w:space="0" w:color="000000"/>
            </w:tcBorders>
          </w:tcPr>
          <w:p>
            <w:pPr/>
          </w:p>
        </w:tc>
        <w:tc>
          <w:tcPr>
            <w:tcW w:w="7230"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pacing w:val="-1"/>
                <w:sz w:val="18"/>
                <w:szCs w:val="18"/>
              </w:rPr>
              <w:t>他深圳证券交易所认可的合法方式，但是并不能因转让苏州恒久股份影响本人的控股股东地</w:t>
            </w:r>
          </w:p>
        </w:tc>
        <w:tc>
          <w:tcPr>
            <w:tcW w:w="994" w:type="dxa"/>
            <w:vMerge w:val="restart"/>
            <w:tcBorders>
              <w:top w:val="single" w:sz="15" w:space="0" w:color="000000"/>
              <w:left w:val="single" w:sz="4" w:space="0" w:color="000000"/>
              <w:right w:val="single" w:sz="4" w:space="0" w:color="000000"/>
            </w:tcBorders>
          </w:tcPr>
          <w:p>
            <w:pPr/>
          </w:p>
        </w:tc>
        <w:tc>
          <w:tcPr>
            <w:tcW w:w="991" w:type="dxa"/>
            <w:vMerge w:val="restart"/>
            <w:tcBorders>
              <w:top w:val="single" w:sz="15" w:space="0" w:color="000000"/>
              <w:left w:val="single" w:sz="4" w:space="0" w:color="000000"/>
              <w:right w:val="single" w:sz="4" w:space="0" w:color="000000"/>
            </w:tcBorders>
          </w:tcPr>
          <w:p>
            <w:pPr/>
          </w:p>
        </w:tc>
        <w:tc>
          <w:tcPr>
            <w:tcW w:w="924" w:type="dxa"/>
            <w:vMerge w:val="restart"/>
            <w:tcBorders>
              <w:top w:val="single" w:sz="15" w:space="0" w:color="000000"/>
              <w:left w:val="single" w:sz="4" w:space="0" w:color="000000"/>
              <w:right w:val="single" w:sz="4" w:space="0" w:color="000000"/>
            </w:tcBorders>
          </w:tcPr>
          <w:p>
            <w:pPr/>
          </w:p>
        </w:tc>
      </w:tr>
      <w:tr>
        <w:trPr>
          <w:trHeight w:val="317" w:hRule="exact"/>
        </w:trPr>
        <w:tc>
          <w:tcPr>
            <w:tcW w:w="1702" w:type="dxa"/>
            <w:vMerge/>
            <w:tcBorders>
              <w:left w:val="single" w:sz="4" w:space="0" w:color="000000"/>
              <w:right w:val="single" w:sz="4" w:space="0" w:color="000000"/>
            </w:tcBorders>
            <w:shd w:val="clear" w:color="auto" w:fill="D2D2D2"/>
          </w:tcPr>
          <w:p>
            <w:pPr/>
          </w:p>
        </w:tc>
        <w:tc>
          <w:tcPr>
            <w:tcW w:w="1423"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位；本人所持苏州恒久股份上述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个月锁定期届满后两年内，本人拟减持发行人股份的，</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24" w:type="dxa"/>
            <w:vMerge/>
            <w:tcBorders>
              <w:left w:val="single" w:sz="4" w:space="0" w:color="000000"/>
              <w:right w:val="single" w:sz="4" w:space="0" w:color="000000"/>
            </w:tcBorders>
          </w:tcPr>
          <w:p>
            <w:pPr/>
          </w:p>
        </w:tc>
      </w:tr>
      <w:tr>
        <w:trPr>
          <w:trHeight w:val="312" w:hRule="exact"/>
        </w:trPr>
        <w:tc>
          <w:tcPr>
            <w:tcW w:w="1702" w:type="dxa"/>
            <w:vMerge/>
            <w:tcBorders>
              <w:left w:val="single" w:sz="4" w:space="0" w:color="000000"/>
              <w:right w:val="single" w:sz="4" w:space="0" w:color="000000"/>
            </w:tcBorders>
            <w:shd w:val="clear" w:color="auto" w:fill="D2D2D2"/>
          </w:tcPr>
          <w:p>
            <w:pPr/>
          </w:p>
        </w:tc>
        <w:tc>
          <w:tcPr>
            <w:tcW w:w="1423"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则每年转让的数量不超过本人所持苏州恒久股份数量的</w:t>
            </w:r>
            <w:r>
              <w:rPr>
                <w:rFonts w:ascii="宋体" w:hAnsi="宋体" w:cs="宋体" w:eastAsia="宋体" w:hint="default"/>
                <w:spacing w:val="-36"/>
                <w:sz w:val="18"/>
                <w:szCs w:val="18"/>
              </w:rPr>
              <w:t> </w:t>
            </w:r>
            <w:r>
              <w:rPr>
                <w:rFonts w:ascii="Times New Roman" w:hAnsi="Times New Roman" w:cs="Times New Roman" w:eastAsia="Times New Roman" w:hint="default"/>
                <w:spacing w:val="-3"/>
                <w:sz w:val="18"/>
                <w:szCs w:val="18"/>
              </w:rPr>
              <w:t>25%</w:t>
            </w:r>
            <w:r>
              <w:rPr>
                <w:rFonts w:ascii="宋体" w:hAnsi="宋体" w:cs="宋体" w:eastAsia="宋体" w:hint="default"/>
                <w:spacing w:val="-3"/>
                <w:sz w:val="18"/>
                <w:szCs w:val="18"/>
              </w:rPr>
              <w:t>；本人减持股份的价格根据当时</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24" w:type="dxa"/>
            <w:vMerge/>
            <w:tcBorders>
              <w:left w:val="single" w:sz="4" w:space="0" w:color="000000"/>
              <w:right w:val="single" w:sz="4" w:space="0" w:color="000000"/>
            </w:tcBorders>
          </w:tcPr>
          <w:p>
            <w:pPr/>
          </w:p>
        </w:tc>
      </w:tr>
      <w:tr>
        <w:trPr>
          <w:trHeight w:val="307" w:hRule="exact"/>
        </w:trPr>
        <w:tc>
          <w:tcPr>
            <w:tcW w:w="1702" w:type="dxa"/>
            <w:vMerge/>
            <w:tcBorders>
              <w:left w:val="single" w:sz="4" w:space="0" w:color="000000"/>
              <w:right w:val="single" w:sz="4" w:space="0" w:color="000000"/>
            </w:tcBorders>
            <w:shd w:val="clear" w:color="auto" w:fill="D2D2D2"/>
          </w:tcPr>
          <w:p>
            <w:pPr/>
          </w:p>
        </w:tc>
        <w:tc>
          <w:tcPr>
            <w:tcW w:w="1423"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pacing w:val="-1"/>
                <w:sz w:val="18"/>
                <w:szCs w:val="18"/>
              </w:rPr>
              <w:t>的二级市场价格确定，且不低于以减持日为基准经前复权计算的首次公开发行股票的发行价</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24" w:type="dxa"/>
            <w:vMerge/>
            <w:tcBorders>
              <w:left w:val="single" w:sz="4" w:space="0" w:color="000000"/>
              <w:right w:val="single" w:sz="4" w:space="0" w:color="000000"/>
            </w:tcBorders>
          </w:tcPr>
          <w:p>
            <w:pPr/>
          </w:p>
        </w:tc>
      </w:tr>
      <w:tr>
        <w:trPr>
          <w:trHeight w:val="312" w:hRule="exact"/>
        </w:trPr>
        <w:tc>
          <w:tcPr>
            <w:tcW w:w="1702" w:type="dxa"/>
            <w:vMerge/>
            <w:tcBorders>
              <w:left w:val="single" w:sz="4" w:space="0" w:color="000000"/>
              <w:right w:val="single" w:sz="4" w:space="0" w:color="000000"/>
            </w:tcBorders>
            <w:shd w:val="clear" w:color="auto" w:fill="D2D2D2"/>
          </w:tcPr>
          <w:p>
            <w:pPr/>
          </w:p>
        </w:tc>
        <w:tc>
          <w:tcPr>
            <w:tcW w:w="1423"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3"/>
                <w:sz w:val="18"/>
                <w:szCs w:val="18"/>
              </w:rPr>
              <w:t>格，并应符合相关法律法规及深圳证券交易所规则要求。</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24" w:type="dxa"/>
            <w:vMerge/>
            <w:tcBorders>
              <w:left w:val="single" w:sz="4" w:space="0" w:color="000000"/>
              <w:right w:val="single" w:sz="4" w:space="0" w:color="000000"/>
            </w:tcBorders>
          </w:tcPr>
          <w:p>
            <w:pPr/>
          </w:p>
        </w:tc>
      </w:tr>
      <w:tr>
        <w:trPr>
          <w:trHeight w:val="312" w:hRule="exact"/>
        </w:trPr>
        <w:tc>
          <w:tcPr>
            <w:tcW w:w="1702" w:type="dxa"/>
            <w:vMerge/>
            <w:tcBorders>
              <w:left w:val="single" w:sz="4" w:space="0" w:color="000000"/>
              <w:right w:val="single" w:sz="4" w:space="0" w:color="000000"/>
            </w:tcBorders>
            <w:shd w:val="clear" w:color="auto" w:fill="D2D2D2"/>
          </w:tcPr>
          <w:p>
            <w:pPr/>
          </w:p>
        </w:tc>
        <w:tc>
          <w:tcPr>
            <w:tcW w:w="1423"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1"/>
                <w:sz w:val="18"/>
                <w:szCs w:val="18"/>
              </w:rPr>
              <w:t>本人将在减持前三个交易日通过苏州恒久公告减持意向。若本人未履行上述承诺，本人将在</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24" w:type="dxa"/>
            <w:vMerge/>
            <w:tcBorders>
              <w:left w:val="single" w:sz="4" w:space="0" w:color="000000"/>
              <w:right w:val="single" w:sz="4" w:space="0" w:color="000000"/>
            </w:tcBorders>
          </w:tcPr>
          <w:p>
            <w:pPr/>
          </w:p>
        </w:tc>
      </w:tr>
      <w:tr>
        <w:trPr>
          <w:trHeight w:val="312" w:hRule="exact"/>
        </w:trPr>
        <w:tc>
          <w:tcPr>
            <w:tcW w:w="1702" w:type="dxa"/>
            <w:vMerge/>
            <w:tcBorders>
              <w:left w:val="single" w:sz="4" w:space="0" w:color="000000"/>
              <w:right w:val="single" w:sz="4" w:space="0" w:color="000000"/>
            </w:tcBorders>
            <w:shd w:val="clear" w:color="auto" w:fill="D2D2D2"/>
          </w:tcPr>
          <w:p>
            <w:pPr/>
          </w:p>
        </w:tc>
        <w:tc>
          <w:tcPr>
            <w:tcW w:w="1423"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1"/>
                <w:sz w:val="18"/>
                <w:szCs w:val="18"/>
              </w:rPr>
              <w:t>中国证监会指定报刊上公开说明未履行的具体原因并向股东和社会公众投资者道歉；如果本</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24" w:type="dxa"/>
            <w:vMerge/>
            <w:tcBorders>
              <w:left w:val="single" w:sz="4" w:space="0" w:color="000000"/>
              <w:right w:val="single" w:sz="4" w:space="0" w:color="000000"/>
            </w:tcBorders>
          </w:tcPr>
          <w:p>
            <w:pPr/>
          </w:p>
        </w:tc>
      </w:tr>
      <w:tr>
        <w:trPr>
          <w:trHeight w:val="312" w:hRule="exact"/>
        </w:trPr>
        <w:tc>
          <w:tcPr>
            <w:tcW w:w="1702" w:type="dxa"/>
            <w:vMerge/>
            <w:tcBorders>
              <w:left w:val="single" w:sz="4" w:space="0" w:color="000000"/>
              <w:right w:val="single" w:sz="4" w:space="0" w:color="000000"/>
            </w:tcBorders>
            <w:shd w:val="clear" w:color="auto" w:fill="D2D2D2"/>
          </w:tcPr>
          <w:p>
            <w:pPr/>
          </w:p>
        </w:tc>
        <w:tc>
          <w:tcPr>
            <w:tcW w:w="1423"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1"/>
                <w:sz w:val="18"/>
                <w:szCs w:val="18"/>
              </w:rPr>
              <w:t>人因未履行上述承诺事项而获得收入的，所得的收入归苏州恒久所有，本人将在获得收入的</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24" w:type="dxa"/>
            <w:vMerge/>
            <w:tcBorders>
              <w:left w:val="single" w:sz="4" w:space="0" w:color="000000"/>
              <w:right w:val="single" w:sz="4" w:space="0" w:color="000000"/>
            </w:tcBorders>
          </w:tcPr>
          <w:p>
            <w:pPr/>
          </w:p>
        </w:tc>
      </w:tr>
      <w:tr>
        <w:trPr>
          <w:trHeight w:val="312" w:hRule="exact"/>
        </w:trPr>
        <w:tc>
          <w:tcPr>
            <w:tcW w:w="1702" w:type="dxa"/>
            <w:vMerge/>
            <w:tcBorders>
              <w:left w:val="single" w:sz="4" w:space="0" w:color="000000"/>
              <w:right w:val="single" w:sz="4" w:space="0" w:color="000000"/>
            </w:tcBorders>
            <w:shd w:val="clear" w:color="auto" w:fill="D2D2D2"/>
          </w:tcPr>
          <w:p>
            <w:pPr/>
          </w:p>
        </w:tc>
        <w:tc>
          <w:tcPr>
            <w:tcW w:w="1423"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1"/>
                <w:sz w:val="18"/>
                <w:szCs w:val="18"/>
              </w:rPr>
              <w:t>五日内将前述收入支付给苏州恒久指定账户；如果因本人未履行上述承诺事项给苏州恒久或</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24" w:type="dxa"/>
            <w:vMerge/>
            <w:tcBorders>
              <w:left w:val="single" w:sz="4" w:space="0" w:color="000000"/>
              <w:right w:val="single" w:sz="4" w:space="0" w:color="000000"/>
            </w:tcBorders>
          </w:tcPr>
          <w:p>
            <w:pPr/>
          </w:p>
        </w:tc>
      </w:tr>
      <w:tr>
        <w:trPr>
          <w:trHeight w:val="357" w:hRule="exact"/>
        </w:trPr>
        <w:tc>
          <w:tcPr>
            <w:tcW w:w="1702" w:type="dxa"/>
            <w:vMerge/>
            <w:tcBorders>
              <w:left w:val="single" w:sz="4" w:space="0" w:color="000000"/>
              <w:right w:val="single" w:sz="4" w:space="0" w:color="000000"/>
            </w:tcBorders>
            <w:shd w:val="clear" w:color="auto" w:fill="D2D2D2"/>
          </w:tcPr>
          <w:p>
            <w:pPr/>
          </w:p>
        </w:tc>
        <w:tc>
          <w:tcPr>
            <w:tcW w:w="1423"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723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者其他投资者造成损失的，本人将向苏州恒久或者其他投资者依法承担赔偿责任。</w:t>
            </w:r>
          </w:p>
        </w:tc>
        <w:tc>
          <w:tcPr>
            <w:tcW w:w="99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924" w:type="dxa"/>
            <w:vMerge/>
            <w:tcBorders>
              <w:left w:val="single" w:sz="4" w:space="0" w:color="000000"/>
              <w:bottom w:val="single" w:sz="4" w:space="0" w:color="000000"/>
              <w:right w:val="single" w:sz="4" w:space="0" w:color="000000"/>
            </w:tcBorders>
          </w:tcPr>
          <w:p>
            <w:pPr/>
          </w:p>
        </w:tc>
      </w:tr>
      <w:tr>
        <w:trPr>
          <w:trHeight w:val="355" w:hRule="exact"/>
        </w:trPr>
        <w:tc>
          <w:tcPr>
            <w:tcW w:w="1702" w:type="dxa"/>
            <w:vMerge/>
            <w:tcBorders>
              <w:left w:val="single" w:sz="4" w:space="0" w:color="000000"/>
              <w:right w:val="single" w:sz="4" w:space="0" w:color="000000"/>
            </w:tcBorders>
            <w:shd w:val="clear" w:color="auto" w:fill="D2D2D2"/>
          </w:tcPr>
          <w:p>
            <w:pPr/>
          </w:p>
        </w:tc>
        <w:tc>
          <w:tcPr>
            <w:tcW w:w="1423"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723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pacing w:val="-1"/>
                <w:sz w:val="18"/>
                <w:szCs w:val="18"/>
              </w:rPr>
              <w:t>在余荣清、兰山英在苏州恒久担任董事、监事、高级管理人员期间，每年转让的股份不超过</w:t>
            </w:r>
          </w:p>
        </w:tc>
        <w:tc>
          <w:tcPr>
            <w:tcW w:w="994"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924"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702" w:type="dxa"/>
            <w:vMerge/>
            <w:tcBorders>
              <w:left w:val="single" w:sz="4" w:space="0" w:color="000000"/>
              <w:right w:val="single" w:sz="4" w:space="0" w:color="000000"/>
            </w:tcBorders>
            <w:shd w:val="clear" w:color="auto" w:fill="D2D2D2"/>
          </w:tcPr>
          <w:p>
            <w:pPr/>
          </w:p>
        </w:tc>
        <w:tc>
          <w:tcPr>
            <w:tcW w:w="1423"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本公司持有的苏州恒久股份总数的</w:t>
            </w:r>
            <w:r>
              <w:rPr>
                <w:rFonts w:ascii="宋体" w:hAnsi="宋体" w:cs="宋体" w:eastAsia="宋体" w:hint="default"/>
                <w:spacing w:val="-51"/>
                <w:sz w:val="18"/>
                <w:szCs w:val="18"/>
              </w:rPr>
              <w:t> </w:t>
            </w:r>
            <w:r>
              <w:rPr>
                <w:rFonts w:ascii="Times New Roman" w:hAnsi="Times New Roman" w:cs="Times New Roman" w:eastAsia="Times New Roman" w:hint="default"/>
                <w:spacing w:val="-4"/>
                <w:sz w:val="18"/>
                <w:szCs w:val="18"/>
              </w:rPr>
              <w:t>25%</w:t>
            </w:r>
            <w:r>
              <w:rPr>
                <w:rFonts w:ascii="宋体" w:hAnsi="宋体" w:cs="宋体" w:eastAsia="宋体" w:hint="default"/>
                <w:spacing w:val="-4"/>
                <w:sz w:val="18"/>
                <w:szCs w:val="18"/>
              </w:rPr>
              <w:t>；离职后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个月内，不转让本公司所持有的苏州恒久</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2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2" w:type="dxa"/>
            <w:vMerge/>
            <w:tcBorders>
              <w:left w:val="single" w:sz="4" w:space="0" w:color="000000"/>
              <w:right w:val="single" w:sz="4" w:space="0" w:color="000000"/>
            </w:tcBorders>
            <w:shd w:val="clear" w:color="auto" w:fill="D2D2D2"/>
          </w:tcPr>
          <w:p>
            <w:pPr/>
          </w:p>
        </w:tc>
        <w:tc>
          <w:tcPr>
            <w:tcW w:w="1423"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股份；离任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个月后的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个月内通过证券交易所挂牌交易出售本公司股票数量占本公司所</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2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2" w:type="dxa"/>
            <w:vMerge/>
            <w:tcBorders>
              <w:left w:val="single" w:sz="4" w:space="0" w:color="000000"/>
              <w:right w:val="single" w:sz="4" w:space="0" w:color="000000"/>
            </w:tcBorders>
            <w:shd w:val="clear" w:color="auto" w:fill="D2D2D2"/>
          </w:tcPr>
          <w:p>
            <w:pPr/>
          </w:p>
        </w:tc>
        <w:tc>
          <w:tcPr>
            <w:tcW w:w="1423"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持有苏州恒久股票总数的比例不超过</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50</w:t>
            </w:r>
            <w:r>
              <w:rPr>
                <w:rFonts w:ascii="Times New Roman" w:hAnsi="Times New Roman" w:cs="Times New Roman" w:eastAsia="Times New Roman" w:hint="default"/>
                <w:spacing w:val="-2"/>
                <w:sz w:val="18"/>
                <w:szCs w:val="18"/>
              </w:rPr>
              <w:t>%</w:t>
            </w:r>
            <w:r>
              <w:rPr>
                <w:rFonts w:ascii="宋体" w:hAnsi="宋体" w:cs="宋体" w:eastAsia="宋体" w:hint="default"/>
                <w:spacing w:val="-87"/>
                <w:sz w:val="18"/>
                <w:szCs w:val="18"/>
              </w:rPr>
              <w:t>。</w:t>
            </w:r>
            <w:r>
              <w:rPr>
                <w:rFonts w:ascii="宋体" w:hAnsi="宋体" w:cs="宋体" w:eastAsia="宋体" w:hint="default"/>
                <w:sz w:val="18"/>
                <w:szCs w:val="18"/>
              </w:rPr>
              <w:t>苏州恒久上市后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个月内如苏州恒久股票连续</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z w:val="18"/>
                <w:szCs w:val="18"/>
              </w:rPr>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2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2" w:type="dxa"/>
            <w:vMerge/>
            <w:tcBorders>
              <w:left w:val="single" w:sz="4" w:space="0" w:color="000000"/>
              <w:right w:val="single" w:sz="4" w:space="0" w:color="000000"/>
            </w:tcBorders>
            <w:shd w:val="clear" w:color="auto" w:fill="D2D2D2"/>
          </w:tcPr>
          <w:p>
            <w:pPr/>
          </w:p>
        </w:tc>
        <w:tc>
          <w:tcPr>
            <w:tcW w:w="1423"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个交易日的收盘价均低于以当日为基准经前复权计算的发行价，或者上市后</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个月期末收盘</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2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2" w:type="dxa"/>
            <w:vMerge/>
            <w:tcBorders>
              <w:left w:val="single" w:sz="4" w:space="0" w:color="000000"/>
              <w:right w:val="single" w:sz="4" w:space="0" w:color="000000"/>
            </w:tcBorders>
            <w:shd w:val="clear" w:color="auto" w:fill="D2D2D2"/>
          </w:tcPr>
          <w:p>
            <w:pPr/>
          </w:p>
        </w:tc>
        <w:tc>
          <w:tcPr>
            <w:tcW w:w="1423"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价低于以当日为基准经前复权计算的发行价，本人所持苏州恒久股票的锁定期限自动延长</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2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2" w:type="dxa"/>
            <w:vMerge/>
            <w:tcBorders>
              <w:left w:val="single" w:sz="4" w:space="0" w:color="000000"/>
              <w:right w:val="single" w:sz="4" w:space="0" w:color="000000"/>
            </w:tcBorders>
            <w:shd w:val="clear" w:color="auto" w:fill="D2D2D2"/>
          </w:tcPr>
          <w:p>
            <w:pPr/>
          </w:p>
        </w:tc>
        <w:tc>
          <w:tcPr>
            <w:tcW w:w="1423"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个月。本公司所持苏州恒久股份的上述</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个月锁定期届满后两年内，</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2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702" w:type="dxa"/>
            <w:vMerge/>
            <w:tcBorders>
              <w:left w:val="single" w:sz="4" w:space="0" w:color="000000"/>
              <w:right w:val="single" w:sz="4" w:space="0" w:color="000000"/>
            </w:tcBorders>
            <w:shd w:val="clear" w:color="auto" w:fill="D2D2D2"/>
          </w:tcPr>
          <w:p>
            <w:pPr/>
          </w:p>
        </w:tc>
        <w:tc>
          <w:tcPr>
            <w:tcW w:w="1423"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pacing w:val="-1"/>
                <w:sz w:val="18"/>
                <w:szCs w:val="18"/>
              </w:rPr>
              <w:t>本公司可通过深圳证券交易所减持本公司所持苏州恒久股份，本公司承诺按照相关法律法规</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24"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702" w:type="dxa"/>
            <w:vMerge/>
            <w:tcBorders>
              <w:left w:val="single" w:sz="4" w:space="0" w:color="000000"/>
              <w:right w:val="single" w:sz="4" w:space="0" w:color="000000"/>
            </w:tcBorders>
            <w:shd w:val="clear" w:color="auto" w:fill="D2D2D2"/>
          </w:tcPr>
          <w:p>
            <w:pPr/>
          </w:p>
        </w:tc>
        <w:tc>
          <w:tcPr>
            <w:tcW w:w="14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苏州恒久荣盛科 技投资有限公司</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59"/>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1" w:right="20"/>
              <w:jc w:val="both"/>
              <w:rPr>
                <w:rFonts w:ascii="宋体" w:hAnsi="宋体" w:cs="宋体" w:eastAsia="宋体" w:hint="default"/>
                <w:sz w:val="18"/>
                <w:szCs w:val="18"/>
              </w:rPr>
            </w:pPr>
            <w:r>
              <w:rPr>
                <w:rFonts w:ascii="宋体" w:hAnsi="宋体" w:cs="宋体" w:eastAsia="宋体" w:hint="default"/>
                <w:spacing w:val="-1"/>
                <w:sz w:val="18"/>
                <w:szCs w:val="18"/>
              </w:rPr>
              <w:t>及深圳证券交易所规则要求进行减持，减持方式包括二级市场集中竞价交易、大宗交易或其</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他深圳证券交易所认可的合法方式；本公司所持苏州恒久股份上述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个月锁定期届满后两 </w:t>
            </w:r>
            <w:r>
              <w:rPr>
                <w:rFonts w:ascii="宋体" w:hAnsi="宋体" w:cs="宋体" w:eastAsia="宋体" w:hint="default"/>
                <w:spacing w:val="-1"/>
                <w:sz w:val="18"/>
                <w:szCs w:val="18"/>
              </w:rPr>
              <w:t>年内，本公司拟减持发行人股份的，则每年转让的数量不超过本公司所持苏州恒久股份数量</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1" w:right="0"/>
              <w:jc w:val="left"/>
              <w:rPr>
                <w:rFonts w:ascii="Times New Roman" w:hAnsi="Times New Roman" w:cs="Times New Roman" w:eastAsia="Times New Roman" w:hint="default"/>
                <w:sz w:val="18"/>
                <w:szCs w:val="18"/>
              </w:rPr>
            </w:pPr>
            <w:r>
              <w:rPr>
                <w:rFonts w:ascii="Times New Roman"/>
                <w:sz w:val="18"/>
              </w:rPr>
              <w:t>9999-12-31</w:t>
            </w:r>
          </w:p>
        </w:tc>
        <w:tc>
          <w:tcPr>
            <w:tcW w:w="92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168"/>
              <w:jc w:val="left"/>
              <w:rPr>
                <w:rFonts w:ascii="宋体" w:hAnsi="宋体" w:cs="宋体" w:eastAsia="宋体" w:hint="default"/>
                <w:sz w:val="18"/>
                <w:szCs w:val="18"/>
              </w:rPr>
            </w:pPr>
            <w:r>
              <w:rPr>
                <w:rFonts w:ascii="宋体" w:hAnsi="宋体" w:cs="宋体" w:eastAsia="宋体" w:hint="default"/>
                <w:sz w:val="18"/>
                <w:szCs w:val="18"/>
              </w:rPr>
              <w:t>严格履行 承诺</w:t>
            </w:r>
          </w:p>
        </w:tc>
      </w:tr>
      <w:tr>
        <w:trPr>
          <w:trHeight w:val="317" w:hRule="exact"/>
        </w:trPr>
        <w:tc>
          <w:tcPr>
            <w:tcW w:w="1702" w:type="dxa"/>
            <w:vMerge/>
            <w:tcBorders>
              <w:left w:val="single" w:sz="4" w:space="0" w:color="000000"/>
              <w:right w:val="single" w:sz="4" w:space="0" w:color="000000"/>
            </w:tcBorders>
            <w:shd w:val="clear" w:color="auto" w:fill="D2D2D2"/>
          </w:tcPr>
          <w:p>
            <w:pPr/>
          </w:p>
        </w:tc>
        <w:tc>
          <w:tcPr>
            <w:tcW w:w="1423"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6"/>
                <w:sz w:val="18"/>
                <w:szCs w:val="18"/>
              </w:rPr>
              <w:t> </w:t>
            </w:r>
            <w:r>
              <w:rPr>
                <w:rFonts w:ascii="Times New Roman" w:hAnsi="Times New Roman" w:cs="Times New Roman" w:eastAsia="Times New Roman" w:hint="default"/>
                <w:spacing w:val="-2"/>
                <w:sz w:val="18"/>
                <w:szCs w:val="18"/>
              </w:rPr>
              <w:t>25%</w:t>
            </w:r>
            <w:r>
              <w:rPr>
                <w:rFonts w:ascii="宋体" w:hAnsi="宋体" w:cs="宋体" w:eastAsia="宋体" w:hint="default"/>
                <w:spacing w:val="-2"/>
                <w:sz w:val="18"/>
                <w:szCs w:val="18"/>
              </w:rPr>
              <w:t>；本公司减持股份的价格根据当时的二级市场价格确定，且不低于以减持日为基准经</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2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702" w:type="dxa"/>
            <w:vMerge/>
            <w:tcBorders>
              <w:left w:val="single" w:sz="4" w:space="0" w:color="000000"/>
              <w:right w:val="single" w:sz="4" w:space="0" w:color="000000"/>
            </w:tcBorders>
            <w:shd w:val="clear" w:color="auto" w:fill="D2D2D2"/>
          </w:tcPr>
          <w:p>
            <w:pPr/>
          </w:p>
        </w:tc>
        <w:tc>
          <w:tcPr>
            <w:tcW w:w="1423"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pacing w:val="-1"/>
                <w:sz w:val="18"/>
                <w:szCs w:val="18"/>
              </w:rPr>
              <w:t>前复权计算的首次公开发行股票的发行价格，并应符合相关法律法规及深圳证券交易所规则</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2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2" w:type="dxa"/>
            <w:vMerge/>
            <w:tcBorders>
              <w:left w:val="single" w:sz="4" w:space="0" w:color="000000"/>
              <w:right w:val="single" w:sz="4" w:space="0" w:color="000000"/>
            </w:tcBorders>
            <w:shd w:val="clear" w:color="auto" w:fill="D2D2D2"/>
          </w:tcPr>
          <w:p>
            <w:pPr/>
          </w:p>
        </w:tc>
        <w:tc>
          <w:tcPr>
            <w:tcW w:w="1423"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1"/>
                <w:sz w:val="18"/>
                <w:szCs w:val="18"/>
              </w:rPr>
              <w:t>要求。在本公司拟转让所持苏州恒久股份时，本公司将在减持前三个交易日通过苏州恒久公</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2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2" w:type="dxa"/>
            <w:vMerge/>
            <w:tcBorders>
              <w:left w:val="single" w:sz="4" w:space="0" w:color="000000"/>
              <w:right w:val="single" w:sz="4" w:space="0" w:color="000000"/>
            </w:tcBorders>
            <w:shd w:val="clear" w:color="auto" w:fill="D2D2D2"/>
          </w:tcPr>
          <w:p>
            <w:pPr/>
          </w:p>
        </w:tc>
        <w:tc>
          <w:tcPr>
            <w:tcW w:w="1423"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1"/>
                <w:sz w:val="18"/>
                <w:szCs w:val="18"/>
              </w:rPr>
              <w:t>告减持意向。若本公司未履行上述承诺，本公司法定代表人将在中国证监会指定报刊上公开</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2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2" w:type="dxa"/>
            <w:vMerge/>
            <w:tcBorders>
              <w:left w:val="single" w:sz="4" w:space="0" w:color="000000"/>
              <w:right w:val="single" w:sz="4" w:space="0" w:color="000000"/>
            </w:tcBorders>
            <w:shd w:val="clear" w:color="auto" w:fill="D2D2D2"/>
          </w:tcPr>
          <w:p>
            <w:pPr/>
          </w:p>
        </w:tc>
        <w:tc>
          <w:tcPr>
            <w:tcW w:w="1423"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1"/>
                <w:sz w:val="18"/>
                <w:szCs w:val="18"/>
              </w:rPr>
              <w:t>说明未履行的具体原因并向股东和社会公众投资者道歉；如果本公司因未履行上述承诺事项</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2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2" w:type="dxa"/>
            <w:vMerge/>
            <w:tcBorders>
              <w:left w:val="single" w:sz="4" w:space="0" w:color="000000"/>
              <w:right w:val="single" w:sz="4" w:space="0" w:color="000000"/>
            </w:tcBorders>
            <w:shd w:val="clear" w:color="auto" w:fill="D2D2D2"/>
          </w:tcPr>
          <w:p>
            <w:pPr/>
          </w:p>
        </w:tc>
        <w:tc>
          <w:tcPr>
            <w:tcW w:w="1423"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1"/>
                <w:sz w:val="18"/>
                <w:szCs w:val="18"/>
              </w:rPr>
              <w:t>而获得收入的，所得的收入归苏州恒久所有，本公司将在获得收入的五日内将前述收入支付</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2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2" w:type="dxa"/>
            <w:vMerge/>
            <w:tcBorders>
              <w:left w:val="single" w:sz="4" w:space="0" w:color="000000"/>
              <w:right w:val="single" w:sz="4" w:space="0" w:color="000000"/>
            </w:tcBorders>
            <w:shd w:val="clear" w:color="auto" w:fill="D2D2D2"/>
          </w:tcPr>
          <w:p>
            <w:pPr/>
          </w:p>
        </w:tc>
        <w:tc>
          <w:tcPr>
            <w:tcW w:w="1423"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1"/>
                <w:sz w:val="18"/>
                <w:szCs w:val="18"/>
              </w:rPr>
              <w:t>给苏州恒久指定账户；如果因本公司未履行上述承诺事项给苏州恒久或者其他投资者造成损</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24"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702" w:type="dxa"/>
            <w:vMerge/>
            <w:tcBorders>
              <w:left w:val="single" w:sz="4" w:space="0" w:color="000000"/>
              <w:bottom w:val="single" w:sz="4" w:space="0" w:color="000000"/>
              <w:right w:val="single" w:sz="4" w:space="0" w:color="000000"/>
            </w:tcBorders>
            <w:shd w:val="clear" w:color="auto" w:fill="D2D2D2"/>
          </w:tcPr>
          <w:p>
            <w:pPr/>
          </w:p>
        </w:tc>
        <w:tc>
          <w:tcPr>
            <w:tcW w:w="1423"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723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失的，本公司将向苏州恒久或者其他投资者依法承担赔偿责任。</w:t>
            </w:r>
          </w:p>
        </w:tc>
        <w:tc>
          <w:tcPr>
            <w:tcW w:w="994"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924"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1180" w:right="116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702"/>
        <w:gridCol w:w="1423"/>
        <w:gridCol w:w="994"/>
        <w:gridCol w:w="7230"/>
        <w:gridCol w:w="994"/>
        <w:gridCol w:w="991"/>
        <w:gridCol w:w="926"/>
      </w:tblGrid>
      <w:tr>
        <w:trPr>
          <w:trHeight w:val="3227" w:hRule="exact"/>
        </w:trPr>
        <w:tc>
          <w:tcPr>
            <w:tcW w:w="1702" w:type="dxa"/>
            <w:vMerge w:val="restart"/>
            <w:tcBorders>
              <w:top w:val="single" w:sz="15" w:space="0" w:color="000000"/>
              <w:left w:val="single" w:sz="4" w:space="0" w:color="000000"/>
              <w:right w:val="single" w:sz="4" w:space="0" w:color="000000"/>
            </w:tcBorders>
            <w:shd w:val="clear" w:color="auto" w:fill="D2D2D2"/>
          </w:tcPr>
          <w:p>
            <w:pPr/>
          </w:p>
        </w:tc>
        <w:tc>
          <w:tcPr>
            <w:tcW w:w="142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97" w:lineRule="auto"/>
              <w:ind w:left="23" w:right="26"/>
              <w:jc w:val="left"/>
              <w:rPr>
                <w:rFonts w:ascii="宋体" w:hAnsi="宋体" w:cs="宋体" w:eastAsia="宋体" w:hint="default"/>
                <w:sz w:val="18"/>
                <w:szCs w:val="18"/>
              </w:rPr>
            </w:pPr>
            <w:r>
              <w:rPr>
                <w:rFonts w:ascii="宋体" w:hAnsi="宋体" w:cs="宋体" w:eastAsia="宋体" w:hint="default"/>
                <w:sz w:val="18"/>
                <w:szCs w:val="18"/>
              </w:rPr>
              <w:t>孙忠良</w:t>
            </w:r>
            <w:r>
              <w:rPr>
                <w:rFonts w:ascii="Times New Roman" w:hAnsi="Times New Roman" w:cs="Times New Roman" w:eastAsia="Times New Roman" w:hint="default"/>
                <w:sz w:val="18"/>
                <w:szCs w:val="18"/>
              </w:rPr>
              <w:t>;</w:t>
            </w:r>
            <w:r>
              <w:rPr>
                <w:rFonts w:ascii="宋体" w:hAnsi="宋体" w:cs="宋体" w:eastAsia="宋体" w:hint="default"/>
                <w:sz w:val="18"/>
                <w:szCs w:val="18"/>
              </w:rPr>
              <w:t>余仲清</w:t>
            </w:r>
            <w:r>
              <w:rPr>
                <w:rFonts w:ascii="Times New Roman" w:hAnsi="Times New Roman" w:cs="Times New Roman" w:eastAsia="Times New Roman" w:hint="default"/>
                <w:sz w:val="18"/>
                <w:szCs w:val="18"/>
              </w:rPr>
              <w:t>;</w:t>
            </w:r>
            <w:r>
              <w:rPr>
                <w:rFonts w:ascii="宋体" w:hAnsi="宋体" w:cs="宋体" w:eastAsia="宋体" w:hint="default"/>
                <w:sz w:val="18"/>
                <w:szCs w:val="18"/>
              </w:rPr>
              <w:t>张 培兴</w:t>
            </w:r>
          </w:p>
        </w:tc>
        <w:tc>
          <w:tcPr>
            <w:tcW w:w="99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4" w:lineRule="auto"/>
              <w:ind w:left="23" w:right="59"/>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7230"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51"/>
              <w:ind w:left="21" w:right="-2"/>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本人所持苏州恒久股份的锁定期届满后两年内，本人可因自身经济需要通过深圳证券交易 </w:t>
            </w:r>
            <w:r>
              <w:rPr>
                <w:rFonts w:ascii="宋体" w:hAnsi="宋体" w:cs="宋体" w:eastAsia="宋体" w:hint="default"/>
                <w:spacing w:val="-1"/>
                <w:sz w:val="18"/>
                <w:szCs w:val="18"/>
              </w:rPr>
              <w:t>所减持本人所持苏州恒久股份，本人承诺按照相关法律法规及深圳证券交易所规则要求进行</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1"/>
                <w:sz w:val="18"/>
                <w:szCs w:val="18"/>
              </w:rPr>
              <w:t>减持，减持方式包括二级市场集中竞价交易、大宗交易或其他深圳证券交易所认可的合法方</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1"/>
                <w:sz w:val="18"/>
                <w:szCs w:val="18"/>
              </w:rPr>
              <w:t>式；本人减持股份的价格根据当时的二级市场价格确定，且不低于以减持日为基准经前复权</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计算的首次公开发行股票的发行价格，并应符合相关法律法规及深圳证券交易所规则要求。 </w:t>
            </w:r>
            <w:r>
              <w:rPr>
                <w:rFonts w:ascii="宋体" w:hAnsi="宋体" w:cs="宋体" w:eastAsia="宋体" w:hint="default"/>
                <w:spacing w:val="-1"/>
                <w:sz w:val="18"/>
                <w:szCs w:val="18"/>
              </w:rPr>
              <w:t>若本人未履行上述承诺，本人将在中国证监会指定报刊上公开说明未履行的具体原因并向股</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1"/>
                <w:sz w:val="18"/>
                <w:szCs w:val="18"/>
              </w:rPr>
              <w:t>东和社会公众投资者道歉；如果本人因未履行上述承诺事项而获得收入的，所得的收入归苏</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1"/>
                <w:sz w:val="18"/>
                <w:szCs w:val="18"/>
              </w:rPr>
              <w:t>州恒久所有，本人将在获得收入的五日内将前述收入支付给苏州恒久指定账户；如果因本人</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1"/>
                <w:sz w:val="18"/>
                <w:szCs w:val="18"/>
              </w:rPr>
              <w:t>未履行上述承诺事项给苏州恒久或者其他投资者造成损失的，本人将向苏州恒久或者其他投</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资者依法承担赔偿责任。</w:t>
            </w:r>
          </w:p>
        </w:tc>
        <w:tc>
          <w:tcPr>
            <w:tcW w:w="99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2021-08-11</w:t>
            </w:r>
          </w:p>
        </w:tc>
        <w:tc>
          <w:tcPr>
            <w:tcW w:w="92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4" w:lineRule="auto"/>
              <w:ind w:left="23" w:right="170"/>
              <w:jc w:val="left"/>
              <w:rPr>
                <w:rFonts w:ascii="宋体" w:hAnsi="宋体" w:cs="宋体" w:eastAsia="宋体" w:hint="default"/>
                <w:sz w:val="18"/>
                <w:szCs w:val="18"/>
              </w:rPr>
            </w:pPr>
            <w:r>
              <w:rPr>
                <w:rFonts w:ascii="宋体" w:hAnsi="宋体" w:cs="宋体" w:eastAsia="宋体" w:hint="default"/>
                <w:sz w:val="18"/>
                <w:szCs w:val="18"/>
              </w:rPr>
              <w:t>严格履行 承诺</w:t>
            </w:r>
          </w:p>
        </w:tc>
      </w:tr>
      <w:tr>
        <w:trPr>
          <w:trHeight w:val="1337" w:hRule="exact"/>
        </w:trPr>
        <w:tc>
          <w:tcPr>
            <w:tcW w:w="1702" w:type="dxa"/>
            <w:vMerge/>
            <w:tcBorders>
              <w:left w:val="single" w:sz="4" w:space="0" w:color="000000"/>
              <w:right w:val="single" w:sz="4" w:space="0" w:color="000000"/>
            </w:tcBorders>
            <w:shd w:val="clear" w:color="auto" w:fill="D2D2D2"/>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孙忠良</w:t>
            </w:r>
            <w:r>
              <w:rPr>
                <w:rFonts w:ascii="Times New Roman" w:hAnsi="Times New Roman" w:cs="Times New Roman" w:eastAsia="Times New Roman" w:hint="default"/>
                <w:sz w:val="18"/>
                <w:szCs w:val="18"/>
              </w:rPr>
              <w:t>;</w:t>
            </w:r>
            <w:r>
              <w:rPr>
                <w:rFonts w:ascii="宋体" w:hAnsi="宋体" w:cs="宋体" w:eastAsia="宋体" w:hint="default"/>
                <w:sz w:val="18"/>
                <w:szCs w:val="18"/>
              </w:rPr>
              <w:t>闫挺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59"/>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723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1" w:right="19"/>
              <w:jc w:val="left"/>
              <w:rPr>
                <w:rFonts w:ascii="宋体" w:hAnsi="宋体" w:cs="宋体" w:eastAsia="宋体" w:hint="default"/>
                <w:sz w:val="18"/>
                <w:szCs w:val="18"/>
              </w:rPr>
            </w:pPr>
            <w:r>
              <w:rPr>
                <w:rFonts w:ascii="宋体" w:hAnsi="宋体" w:cs="宋体" w:eastAsia="宋体" w:hint="default"/>
                <w:spacing w:val="-1"/>
                <w:sz w:val="18"/>
                <w:szCs w:val="18"/>
              </w:rPr>
              <w:t>在本人的关联自然人在苏州恒久担任董事、监事和高级管理人员期间，每年转让的股份不超</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过本人持有苏州恒久股份总数的</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；关联自然人离职后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个月内，不转让本人所持有的苏 州恒久股份；关联自然人离职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个月内通过证券交易所挂牌交易出售苏州恒久 股票数量占本人所持有苏州恒久股票总数的比例不超过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1" w:right="0"/>
              <w:jc w:val="left"/>
              <w:rPr>
                <w:rFonts w:ascii="Times New Roman" w:hAnsi="Times New Roman" w:cs="Times New Roman" w:eastAsia="Times New Roman" w:hint="default"/>
                <w:sz w:val="18"/>
                <w:szCs w:val="18"/>
              </w:rPr>
            </w:pPr>
            <w:r>
              <w:rPr>
                <w:rFonts w:ascii="Times New Roman"/>
                <w:sz w:val="18"/>
              </w:rPr>
              <w:t>9999-12-31</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70"/>
              <w:jc w:val="left"/>
              <w:rPr>
                <w:rFonts w:ascii="宋体" w:hAnsi="宋体" w:cs="宋体" w:eastAsia="宋体" w:hint="default"/>
                <w:sz w:val="18"/>
                <w:szCs w:val="18"/>
              </w:rPr>
            </w:pPr>
            <w:r>
              <w:rPr>
                <w:rFonts w:ascii="宋体" w:hAnsi="宋体" w:cs="宋体" w:eastAsia="宋体" w:hint="default"/>
                <w:sz w:val="18"/>
                <w:szCs w:val="18"/>
              </w:rPr>
              <w:t>严格履行 承诺</w:t>
            </w:r>
          </w:p>
        </w:tc>
      </w:tr>
      <w:tr>
        <w:trPr>
          <w:trHeight w:val="4148" w:hRule="exact"/>
        </w:trPr>
        <w:tc>
          <w:tcPr>
            <w:tcW w:w="1702" w:type="dxa"/>
            <w:vMerge/>
            <w:tcBorders>
              <w:left w:val="single" w:sz="4" w:space="0" w:color="000000"/>
              <w:bottom w:val="single" w:sz="4" w:space="0" w:color="000000"/>
              <w:right w:val="single" w:sz="4" w:space="0" w:color="000000"/>
            </w:tcBorders>
            <w:shd w:val="clear" w:color="auto" w:fill="D2D2D2"/>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江苏省苏高新风 险投资股份有限 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2"/>
              <w:ind w:left="23" w:right="59"/>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723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2"/>
              <w:jc w:val="left"/>
              <w:rPr>
                <w:rFonts w:ascii="宋体" w:hAnsi="宋体" w:cs="宋体" w:eastAsia="宋体" w:hint="default"/>
                <w:sz w:val="18"/>
                <w:szCs w:val="18"/>
              </w:rPr>
            </w:pPr>
            <w:r>
              <w:rPr>
                <w:rFonts w:ascii="宋体" w:hAnsi="宋体" w:cs="宋体" w:eastAsia="宋体" w:hint="default"/>
                <w:spacing w:val="-1"/>
                <w:sz w:val="18"/>
                <w:szCs w:val="18"/>
              </w:rPr>
              <w:t>将按照相关法律法规及深圳证券交易所规则要求进行减持，减持方式包括二级市场集中竞价</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1"/>
                <w:sz w:val="18"/>
                <w:szCs w:val="18"/>
              </w:rPr>
              <w:t>交易、大宗交易、协议转让或其他深圳证券交易所认可的合法方式；本公司减持股份的价格</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根据当时的二级市场价格确定，且不低于减持日当日已公告每股净资产的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倍（当日已公 </w:t>
            </w:r>
            <w:r>
              <w:rPr>
                <w:rFonts w:ascii="宋体" w:hAnsi="宋体" w:cs="宋体" w:eastAsia="宋体" w:hint="default"/>
                <w:spacing w:val="-2"/>
                <w:sz w:val="18"/>
                <w:szCs w:val="18"/>
              </w:rPr>
              <w:t>告每股净资产为：</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、发行人最近一期报告期期末公告的每股净资产，或者</w:t>
            </w:r>
            <w:r>
              <w:rPr>
                <w:rFonts w:ascii="宋体" w:hAnsi="宋体" w:cs="宋体" w:eastAsia="宋体" w:hint="default"/>
                <w:spacing w:val="-38"/>
                <w:sz w:val="18"/>
                <w:szCs w:val="18"/>
              </w:rPr>
              <w:t> </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、如最近一期报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告期期末财务数据公告后至下一报告期期末财务数据公告前期间因分红、配股、转增等情况</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导致发行人股份或权益发生变化时，则为经调整后的每股净资产），并应符合相关法律法规</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1"/>
                <w:sz w:val="18"/>
                <w:szCs w:val="18"/>
              </w:rPr>
              <w:t>及深圳证券交易所规则要求。在本公司拟转让所持苏州恒久股份时，本公司将在减持前三个</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交易日通过苏州恒久公告减持意向，本公司持有的苏州恒久股份低于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时除外。若本公司 </w:t>
            </w:r>
            <w:r>
              <w:rPr>
                <w:rFonts w:ascii="宋体" w:hAnsi="宋体" w:cs="宋体" w:eastAsia="宋体" w:hint="default"/>
                <w:spacing w:val="-1"/>
                <w:sz w:val="18"/>
                <w:szCs w:val="18"/>
              </w:rPr>
              <w:t>未履行上述承诺，本公司法定代表人将在中国证监会指定报刊上公开说明未履行的具体原因</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1"/>
                <w:sz w:val="18"/>
                <w:szCs w:val="18"/>
              </w:rPr>
              <w:t>并向股东和社会公众投资者道歉；如果本公司因未履行上述承诺事项而获得收入的，所得的</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收入归苏州恒久所有，本公司将在获得收入的五日内将前述收入支付给苏州恒久指定账户； </w:t>
            </w:r>
            <w:r>
              <w:rPr>
                <w:rFonts w:ascii="宋体" w:hAnsi="宋体" w:cs="宋体" w:eastAsia="宋体" w:hint="default"/>
                <w:spacing w:val="-1"/>
                <w:sz w:val="18"/>
                <w:szCs w:val="18"/>
              </w:rPr>
              <w:t>如果因本公司未履行上述承诺事项给苏州恒久或者其他投资者造成损失的，本公司将向苏州</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恒久或者其他投资者依法承担赔偿责任。</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2019-08-11</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2"/>
              <w:ind w:left="23" w:right="170"/>
              <w:jc w:val="left"/>
              <w:rPr>
                <w:rFonts w:ascii="宋体" w:hAnsi="宋体" w:cs="宋体" w:eastAsia="宋体" w:hint="default"/>
                <w:sz w:val="18"/>
                <w:szCs w:val="18"/>
              </w:rPr>
            </w:pPr>
            <w:r>
              <w:rPr>
                <w:rFonts w:ascii="宋体" w:hAnsi="宋体" w:cs="宋体" w:eastAsia="宋体" w:hint="default"/>
                <w:sz w:val="18"/>
                <w:szCs w:val="18"/>
              </w:rPr>
              <w:t>已履行完 毕</w:t>
            </w:r>
          </w:p>
        </w:tc>
      </w:tr>
    </w:tbl>
    <w:p>
      <w:pPr>
        <w:spacing w:after="0" w:line="314" w:lineRule="auto"/>
        <w:jc w:val="left"/>
        <w:rPr>
          <w:rFonts w:ascii="宋体" w:hAnsi="宋体" w:cs="宋体" w:eastAsia="宋体" w:hint="default"/>
          <w:sz w:val="18"/>
          <w:szCs w:val="18"/>
        </w:rPr>
        <w:sectPr>
          <w:pgSz w:w="16840" w:h="11910" w:orient="landscape"/>
          <w:pgMar w:header="867" w:footer="980" w:top="1060" w:bottom="1160" w:left="1180" w:right="1160"/>
        </w:sectPr>
      </w:pPr>
    </w:p>
    <w:p>
      <w:pPr>
        <w:spacing w:line="240" w:lineRule="auto" w:before="2"/>
        <w:rPr>
          <w:rFonts w:ascii="Times New Roman" w:hAnsi="Times New Roman" w:cs="Times New Roman" w:eastAsia="Times New Roman" w:hint="default"/>
          <w:sz w:val="3"/>
          <w:szCs w:val="3"/>
        </w:rPr>
      </w:pPr>
      <w:r>
        <w:rPr/>
        <w:pict>
          <v:shape style="position:absolute;margin-left:626.109985pt;margin-top:175.466003pt;width:55.35pt;height:93.65pt;mso-position-horizontal-relative:page;mso-position-vertical-relative:page;z-index:-10944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2"/>
                      <w:szCs w:val="22"/>
                    </w:rPr>
                  </w:pPr>
                </w:p>
                <w:p>
                  <w:pPr>
                    <w:pStyle w:val="BodyText"/>
                    <w:spacing w:line="240" w:lineRule="auto"/>
                    <w:ind w:left="0" w:right="0"/>
                    <w:jc w:val="left"/>
                  </w:pPr>
                  <w:r>
                    <w:rPr/>
                    <w:t>）</w:t>
                  </w:r>
                </w:p>
              </w:txbxContent>
            </v:textbox>
            <w10:wrap type="none"/>
          </v:shape>
        </w:pict>
      </w:r>
      <w:r>
        <w:rPr/>
        <w:pict>
          <v:group style="position:absolute;margin-left:632.229980pt;margin-top:175.466003pt;width:49.25pt;height:93.65pt;mso-position-horizontal-relative:page;mso-position-vertical-relative:page;z-index:-1094464" coordorigin="12645,3509" coordsize="985,1873">
            <v:shape style="position:absolute;left:12645;top:3509;width:985;height:1873" coordorigin="12645,3509" coordsize="985,1873" path="m12645,5382l13629,5382,13629,3509,12645,3509,12645,5382xe" filled="true" fillcolor="#ffffff" stroked="false">
              <v:path arrowok="t"/>
              <v:fill type="solid"/>
            </v:shape>
            <w10:wrap type="none"/>
          </v:group>
        </w:pict>
      </w:r>
    </w:p>
    <w:tbl>
      <w:tblPr>
        <w:tblW w:w="0" w:type="auto"/>
        <w:jc w:val="left"/>
        <w:tblInd w:w="106" w:type="dxa"/>
        <w:tblLayout w:type="fixed"/>
        <w:tblCellMar>
          <w:top w:w="0" w:type="dxa"/>
          <w:left w:w="0" w:type="dxa"/>
          <w:bottom w:w="0" w:type="dxa"/>
          <w:right w:w="0" w:type="dxa"/>
        </w:tblCellMar>
        <w:tblLook w:val="01E0"/>
      </w:tblPr>
      <w:tblGrid>
        <w:gridCol w:w="1702"/>
        <w:gridCol w:w="1423"/>
        <w:gridCol w:w="994"/>
        <w:gridCol w:w="7230"/>
        <w:gridCol w:w="994"/>
        <w:gridCol w:w="991"/>
        <w:gridCol w:w="924"/>
      </w:tblGrid>
      <w:tr>
        <w:trPr>
          <w:trHeight w:val="371" w:hRule="exact"/>
        </w:trPr>
        <w:tc>
          <w:tcPr>
            <w:tcW w:w="1702" w:type="dxa"/>
            <w:vMerge w:val="restart"/>
            <w:tcBorders>
              <w:top w:val="single" w:sz="15" w:space="0" w:color="000000"/>
              <w:left w:val="single" w:sz="4" w:space="0" w:color="000000"/>
              <w:right w:val="single" w:sz="4" w:space="0" w:color="000000"/>
            </w:tcBorders>
            <w:shd w:val="clear" w:color="auto" w:fill="D2D2D2"/>
          </w:tcPr>
          <w:p>
            <w:pPr/>
          </w:p>
        </w:tc>
        <w:tc>
          <w:tcPr>
            <w:tcW w:w="1423" w:type="dxa"/>
            <w:tcBorders>
              <w:top w:val="single" w:sz="15" w:space="0" w:color="000000"/>
              <w:left w:val="single" w:sz="4" w:space="0" w:color="000000"/>
              <w:bottom w:val="nil" w:sz="6" w:space="0" w:color="auto"/>
              <w:right w:val="single" w:sz="4" w:space="0" w:color="000000"/>
            </w:tcBorders>
          </w:tcPr>
          <w:p>
            <w:pPr/>
          </w:p>
        </w:tc>
        <w:tc>
          <w:tcPr>
            <w:tcW w:w="994" w:type="dxa"/>
            <w:tcBorders>
              <w:top w:val="single" w:sz="15" w:space="0" w:color="000000"/>
              <w:left w:val="single" w:sz="4" w:space="0" w:color="000000"/>
              <w:bottom w:val="nil" w:sz="6" w:space="0" w:color="auto"/>
              <w:right w:val="single" w:sz="4" w:space="0" w:color="000000"/>
            </w:tcBorders>
          </w:tcPr>
          <w:p>
            <w:pPr/>
          </w:p>
        </w:tc>
        <w:tc>
          <w:tcPr>
            <w:tcW w:w="7230"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pacing w:val="-1"/>
                <w:sz w:val="18"/>
                <w:szCs w:val="18"/>
              </w:rPr>
              <w:t>在本人及本人的关联自然人在苏州恒久担任董事、监事、高级管理人员期间，每年转让的股</w:t>
            </w:r>
          </w:p>
        </w:tc>
        <w:tc>
          <w:tcPr>
            <w:tcW w:w="994" w:type="dxa"/>
            <w:tcBorders>
              <w:top w:val="single" w:sz="15" w:space="0" w:color="000000"/>
              <w:left w:val="single" w:sz="4" w:space="0" w:color="000000"/>
              <w:bottom w:val="nil" w:sz="6" w:space="0" w:color="auto"/>
              <w:right w:val="single" w:sz="4" w:space="0" w:color="000000"/>
            </w:tcBorders>
          </w:tcPr>
          <w:p>
            <w:pPr/>
          </w:p>
        </w:tc>
        <w:tc>
          <w:tcPr>
            <w:tcW w:w="991" w:type="dxa"/>
            <w:tcBorders>
              <w:top w:val="single" w:sz="15" w:space="0" w:color="000000"/>
              <w:left w:val="single" w:sz="4" w:space="0" w:color="000000"/>
              <w:bottom w:val="nil" w:sz="6" w:space="0" w:color="auto"/>
              <w:right w:val="single" w:sz="4" w:space="0" w:color="000000"/>
            </w:tcBorders>
          </w:tcPr>
          <w:p>
            <w:pPr/>
          </w:p>
        </w:tc>
        <w:tc>
          <w:tcPr>
            <w:tcW w:w="924" w:type="dxa"/>
            <w:tcBorders>
              <w:top w:val="single" w:sz="15" w:space="0" w:color="000000"/>
              <w:left w:val="single" w:sz="4" w:space="0" w:color="000000"/>
              <w:bottom w:val="nil" w:sz="6" w:space="0" w:color="auto"/>
              <w:right w:val="single" w:sz="4" w:space="0" w:color="000000"/>
            </w:tcBorders>
          </w:tcPr>
          <w:p>
            <w:pPr/>
          </w:p>
        </w:tc>
      </w:tr>
      <w:tr>
        <w:trPr>
          <w:trHeight w:val="628" w:hRule="exact"/>
        </w:trPr>
        <w:tc>
          <w:tcPr>
            <w:tcW w:w="1702" w:type="dxa"/>
            <w:vMerge/>
            <w:tcBorders>
              <w:left w:val="single" w:sz="4" w:space="0" w:color="000000"/>
              <w:right w:val="single" w:sz="4" w:space="0" w:color="000000"/>
            </w:tcBorders>
            <w:shd w:val="clear" w:color="auto" w:fill="D2D2D2"/>
          </w:tcPr>
          <w:p>
            <w:pPr/>
          </w:p>
        </w:tc>
        <w:tc>
          <w:tcPr>
            <w:tcW w:w="142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余仲清</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314" w:lineRule="auto" w:before="11"/>
              <w:ind w:left="23" w:right="59"/>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300" w:lineRule="auto" w:before="9"/>
              <w:ind w:left="21" w:right="19"/>
              <w:jc w:val="left"/>
              <w:rPr>
                <w:rFonts w:ascii="宋体" w:hAnsi="宋体" w:cs="宋体" w:eastAsia="宋体" w:hint="default"/>
                <w:sz w:val="18"/>
                <w:szCs w:val="18"/>
              </w:rPr>
            </w:pPr>
            <w:r>
              <w:rPr>
                <w:rFonts w:ascii="宋体" w:hAnsi="宋体" w:cs="宋体" w:eastAsia="宋体" w:hint="default"/>
                <w:sz w:val="18"/>
                <w:szCs w:val="18"/>
              </w:rPr>
              <w:t>份不超过本人持有苏州恒久股份总数的</w:t>
            </w:r>
            <w:r>
              <w:rPr>
                <w:rFonts w:ascii="宋体" w:hAnsi="宋体" w:cs="宋体" w:eastAsia="宋体" w:hint="default"/>
                <w:spacing w:val="-50"/>
                <w:sz w:val="18"/>
                <w:szCs w:val="18"/>
              </w:rPr>
              <w:t> </w:t>
            </w:r>
            <w:r>
              <w:rPr>
                <w:rFonts w:ascii="Times New Roman" w:hAnsi="Times New Roman" w:cs="Times New Roman" w:eastAsia="Times New Roman" w:hint="default"/>
                <w:spacing w:val="-4"/>
                <w:sz w:val="18"/>
                <w:szCs w:val="18"/>
              </w:rPr>
              <w:t>25%</w:t>
            </w:r>
            <w:r>
              <w:rPr>
                <w:rFonts w:ascii="宋体" w:hAnsi="宋体" w:cs="宋体" w:eastAsia="宋体" w:hint="default"/>
                <w:spacing w:val="-4"/>
                <w:sz w:val="18"/>
                <w:szCs w:val="18"/>
              </w:rPr>
              <w:t>；离职后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个月内，不转让本人所持有的苏州恒 久股份；离职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个月后的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个月内通过证券交易所挂牌交易出售苏州恒久股票数量占本人</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9999-12-31</w:t>
            </w:r>
          </w:p>
        </w:tc>
        <w:tc>
          <w:tcPr>
            <w:tcW w:w="924" w:type="dxa"/>
            <w:tcBorders>
              <w:top w:val="nil" w:sz="6" w:space="0" w:color="auto"/>
              <w:left w:val="single" w:sz="4" w:space="0" w:color="000000"/>
              <w:bottom w:val="nil" w:sz="6" w:space="0" w:color="auto"/>
              <w:right w:val="single" w:sz="4" w:space="0" w:color="000000"/>
            </w:tcBorders>
          </w:tcPr>
          <w:p>
            <w:pPr>
              <w:pStyle w:val="TableParagraph"/>
              <w:spacing w:line="314" w:lineRule="auto" w:before="11"/>
              <w:ind w:left="23" w:right="168"/>
              <w:jc w:val="left"/>
              <w:rPr>
                <w:rFonts w:ascii="宋体" w:hAnsi="宋体" w:cs="宋体" w:eastAsia="宋体" w:hint="default"/>
                <w:sz w:val="18"/>
                <w:szCs w:val="18"/>
              </w:rPr>
            </w:pPr>
            <w:r>
              <w:rPr>
                <w:rFonts w:ascii="宋体" w:hAnsi="宋体" w:cs="宋体" w:eastAsia="宋体" w:hint="default"/>
                <w:sz w:val="18"/>
                <w:szCs w:val="18"/>
              </w:rPr>
              <w:t>严格履行 承诺</w:t>
            </w:r>
          </w:p>
        </w:tc>
      </w:tr>
      <w:tr>
        <w:trPr>
          <w:trHeight w:val="355" w:hRule="exact"/>
        </w:trPr>
        <w:tc>
          <w:tcPr>
            <w:tcW w:w="1702" w:type="dxa"/>
            <w:vMerge/>
            <w:tcBorders>
              <w:left w:val="single" w:sz="4" w:space="0" w:color="000000"/>
              <w:right w:val="single" w:sz="4" w:space="0" w:color="000000"/>
            </w:tcBorders>
            <w:shd w:val="clear" w:color="auto" w:fill="D2D2D2"/>
          </w:tcPr>
          <w:p>
            <w:pPr/>
          </w:p>
        </w:tc>
        <w:tc>
          <w:tcPr>
            <w:tcW w:w="1423"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723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所持有苏州恒久股票总数的比例不超过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994"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924" w:type="dxa"/>
            <w:tcBorders>
              <w:top w:val="nil" w:sz="6" w:space="0" w:color="auto"/>
              <w:left w:val="single" w:sz="4" w:space="0" w:color="000000"/>
              <w:bottom w:val="single" w:sz="4" w:space="0" w:color="000000"/>
              <w:right w:val="single" w:sz="4" w:space="0" w:color="000000"/>
            </w:tcBorders>
          </w:tcPr>
          <w:p>
            <w:pPr/>
          </w:p>
        </w:tc>
      </w:tr>
      <w:tr>
        <w:trPr>
          <w:trHeight w:val="1025" w:hRule="exact"/>
        </w:trPr>
        <w:tc>
          <w:tcPr>
            <w:tcW w:w="1702" w:type="dxa"/>
            <w:vMerge/>
            <w:tcBorders>
              <w:left w:val="single" w:sz="4" w:space="0" w:color="000000"/>
              <w:right w:val="single" w:sz="4" w:space="0" w:color="000000"/>
            </w:tcBorders>
            <w:shd w:val="clear" w:color="auto" w:fill="D2D2D2"/>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张培兴</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59"/>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723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1" w:right="41"/>
              <w:jc w:val="both"/>
              <w:rPr>
                <w:rFonts w:ascii="宋体" w:hAnsi="宋体" w:cs="宋体" w:eastAsia="宋体" w:hint="default"/>
                <w:sz w:val="18"/>
                <w:szCs w:val="18"/>
              </w:rPr>
            </w:pPr>
            <w:r>
              <w:rPr>
                <w:rFonts w:ascii="宋体" w:hAnsi="宋体" w:cs="宋体" w:eastAsia="宋体" w:hint="default"/>
                <w:sz w:val="18"/>
                <w:szCs w:val="18"/>
              </w:rPr>
              <w:t>在本人在苏州恒久任职期间，每年转让的股份不超过本人持有苏州恒久股份总数的</w:t>
            </w:r>
            <w:r>
              <w:rPr>
                <w:rFonts w:ascii="宋体" w:hAnsi="宋体" w:cs="宋体" w:eastAsia="宋体" w:hint="default"/>
                <w:spacing w:val="-59"/>
                <w:sz w:val="18"/>
                <w:szCs w:val="18"/>
              </w:rPr>
              <w:t> </w:t>
            </w:r>
            <w:r>
              <w:rPr>
                <w:rFonts w:ascii="Times New Roman" w:hAnsi="Times New Roman" w:cs="Times New Roman" w:eastAsia="Times New Roman" w:hint="default"/>
                <w:spacing w:val="-9"/>
                <w:sz w:val="18"/>
                <w:szCs w:val="18"/>
              </w:rPr>
              <w:t>25%</w:t>
            </w:r>
            <w:r>
              <w:rPr>
                <w:rFonts w:ascii="宋体" w:hAnsi="宋体" w:cs="宋体" w:eastAsia="宋体" w:hint="default"/>
                <w:spacing w:val="-9"/>
                <w:sz w:val="18"/>
                <w:szCs w:val="18"/>
              </w:rPr>
              <w:t>；离</w:t>
            </w:r>
            <w:r>
              <w:rPr>
                <w:rFonts w:ascii="宋体" w:hAnsi="宋体" w:cs="宋体" w:eastAsia="宋体" w:hint="default"/>
                <w:spacing w:val="-22"/>
                <w:sz w:val="18"/>
                <w:szCs w:val="18"/>
              </w:rPr>
              <w:t> </w:t>
            </w:r>
            <w:r>
              <w:rPr>
                <w:rFonts w:ascii="宋体" w:hAnsi="宋体" w:cs="宋体" w:eastAsia="宋体" w:hint="default"/>
                <w:sz w:val="18"/>
                <w:szCs w:val="18"/>
              </w:rPr>
              <w:t>职后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个月内，不转让本人所持有的苏州恒久股份；离职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个月内通过证券交 易所挂牌交易出售苏州恒久股票数量占本人所持有苏州恒久股票总数的比例不超过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9999-12-31</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68"/>
              <w:jc w:val="left"/>
              <w:rPr>
                <w:rFonts w:ascii="宋体" w:hAnsi="宋体" w:cs="宋体" w:eastAsia="宋体" w:hint="default"/>
                <w:sz w:val="18"/>
                <w:szCs w:val="18"/>
              </w:rPr>
            </w:pPr>
            <w:r>
              <w:rPr>
                <w:rFonts w:ascii="宋体" w:hAnsi="宋体" w:cs="宋体" w:eastAsia="宋体" w:hint="default"/>
                <w:sz w:val="18"/>
                <w:szCs w:val="18"/>
              </w:rPr>
              <w:t>严格履行 承诺</w:t>
            </w:r>
          </w:p>
        </w:tc>
      </w:tr>
      <w:tr>
        <w:trPr>
          <w:trHeight w:val="362" w:hRule="exact"/>
        </w:trPr>
        <w:tc>
          <w:tcPr>
            <w:tcW w:w="1702" w:type="dxa"/>
            <w:vMerge/>
            <w:tcBorders>
              <w:left w:val="single" w:sz="4" w:space="0" w:color="000000"/>
              <w:right w:val="single" w:sz="4" w:space="0" w:color="000000"/>
            </w:tcBorders>
            <w:shd w:val="clear" w:color="auto" w:fill="D2D2D2"/>
          </w:tcPr>
          <w:p>
            <w:pPr/>
          </w:p>
        </w:tc>
        <w:tc>
          <w:tcPr>
            <w:tcW w:w="1423"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723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pacing w:val="-2"/>
                <w:w w:val="99"/>
                <w:sz w:val="18"/>
                <w:szCs w:val="18"/>
              </w:rPr>
              <w:t>"</w:t>
            </w:r>
            <w:r>
              <w:rPr>
                <w:rFonts w:ascii="宋体" w:hAnsi="宋体" w:cs="宋体" w:eastAsia="宋体" w:hint="default"/>
                <w:sz w:val="18"/>
                <w:szCs w:val="18"/>
              </w:rPr>
              <w:t>为避免同业竞争，维护发行</w:t>
            </w:r>
            <w:r>
              <w:rPr>
                <w:rFonts w:ascii="宋体" w:hAnsi="宋体" w:cs="宋体" w:eastAsia="宋体" w:hint="default"/>
                <w:spacing w:val="2"/>
                <w:sz w:val="18"/>
                <w:szCs w:val="18"/>
              </w:rPr>
              <w:t>人</w:t>
            </w:r>
            <w:r>
              <w:rPr>
                <w:rFonts w:ascii="宋体" w:hAnsi="宋体" w:cs="宋体" w:eastAsia="宋体" w:hint="default"/>
                <w:sz w:val="18"/>
                <w:szCs w:val="18"/>
              </w:rPr>
              <w:t>及其他中小股东的利益，承诺</w:t>
            </w:r>
            <w:r>
              <w:rPr>
                <w:rFonts w:ascii="宋体" w:hAnsi="宋体" w:cs="宋体" w:eastAsia="宋体" w:hint="default"/>
                <w:spacing w:val="-89"/>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）自本承诺书出具日始，</w:t>
            </w:r>
          </w:p>
        </w:tc>
        <w:tc>
          <w:tcPr>
            <w:tcW w:w="994"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924"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702" w:type="dxa"/>
            <w:vMerge/>
            <w:tcBorders>
              <w:left w:val="single" w:sz="4" w:space="0" w:color="000000"/>
              <w:right w:val="single" w:sz="4" w:space="0" w:color="000000"/>
            </w:tcBorders>
            <w:shd w:val="clear" w:color="auto" w:fill="D2D2D2"/>
          </w:tcPr>
          <w:p>
            <w:pPr/>
          </w:p>
        </w:tc>
        <w:tc>
          <w:tcPr>
            <w:tcW w:w="1423"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1" w:right="0"/>
              <w:jc w:val="left"/>
              <w:rPr>
                <w:rFonts w:ascii="宋体" w:hAnsi="宋体" w:cs="宋体" w:eastAsia="宋体" w:hint="default"/>
                <w:sz w:val="18"/>
                <w:szCs w:val="18"/>
              </w:rPr>
            </w:pPr>
            <w:r>
              <w:rPr>
                <w:rFonts w:ascii="宋体" w:hAnsi="宋体" w:cs="宋体" w:eastAsia="宋体" w:hint="default"/>
                <w:spacing w:val="-1"/>
                <w:sz w:val="18"/>
                <w:szCs w:val="18"/>
              </w:rPr>
              <w:t>承诺人将采取合法及有效的措施，促使承诺人及承诺人拥有控制权的其他公司、企业及其他</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2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2" w:type="dxa"/>
            <w:vMerge/>
            <w:tcBorders>
              <w:left w:val="single" w:sz="4" w:space="0" w:color="000000"/>
              <w:right w:val="single" w:sz="4" w:space="0" w:color="000000"/>
            </w:tcBorders>
            <w:shd w:val="clear" w:color="auto" w:fill="D2D2D2"/>
          </w:tcPr>
          <w:p>
            <w:pPr/>
          </w:p>
        </w:tc>
        <w:tc>
          <w:tcPr>
            <w:tcW w:w="1423"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1"/>
                <w:sz w:val="18"/>
                <w:szCs w:val="18"/>
              </w:rPr>
              <w:t>经济组织（今后若有）不从事或参与与股份公司相同或类似的生产、经营业务，以避免对股</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2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702" w:type="dxa"/>
            <w:vMerge/>
            <w:tcBorders>
              <w:left w:val="single" w:sz="4" w:space="0" w:color="000000"/>
              <w:right w:val="single" w:sz="4" w:space="0" w:color="000000"/>
            </w:tcBorders>
            <w:shd w:val="clear" w:color="auto" w:fill="D2D2D2"/>
          </w:tcPr>
          <w:p>
            <w:pPr/>
          </w:p>
        </w:tc>
        <w:tc>
          <w:tcPr>
            <w:tcW w:w="1423"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份公司的生产经营构成可能的直接或间接的业务竞争</w:t>
            </w:r>
            <w:r>
              <w:rPr>
                <w:rFonts w:ascii="宋体" w:hAnsi="宋体" w:cs="宋体" w:eastAsia="宋体" w:hint="default"/>
                <w:spacing w:val="-10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15"/>
                <w:sz w:val="18"/>
                <w:szCs w:val="18"/>
              </w:rPr>
              <w:t>）</w:t>
            </w:r>
            <w:r>
              <w:rPr>
                <w:rFonts w:ascii="宋体" w:hAnsi="宋体" w:cs="宋体" w:eastAsia="宋体" w:hint="default"/>
                <w:sz w:val="18"/>
                <w:szCs w:val="18"/>
              </w:rPr>
              <w:t>如承诺人及上述关联方现有业务</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24" w:type="dxa"/>
            <w:tcBorders>
              <w:top w:val="nil" w:sz="6" w:space="0" w:color="auto"/>
              <w:left w:val="single" w:sz="4" w:space="0" w:color="000000"/>
              <w:bottom w:val="nil" w:sz="6" w:space="0" w:color="auto"/>
              <w:right w:val="single" w:sz="4" w:space="0" w:color="000000"/>
            </w:tcBorders>
          </w:tcPr>
          <w:p>
            <w:pPr/>
          </w:p>
        </w:tc>
      </w:tr>
      <w:tr>
        <w:trPr>
          <w:trHeight w:val="1872" w:hRule="exact"/>
        </w:trPr>
        <w:tc>
          <w:tcPr>
            <w:tcW w:w="1702" w:type="dxa"/>
            <w:vMerge/>
            <w:tcBorders>
              <w:left w:val="single" w:sz="4" w:space="0" w:color="000000"/>
              <w:right w:val="single" w:sz="4" w:space="0" w:color="000000"/>
            </w:tcBorders>
            <w:shd w:val="clear" w:color="auto" w:fill="D2D2D2"/>
          </w:tcPr>
          <w:p>
            <w:pPr/>
          </w:p>
        </w:tc>
        <w:tc>
          <w:tcPr>
            <w:tcW w:w="1423" w:type="dxa"/>
            <w:tcBorders>
              <w:top w:val="nil" w:sz="6" w:space="0" w:color="auto"/>
              <w:left w:val="single" w:sz="4" w:space="0" w:color="000000"/>
              <w:bottom w:val="nil" w:sz="6" w:space="0" w:color="auto"/>
              <w:right w:val="single" w:sz="4" w:space="0" w:color="000000"/>
            </w:tcBorders>
          </w:tcPr>
          <w:p>
            <w:pPr>
              <w:pStyle w:val="TableParagraph"/>
              <w:spacing w:line="309" w:lineRule="auto" w:before="8"/>
              <w:ind w:left="23" w:right="26"/>
              <w:jc w:val="left"/>
              <w:rPr>
                <w:rFonts w:ascii="宋体" w:hAnsi="宋体" w:cs="宋体" w:eastAsia="宋体" w:hint="default"/>
                <w:sz w:val="18"/>
                <w:szCs w:val="18"/>
              </w:rPr>
            </w:pPr>
            <w:r>
              <w:rPr>
                <w:rFonts w:ascii="宋体" w:hAnsi="宋体" w:cs="宋体" w:eastAsia="宋体" w:hint="default"/>
                <w:sz w:val="18"/>
                <w:szCs w:val="18"/>
              </w:rPr>
              <w:t>江苏省苏高新风 险投资股份有限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兰山英</w:t>
            </w:r>
            <w:r>
              <w:rPr>
                <w:rFonts w:ascii="Times New Roman" w:hAnsi="Times New Roman" w:cs="Times New Roman" w:eastAsia="Times New Roman" w:hint="default"/>
                <w:sz w:val="18"/>
                <w:szCs w:val="18"/>
              </w:rPr>
              <w:t>;</w:t>
            </w:r>
            <w:r>
              <w:rPr>
                <w:rFonts w:ascii="宋体" w:hAnsi="宋体" w:cs="宋体" w:eastAsia="宋体" w:hint="default"/>
                <w:sz w:val="18"/>
                <w:szCs w:val="18"/>
              </w:rPr>
              <w:t>苏州 恒久荣盛科技投 资有限公司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余荣 清</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3" w:right="59"/>
              <w:jc w:val="both"/>
              <w:rPr>
                <w:rFonts w:ascii="宋体" w:hAnsi="宋体" w:cs="宋体" w:eastAsia="宋体" w:hint="default"/>
                <w:sz w:val="18"/>
                <w:szCs w:val="18"/>
              </w:rPr>
            </w:pPr>
            <w:r>
              <w:rPr>
                <w:rFonts w:ascii="宋体" w:hAnsi="宋体" w:cs="宋体" w:eastAsia="宋体" w:hint="default"/>
                <w:sz w:val="18"/>
                <w:szCs w:val="18"/>
              </w:rPr>
              <w:t>关于同业竞 争、关联交 易、资金占 用方面的承 诺</w:t>
            </w: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307" w:lineRule="auto" w:before="5"/>
              <w:ind w:left="21" w:right="23"/>
              <w:jc w:val="left"/>
              <w:rPr>
                <w:rFonts w:ascii="宋体" w:hAnsi="宋体" w:cs="宋体" w:eastAsia="宋体" w:hint="default"/>
                <w:sz w:val="18"/>
                <w:szCs w:val="18"/>
              </w:rPr>
            </w:pPr>
            <w:r>
              <w:rPr>
                <w:rFonts w:ascii="宋体" w:hAnsi="宋体" w:cs="宋体" w:eastAsia="宋体" w:hint="default"/>
                <w:spacing w:val="-6"/>
                <w:sz w:val="18"/>
                <w:szCs w:val="18"/>
              </w:rPr>
              <w:t>与股份公司存在同业竞争，则承诺人将在股份公司提出异议后及时转让或终止上述业务。（</w:t>
            </w:r>
            <w:r>
              <w:rPr>
                <w:rFonts w:ascii="Times New Roman" w:hAnsi="Times New Roman" w:cs="Times New Roman" w:eastAsia="Times New Roman" w:hint="default"/>
                <w:spacing w:val="-6"/>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pacing w:val="-1"/>
                <w:sz w:val="18"/>
                <w:szCs w:val="18"/>
              </w:rPr>
              <w:t>承诺人如从事新的有可能涉及与股份公司相同或相似的业务，则有义务就该新业务通知股份</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1"/>
                <w:sz w:val="18"/>
                <w:szCs w:val="18"/>
              </w:rPr>
              <w:t>公司。如该新业务可能构成与股份公司的同业竞争，在股份公司提出异议后，承诺人同意终</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止该业务。（</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）承诺人将不利用对股份公司的控股关系进行任何损害股份公司及股份公司其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他股东利益的经营活动。（</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）承诺人确认本承诺书旨在保障股份公司及股份公司全体股东之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合法权益而作出。（</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）承诺人确认本承诺书所载的每一项承诺均为可独立执行之承诺。任何</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9999-12-31</w:t>
            </w:r>
          </w:p>
        </w:tc>
        <w:tc>
          <w:tcPr>
            <w:tcW w:w="92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4" w:lineRule="auto"/>
              <w:ind w:left="23" w:right="168"/>
              <w:jc w:val="left"/>
              <w:rPr>
                <w:rFonts w:ascii="宋体" w:hAnsi="宋体" w:cs="宋体" w:eastAsia="宋体" w:hint="default"/>
                <w:sz w:val="18"/>
                <w:szCs w:val="18"/>
              </w:rPr>
            </w:pPr>
            <w:r>
              <w:rPr>
                <w:rFonts w:ascii="宋体" w:hAnsi="宋体" w:cs="宋体" w:eastAsia="宋体" w:hint="default"/>
                <w:sz w:val="18"/>
                <w:szCs w:val="18"/>
              </w:rPr>
              <w:t>严格履行 承诺</w:t>
            </w:r>
          </w:p>
        </w:tc>
      </w:tr>
      <w:tr>
        <w:trPr>
          <w:trHeight w:val="312" w:hRule="exact"/>
        </w:trPr>
        <w:tc>
          <w:tcPr>
            <w:tcW w:w="1702" w:type="dxa"/>
            <w:vMerge/>
            <w:tcBorders>
              <w:left w:val="single" w:sz="4" w:space="0" w:color="000000"/>
              <w:right w:val="single" w:sz="4" w:space="0" w:color="000000"/>
            </w:tcBorders>
            <w:shd w:val="clear" w:color="auto" w:fill="D2D2D2"/>
          </w:tcPr>
          <w:p>
            <w:pPr/>
          </w:p>
        </w:tc>
        <w:tc>
          <w:tcPr>
            <w:tcW w:w="1423"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一项承诺若被视为无效或终止将不影响其他各项承诺的有效性</w:t>
            </w:r>
            <w:r>
              <w:rPr>
                <w:rFonts w:ascii="宋体" w:hAnsi="宋体" w:cs="宋体" w:eastAsia="宋体" w:hint="default"/>
                <w:spacing w:val="-10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7</w:t>
            </w:r>
            <w:r>
              <w:rPr>
                <w:rFonts w:ascii="宋体" w:hAnsi="宋体" w:cs="宋体" w:eastAsia="宋体" w:hint="default"/>
                <w:spacing w:val="-13"/>
                <w:sz w:val="18"/>
                <w:szCs w:val="18"/>
              </w:rPr>
              <w:t>）</w:t>
            </w:r>
            <w:r>
              <w:rPr>
                <w:rFonts w:ascii="宋体" w:hAnsi="宋体" w:cs="宋体" w:eastAsia="宋体" w:hint="default"/>
                <w:sz w:val="18"/>
                <w:szCs w:val="18"/>
              </w:rPr>
              <w:t>承诺人愿意承担由</w:t>
            </w:r>
            <w:r>
              <w:rPr>
                <w:rFonts w:ascii="宋体" w:hAnsi="宋体" w:cs="宋体" w:eastAsia="宋体" w:hint="default"/>
                <w:spacing w:val="-3"/>
                <w:sz w:val="18"/>
                <w:szCs w:val="18"/>
              </w:rPr>
              <w:t>于</w:t>
            </w:r>
            <w:r>
              <w:rPr>
                <w:rFonts w:ascii="宋体" w:hAnsi="宋体" w:cs="宋体" w:eastAsia="宋体" w:hint="default"/>
                <w:sz w:val="18"/>
                <w:szCs w:val="18"/>
              </w:rPr>
              <w:t>违</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2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2" w:type="dxa"/>
            <w:vMerge/>
            <w:tcBorders>
              <w:left w:val="single" w:sz="4" w:space="0" w:color="000000"/>
              <w:right w:val="single" w:sz="4" w:space="0" w:color="000000"/>
            </w:tcBorders>
            <w:shd w:val="clear" w:color="auto" w:fill="D2D2D2"/>
          </w:tcPr>
          <w:p>
            <w:pPr/>
          </w:p>
        </w:tc>
        <w:tc>
          <w:tcPr>
            <w:tcW w:w="1423"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反上述承诺给股份公司造成的直接</w:t>
            </w:r>
            <w:r>
              <w:rPr>
                <w:rFonts w:ascii="宋体" w:hAnsi="宋体" w:cs="宋体" w:eastAsia="宋体" w:hint="default"/>
                <w:spacing w:val="-8"/>
                <w:sz w:val="18"/>
                <w:szCs w:val="18"/>
              </w:rPr>
              <w:t>、</w:t>
            </w:r>
            <w:r>
              <w:rPr>
                <w:rFonts w:ascii="宋体" w:hAnsi="宋体" w:cs="宋体" w:eastAsia="宋体" w:hint="default"/>
                <w:sz w:val="18"/>
                <w:szCs w:val="18"/>
              </w:rPr>
              <w:t>间接的经济损失</w:t>
            </w:r>
            <w:r>
              <w:rPr>
                <w:rFonts w:ascii="宋体" w:hAnsi="宋体" w:cs="宋体" w:eastAsia="宋体" w:hint="default"/>
                <w:spacing w:val="-8"/>
                <w:sz w:val="18"/>
                <w:szCs w:val="18"/>
              </w:rPr>
              <w:t>、</w:t>
            </w:r>
            <w:r>
              <w:rPr>
                <w:rFonts w:ascii="宋体" w:hAnsi="宋体" w:cs="宋体" w:eastAsia="宋体" w:hint="default"/>
                <w:sz w:val="18"/>
                <w:szCs w:val="18"/>
              </w:rPr>
              <w:t>索</w:t>
            </w:r>
            <w:r>
              <w:rPr>
                <w:rFonts w:ascii="宋体" w:hAnsi="宋体" w:cs="宋体" w:eastAsia="宋体" w:hint="default"/>
                <w:spacing w:val="2"/>
                <w:sz w:val="18"/>
                <w:szCs w:val="18"/>
              </w:rPr>
              <w:t>赔</w:t>
            </w:r>
            <w:r>
              <w:rPr>
                <w:rFonts w:ascii="宋体" w:hAnsi="宋体" w:cs="宋体" w:eastAsia="宋体" w:hint="default"/>
                <w:sz w:val="18"/>
                <w:szCs w:val="18"/>
              </w:rPr>
              <w:t>责任及额外的费用支出</w:t>
            </w:r>
            <w:r>
              <w:rPr>
                <w:rFonts w:ascii="宋体" w:hAnsi="宋体" w:cs="宋体" w:eastAsia="宋体" w:hint="default"/>
                <w:spacing w:val="-99"/>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8</w:t>
            </w:r>
            <w:r>
              <w:rPr>
                <w:rFonts w:ascii="宋体" w:hAnsi="宋体" w:cs="宋体" w:eastAsia="宋体" w:hint="default"/>
                <w:spacing w:val="-5"/>
                <w:sz w:val="18"/>
                <w:szCs w:val="18"/>
              </w:rPr>
              <w:t>）在</w:t>
            </w:r>
            <w:r>
              <w:rPr>
                <w:rFonts w:ascii="宋体" w:hAnsi="宋体" w:cs="宋体" w:eastAsia="宋体" w:hint="default"/>
                <w:sz w:val="18"/>
                <w:szCs w:val="18"/>
              </w:rPr>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2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702" w:type="dxa"/>
            <w:vMerge/>
            <w:tcBorders>
              <w:left w:val="single" w:sz="4" w:space="0" w:color="000000"/>
              <w:right w:val="single" w:sz="4" w:space="0" w:color="000000"/>
            </w:tcBorders>
            <w:shd w:val="clear" w:color="auto" w:fill="D2D2D2"/>
          </w:tcPr>
          <w:p>
            <w:pPr/>
          </w:p>
        </w:tc>
        <w:tc>
          <w:tcPr>
            <w:tcW w:w="1423"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pacing w:val="-1"/>
                <w:sz w:val="18"/>
                <w:szCs w:val="18"/>
              </w:rPr>
              <w:t>股份公司认定是否与承诺人存在同业竞争的董事会或股东大会上，承诺人承诺将按规定进行</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24"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702" w:type="dxa"/>
            <w:vMerge/>
            <w:tcBorders>
              <w:left w:val="single" w:sz="4" w:space="0" w:color="000000"/>
              <w:right w:val="single" w:sz="4" w:space="0" w:color="000000"/>
            </w:tcBorders>
            <w:shd w:val="clear" w:color="auto" w:fill="D2D2D2"/>
          </w:tcPr>
          <w:p>
            <w:pPr/>
          </w:p>
        </w:tc>
        <w:tc>
          <w:tcPr>
            <w:tcW w:w="1423"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723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回避，不参与表决。</w:t>
            </w:r>
          </w:p>
        </w:tc>
        <w:tc>
          <w:tcPr>
            <w:tcW w:w="994"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924"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1702" w:type="dxa"/>
            <w:vMerge/>
            <w:tcBorders>
              <w:left w:val="single" w:sz="4" w:space="0" w:color="000000"/>
              <w:right w:val="single" w:sz="4" w:space="0" w:color="000000"/>
            </w:tcBorders>
            <w:shd w:val="clear" w:color="auto" w:fill="D2D2D2"/>
          </w:tcPr>
          <w:p>
            <w:pPr/>
          </w:p>
        </w:tc>
        <w:tc>
          <w:tcPr>
            <w:tcW w:w="1423"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723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公司股票自挂牌上市之日起三年内，一旦出现连续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个交易日公司股票收盘价均低于公司</w:t>
            </w:r>
          </w:p>
        </w:tc>
        <w:tc>
          <w:tcPr>
            <w:tcW w:w="994"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924"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02" w:type="dxa"/>
            <w:vMerge/>
            <w:tcBorders>
              <w:left w:val="single" w:sz="4" w:space="0" w:color="000000"/>
              <w:right w:val="single" w:sz="4" w:space="0" w:color="000000"/>
            </w:tcBorders>
            <w:shd w:val="clear" w:color="auto" w:fill="D2D2D2"/>
          </w:tcPr>
          <w:p>
            <w:pPr/>
          </w:p>
        </w:tc>
        <w:tc>
          <w:tcPr>
            <w:tcW w:w="1423"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当日已公告每股净资产（当日已公告每股净资产为：</w:t>
            </w:r>
            <w:r>
              <w:rPr>
                <w:rFonts w:ascii="Times New Roman" w:hAnsi="Times New Roman" w:cs="Times New Roman" w:eastAsia="Times New Roman" w:hint="default"/>
                <w:sz w:val="18"/>
                <w:szCs w:val="18"/>
              </w:rPr>
              <w:t>1</w:t>
            </w:r>
            <w:r>
              <w:rPr>
                <w:rFonts w:ascii="宋体" w:hAnsi="宋体" w:cs="宋体" w:eastAsia="宋体" w:hint="default"/>
                <w:sz w:val="18"/>
                <w:szCs w:val="18"/>
              </w:rPr>
              <w:t>、发行人最近一期报告期期末公告的</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24" w:type="dxa"/>
            <w:tcBorders>
              <w:top w:val="nil" w:sz="6" w:space="0" w:color="auto"/>
              <w:left w:val="single" w:sz="4" w:space="0" w:color="000000"/>
              <w:bottom w:val="nil" w:sz="6" w:space="0" w:color="auto"/>
              <w:right w:val="single" w:sz="4" w:space="0" w:color="000000"/>
            </w:tcBorders>
          </w:tcPr>
          <w:p>
            <w:pPr/>
          </w:p>
        </w:tc>
      </w:tr>
      <w:tr>
        <w:trPr>
          <w:trHeight w:val="932" w:hRule="exact"/>
        </w:trPr>
        <w:tc>
          <w:tcPr>
            <w:tcW w:w="1702" w:type="dxa"/>
            <w:vMerge/>
            <w:tcBorders>
              <w:left w:val="single" w:sz="4" w:space="0" w:color="000000"/>
              <w:right w:val="single" w:sz="4" w:space="0" w:color="000000"/>
            </w:tcBorders>
            <w:shd w:val="clear" w:color="auto" w:fill="D2D2D2"/>
          </w:tcPr>
          <w:p>
            <w:pPr/>
          </w:p>
        </w:tc>
        <w:tc>
          <w:tcPr>
            <w:tcW w:w="142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00" w:lineRule="auto"/>
              <w:ind w:left="23" w:right="26"/>
              <w:jc w:val="left"/>
              <w:rPr>
                <w:rFonts w:ascii="宋体" w:hAnsi="宋体" w:cs="宋体" w:eastAsia="宋体" w:hint="default"/>
                <w:sz w:val="18"/>
                <w:szCs w:val="18"/>
              </w:rPr>
            </w:pPr>
            <w:r>
              <w:rPr>
                <w:rFonts w:ascii="宋体" w:hAnsi="宋体" w:cs="宋体" w:eastAsia="宋体" w:hint="default"/>
                <w:sz w:val="18"/>
                <w:szCs w:val="18"/>
              </w:rPr>
              <w:t>兰山英</w:t>
            </w:r>
            <w:r>
              <w:rPr>
                <w:rFonts w:ascii="Times New Roman" w:hAnsi="Times New Roman" w:cs="Times New Roman" w:eastAsia="Times New Roman" w:hint="default"/>
                <w:sz w:val="18"/>
                <w:szCs w:val="18"/>
              </w:rPr>
              <w:t>;</w:t>
            </w:r>
            <w:r>
              <w:rPr>
                <w:rFonts w:ascii="宋体" w:hAnsi="宋体" w:cs="宋体" w:eastAsia="宋体" w:hint="default"/>
                <w:sz w:val="18"/>
                <w:szCs w:val="18"/>
              </w:rPr>
              <w:t>余荣清</w:t>
            </w:r>
            <w:r>
              <w:rPr>
                <w:rFonts w:ascii="Times New Roman" w:hAnsi="Times New Roman" w:cs="Times New Roman" w:eastAsia="Times New Roman" w:hint="default"/>
                <w:sz w:val="18"/>
                <w:szCs w:val="18"/>
              </w:rPr>
              <w:t>;</w:t>
            </w:r>
            <w:r>
              <w:rPr>
                <w:rFonts w:ascii="宋体" w:hAnsi="宋体" w:cs="宋体" w:eastAsia="宋体" w:hint="default"/>
                <w:sz w:val="18"/>
                <w:szCs w:val="18"/>
              </w:rPr>
              <w:t>余 仲清</w:t>
            </w:r>
            <w:r>
              <w:rPr>
                <w:rFonts w:ascii="Times New Roman" w:hAnsi="Times New Roman" w:cs="Times New Roman" w:eastAsia="Times New Roman" w:hint="default"/>
                <w:sz w:val="18"/>
                <w:szCs w:val="18"/>
              </w:rPr>
              <w:t>;</w:t>
            </w:r>
            <w:r>
              <w:rPr>
                <w:rFonts w:ascii="宋体" w:hAnsi="宋体" w:cs="宋体" w:eastAsia="宋体" w:hint="default"/>
                <w:sz w:val="18"/>
                <w:szCs w:val="18"/>
              </w:rPr>
              <w:t>张培兴</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00" w:lineRule="auto"/>
              <w:ind w:left="23"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稳定股 价承诺</w:t>
            </w: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309" w:lineRule="auto" w:before="5"/>
              <w:ind w:left="21" w:right="23"/>
              <w:jc w:val="both"/>
              <w:rPr>
                <w:rFonts w:ascii="宋体" w:hAnsi="宋体" w:cs="宋体" w:eastAsia="宋体" w:hint="default"/>
                <w:sz w:val="18"/>
                <w:szCs w:val="18"/>
              </w:rPr>
            </w:pPr>
            <w:r>
              <w:rPr>
                <w:rFonts w:ascii="宋体" w:hAnsi="宋体" w:cs="宋体" w:eastAsia="宋体" w:hint="default"/>
                <w:sz w:val="18"/>
                <w:szCs w:val="18"/>
              </w:rPr>
              <w:t>每股净资产，或者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、如最近一期报告期期末财务数据公告后至下一报告期期末财务数据公 </w:t>
            </w:r>
            <w:r>
              <w:rPr>
                <w:rFonts w:ascii="宋体" w:hAnsi="宋体" w:cs="宋体" w:eastAsia="宋体" w:hint="default"/>
                <w:spacing w:val="-1"/>
                <w:sz w:val="18"/>
                <w:szCs w:val="18"/>
              </w:rPr>
              <w:t>告前期间因分红、配股、转增等情况导致发行人股份或权益发生变化时，则为经调整后的每</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
                <w:sz w:val="18"/>
                <w:szCs w:val="18"/>
              </w:rPr>
              <w:t>股净资产）情形时，则触发发行人回购股份稳定股价的义务。本人承诺就公司稳定股价方案</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21" w:right="0"/>
              <w:jc w:val="left"/>
              <w:rPr>
                <w:rFonts w:ascii="Times New Roman" w:hAnsi="Times New Roman" w:cs="Times New Roman" w:eastAsia="Times New Roman" w:hint="default"/>
                <w:sz w:val="18"/>
                <w:szCs w:val="18"/>
              </w:rPr>
            </w:pPr>
            <w:r>
              <w:rPr>
                <w:rFonts w:ascii="Times New Roman"/>
                <w:sz w:val="18"/>
              </w:rPr>
              <w:t>2019-08-11</w:t>
            </w:r>
          </w:p>
        </w:tc>
        <w:tc>
          <w:tcPr>
            <w:tcW w:w="92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6" w:lineRule="auto"/>
              <w:ind w:left="23" w:right="168"/>
              <w:jc w:val="left"/>
              <w:rPr>
                <w:rFonts w:ascii="宋体" w:hAnsi="宋体" w:cs="宋体" w:eastAsia="宋体" w:hint="default"/>
                <w:sz w:val="18"/>
                <w:szCs w:val="18"/>
              </w:rPr>
            </w:pPr>
            <w:r>
              <w:rPr>
                <w:rFonts w:ascii="宋体" w:hAnsi="宋体" w:cs="宋体" w:eastAsia="宋体" w:hint="default"/>
                <w:sz w:val="18"/>
                <w:szCs w:val="18"/>
              </w:rPr>
              <w:t>已履行完 毕</w:t>
            </w:r>
          </w:p>
        </w:tc>
      </w:tr>
      <w:tr>
        <w:trPr>
          <w:trHeight w:val="312" w:hRule="exact"/>
        </w:trPr>
        <w:tc>
          <w:tcPr>
            <w:tcW w:w="1702" w:type="dxa"/>
            <w:vMerge/>
            <w:tcBorders>
              <w:left w:val="single" w:sz="4" w:space="0" w:color="000000"/>
              <w:right w:val="single" w:sz="4" w:space="0" w:color="000000"/>
            </w:tcBorders>
            <w:shd w:val="clear" w:color="auto" w:fill="D2D2D2"/>
          </w:tcPr>
          <w:p>
            <w:pPr/>
          </w:p>
        </w:tc>
        <w:tc>
          <w:tcPr>
            <w:tcW w:w="1423"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1"/>
                <w:sz w:val="18"/>
                <w:szCs w:val="18"/>
              </w:rPr>
              <w:t>以本人的董事身份（如有）在董事会上投赞成票，并以所拥有的全部表决票数在股东大会上</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24"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702" w:type="dxa"/>
            <w:vMerge/>
            <w:tcBorders>
              <w:left w:val="single" w:sz="4" w:space="0" w:color="000000"/>
              <w:bottom w:val="single" w:sz="4" w:space="0" w:color="000000"/>
              <w:right w:val="single" w:sz="4" w:space="0" w:color="000000"/>
            </w:tcBorders>
            <w:shd w:val="clear" w:color="auto" w:fill="D2D2D2"/>
          </w:tcPr>
          <w:p>
            <w:pPr/>
          </w:p>
        </w:tc>
        <w:tc>
          <w:tcPr>
            <w:tcW w:w="1423"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723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投赞成票。</w:t>
            </w:r>
          </w:p>
        </w:tc>
        <w:tc>
          <w:tcPr>
            <w:tcW w:w="994"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924"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1180" w:right="1160"/>
        </w:sectPr>
      </w:pPr>
    </w:p>
    <w:p>
      <w:pPr>
        <w:spacing w:line="240" w:lineRule="auto" w:before="2"/>
        <w:rPr>
          <w:rFonts w:ascii="Times New Roman" w:hAnsi="Times New Roman" w:cs="Times New Roman" w:eastAsia="Times New Roman" w:hint="default"/>
          <w:sz w:val="3"/>
          <w:szCs w:val="3"/>
        </w:rPr>
      </w:pPr>
      <w:r>
        <w:rPr/>
        <w:pict>
          <v:shape style="position:absolute;margin-left:527.069031pt;margin-top:454.776001pt;width:154.4pt;height:77.05pt;mso-position-horizontal-relative:page;mso-position-vertical-relative:page;z-index:-109444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17"/>
                      <w:szCs w:val="17"/>
                    </w:rPr>
                  </w:pPr>
                </w:p>
                <w:p>
                  <w:pPr>
                    <w:pStyle w:val="BodyText"/>
                    <w:spacing w:line="240" w:lineRule="auto"/>
                    <w:ind w:left="0" w:right="0"/>
                    <w:jc w:val="left"/>
                  </w:pPr>
                  <w:r>
                    <w:rPr/>
                    <w:t>本公司未遵守上述承诺的，</w:t>
                  </w:r>
                </w:p>
              </w:txbxContent>
            </v:textbox>
            <w10:wrap type="none"/>
          </v:shape>
        </w:pict>
      </w:r>
      <w:r>
        <w:rPr/>
        <w:pict>
          <v:group style="position:absolute;margin-left:632.229980pt;margin-top:454.776001pt;width:49.25pt;height:77.05pt;mso-position-horizontal-relative:page;mso-position-vertical-relative:page;z-index:-1094416" coordorigin="12645,9096" coordsize="985,1541">
            <v:shape style="position:absolute;left:12645;top:9096;width:985;height:1541" coordorigin="12645,9096" coordsize="985,1541" path="m12645,10636l13629,10636,13629,9096,12645,9096,12645,10636xe" filled="true" fillcolor="#ffffff" stroked="false">
              <v:path arrowok="t"/>
              <v:fill type="solid"/>
            </v:shape>
            <w10:wrap type="none"/>
          </v:group>
        </w:pict>
      </w:r>
    </w:p>
    <w:tbl>
      <w:tblPr>
        <w:tblW w:w="0" w:type="auto"/>
        <w:jc w:val="left"/>
        <w:tblInd w:w="106" w:type="dxa"/>
        <w:tblLayout w:type="fixed"/>
        <w:tblCellMar>
          <w:top w:w="0" w:type="dxa"/>
          <w:left w:w="0" w:type="dxa"/>
          <w:bottom w:w="0" w:type="dxa"/>
          <w:right w:w="0" w:type="dxa"/>
        </w:tblCellMar>
        <w:tblLook w:val="01E0"/>
      </w:tblPr>
      <w:tblGrid>
        <w:gridCol w:w="1702"/>
        <w:gridCol w:w="1423"/>
        <w:gridCol w:w="994"/>
        <w:gridCol w:w="7230"/>
        <w:gridCol w:w="994"/>
        <w:gridCol w:w="991"/>
        <w:gridCol w:w="924"/>
      </w:tblGrid>
      <w:tr>
        <w:trPr>
          <w:trHeight w:val="376" w:hRule="exact"/>
        </w:trPr>
        <w:tc>
          <w:tcPr>
            <w:tcW w:w="1702" w:type="dxa"/>
            <w:vMerge w:val="restart"/>
            <w:tcBorders>
              <w:top w:val="single" w:sz="15" w:space="0" w:color="000000"/>
              <w:left w:val="single" w:sz="4" w:space="0" w:color="000000"/>
              <w:right w:val="single" w:sz="4" w:space="0" w:color="000000"/>
            </w:tcBorders>
            <w:shd w:val="clear" w:color="auto" w:fill="D2D2D2"/>
          </w:tcPr>
          <w:p>
            <w:pPr/>
          </w:p>
        </w:tc>
        <w:tc>
          <w:tcPr>
            <w:tcW w:w="1423" w:type="dxa"/>
            <w:tcBorders>
              <w:top w:val="single" w:sz="15" w:space="0" w:color="000000"/>
              <w:left w:val="single" w:sz="4" w:space="0" w:color="000000"/>
              <w:bottom w:val="nil" w:sz="6" w:space="0" w:color="auto"/>
              <w:right w:val="single" w:sz="4" w:space="0" w:color="000000"/>
            </w:tcBorders>
          </w:tcPr>
          <w:p>
            <w:pPr/>
          </w:p>
        </w:tc>
        <w:tc>
          <w:tcPr>
            <w:tcW w:w="994" w:type="dxa"/>
            <w:tcBorders>
              <w:top w:val="single" w:sz="15" w:space="0" w:color="000000"/>
              <w:left w:val="single" w:sz="4" w:space="0" w:color="000000"/>
              <w:bottom w:val="nil" w:sz="6" w:space="0" w:color="auto"/>
              <w:right w:val="single" w:sz="4" w:space="0" w:color="000000"/>
            </w:tcBorders>
          </w:tcPr>
          <w:p>
            <w:pPr/>
          </w:p>
        </w:tc>
        <w:tc>
          <w:tcPr>
            <w:tcW w:w="7230"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公司股票自挂牌上市之日起三年内，一旦出现连续</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个交易日公司股票收盘价均低于当日</w:t>
            </w:r>
          </w:p>
        </w:tc>
        <w:tc>
          <w:tcPr>
            <w:tcW w:w="994" w:type="dxa"/>
            <w:tcBorders>
              <w:top w:val="single" w:sz="15" w:space="0" w:color="000000"/>
              <w:left w:val="single" w:sz="4" w:space="0" w:color="000000"/>
              <w:bottom w:val="nil" w:sz="6" w:space="0" w:color="auto"/>
              <w:right w:val="single" w:sz="4" w:space="0" w:color="000000"/>
            </w:tcBorders>
          </w:tcPr>
          <w:p>
            <w:pPr/>
          </w:p>
        </w:tc>
        <w:tc>
          <w:tcPr>
            <w:tcW w:w="991" w:type="dxa"/>
            <w:tcBorders>
              <w:top w:val="single" w:sz="15" w:space="0" w:color="000000"/>
              <w:left w:val="single" w:sz="4" w:space="0" w:color="000000"/>
              <w:bottom w:val="nil" w:sz="6" w:space="0" w:color="auto"/>
              <w:right w:val="single" w:sz="4" w:space="0" w:color="000000"/>
            </w:tcBorders>
          </w:tcPr>
          <w:p>
            <w:pPr/>
          </w:p>
        </w:tc>
        <w:tc>
          <w:tcPr>
            <w:tcW w:w="924" w:type="dxa"/>
            <w:tcBorders>
              <w:top w:val="single" w:sz="15" w:space="0" w:color="000000"/>
              <w:left w:val="single" w:sz="4" w:space="0" w:color="000000"/>
              <w:bottom w:val="nil" w:sz="6" w:space="0" w:color="auto"/>
              <w:right w:val="single" w:sz="4" w:space="0" w:color="000000"/>
            </w:tcBorders>
          </w:tcPr>
          <w:p>
            <w:pPr/>
          </w:p>
        </w:tc>
      </w:tr>
      <w:tr>
        <w:trPr>
          <w:trHeight w:val="311" w:hRule="exact"/>
        </w:trPr>
        <w:tc>
          <w:tcPr>
            <w:tcW w:w="1702" w:type="dxa"/>
            <w:vMerge/>
            <w:tcBorders>
              <w:left w:val="single" w:sz="4" w:space="0" w:color="000000"/>
              <w:right w:val="single" w:sz="4" w:space="0" w:color="000000"/>
            </w:tcBorders>
            <w:shd w:val="clear" w:color="auto" w:fill="D2D2D2"/>
          </w:tcPr>
          <w:p>
            <w:pPr/>
          </w:p>
        </w:tc>
        <w:tc>
          <w:tcPr>
            <w:tcW w:w="1423"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1" w:right="0"/>
              <w:jc w:val="left"/>
              <w:rPr>
                <w:rFonts w:ascii="宋体" w:hAnsi="宋体" w:cs="宋体" w:eastAsia="宋体" w:hint="default"/>
                <w:sz w:val="18"/>
                <w:szCs w:val="18"/>
              </w:rPr>
            </w:pPr>
            <w:r>
              <w:rPr>
                <w:rFonts w:ascii="宋体" w:hAnsi="宋体" w:cs="宋体" w:eastAsia="宋体" w:hint="default"/>
                <w:sz w:val="18"/>
                <w:szCs w:val="18"/>
              </w:rPr>
              <w:t>已公告每股净资产（当日已公告每股净资产为：</w:t>
            </w:r>
            <w:r>
              <w:rPr>
                <w:rFonts w:ascii="Times New Roman" w:hAnsi="Times New Roman" w:cs="Times New Roman" w:eastAsia="Times New Roman" w:hint="default"/>
                <w:sz w:val="18"/>
                <w:szCs w:val="18"/>
              </w:rPr>
              <w:t>1</w:t>
            </w:r>
            <w:r>
              <w:rPr>
                <w:rFonts w:ascii="宋体" w:hAnsi="宋体" w:cs="宋体" w:eastAsia="宋体" w:hint="default"/>
                <w:sz w:val="18"/>
                <w:szCs w:val="18"/>
              </w:rPr>
              <w:t>、发行人最近一期报告期期末公告的每股</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2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2" w:type="dxa"/>
            <w:vMerge/>
            <w:tcBorders>
              <w:left w:val="single" w:sz="4" w:space="0" w:color="000000"/>
              <w:right w:val="single" w:sz="4" w:space="0" w:color="000000"/>
            </w:tcBorders>
            <w:shd w:val="clear" w:color="auto" w:fill="D2D2D2"/>
          </w:tcPr>
          <w:p>
            <w:pPr/>
          </w:p>
        </w:tc>
        <w:tc>
          <w:tcPr>
            <w:tcW w:w="1423"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净资产，或者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、如最近一期报告期期末财务数据公告后至下一报告期期末财务数据公告前</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2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702" w:type="dxa"/>
            <w:vMerge/>
            <w:tcBorders>
              <w:left w:val="single" w:sz="4" w:space="0" w:color="000000"/>
              <w:right w:val="single" w:sz="4" w:space="0" w:color="000000"/>
            </w:tcBorders>
            <w:shd w:val="clear" w:color="auto" w:fill="D2D2D2"/>
          </w:tcPr>
          <w:p>
            <w:pPr/>
          </w:p>
        </w:tc>
        <w:tc>
          <w:tcPr>
            <w:tcW w:w="1423"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pacing w:val="-1"/>
                <w:sz w:val="18"/>
                <w:szCs w:val="18"/>
              </w:rPr>
              <w:t>期间因分红、配股、转增等情况导致发行人股份或权益发生变化时，则为经调整后的每股净</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2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2" w:type="dxa"/>
            <w:vMerge/>
            <w:tcBorders>
              <w:left w:val="single" w:sz="4" w:space="0" w:color="000000"/>
              <w:right w:val="single" w:sz="4" w:space="0" w:color="000000"/>
            </w:tcBorders>
            <w:shd w:val="clear" w:color="auto" w:fill="D2D2D2"/>
          </w:tcPr>
          <w:p>
            <w:pPr/>
          </w:p>
        </w:tc>
        <w:tc>
          <w:tcPr>
            <w:tcW w:w="1423"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1"/>
                <w:sz w:val="18"/>
                <w:szCs w:val="18"/>
              </w:rPr>
              <w:t>资产）情形时，则触发发行人回购股份稳定股价的义务。本人承诺就公司稳定股价方案以本</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2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2" w:type="dxa"/>
            <w:vMerge/>
            <w:tcBorders>
              <w:left w:val="single" w:sz="4" w:space="0" w:color="000000"/>
              <w:right w:val="single" w:sz="4" w:space="0" w:color="000000"/>
            </w:tcBorders>
            <w:shd w:val="clear" w:color="auto" w:fill="D2D2D2"/>
          </w:tcPr>
          <w:p>
            <w:pPr/>
          </w:p>
        </w:tc>
        <w:tc>
          <w:tcPr>
            <w:tcW w:w="1423"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1"/>
                <w:sz w:val="18"/>
                <w:szCs w:val="18"/>
              </w:rPr>
              <w:t>人的董事身份（如有）在董事会上投赞成票，并以所拥有的全部表决票数在股东大会上投赞</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2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702" w:type="dxa"/>
            <w:vMerge/>
            <w:tcBorders>
              <w:left w:val="single" w:sz="4" w:space="0" w:color="000000"/>
              <w:right w:val="single" w:sz="4" w:space="0" w:color="000000"/>
            </w:tcBorders>
            <w:shd w:val="clear" w:color="auto" w:fill="D2D2D2"/>
          </w:tcPr>
          <w:p>
            <w:pPr/>
          </w:p>
        </w:tc>
        <w:tc>
          <w:tcPr>
            <w:tcW w:w="1423"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成票</w:t>
            </w:r>
            <w:r>
              <w:rPr>
                <w:rFonts w:ascii="宋体" w:hAnsi="宋体" w:cs="宋体" w:eastAsia="宋体" w:hint="default"/>
                <w:spacing w:val="-5"/>
                <w:sz w:val="18"/>
                <w:szCs w:val="18"/>
              </w:rPr>
              <w:t>。</w:t>
            </w:r>
            <w:r>
              <w:rPr>
                <w:rFonts w:ascii="宋体" w:hAnsi="宋体" w:cs="宋体" w:eastAsia="宋体" w:hint="default"/>
                <w:sz w:val="18"/>
                <w:szCs w:val="18"/>
              </w:rPr>
              <w:t>就本人回购公司股份的相应措施</w:t>
            </w:r>
            <w:r>
              <w:rPr>
                <w:rFonts w:ascii="宋体" w:hAnsi="宋体" w:cs="宋体" w:eastAsia="宋体" w:hint="default"/>
                <w:spacing w:val="-5"/>
                <w:sz w:val="18"/>
                <w:szCs w:val="18"/>
              </w:rPr>
              <w:t>，</w:t>
            </w:r>
            <w:r>
              <w:rPr>
                <w:rFonts w:ascii="宋体" w:hAnsi="宋体" w:cs="宋体" w:eastAsia="宋体" w:hint="default"/>
                <w:sz w:val="18"/>
                <w:szCs w:val="18"/>
              </w:rPr>
              <w:t>本人承诺如下</w:t>
            </w:r>
            <w:r>
              <w:rPr>
                <w:rFonts w:ascii="宋体" w:hAnsi="宋体" w:cs="宋体" w:eastAsia="宋体" w:hint="default"/>
                <w:spacing w:val="-96"/>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5"/>
                <w:sz w:val="18"/>
                <w:szCs w:val="18"/>
              </w:rPr>
              <w:t>）</w:t>
            </w:r>
            <w:r>
              <w:rPr>
                <w:rFonts w:ascii="宋体" w:hAnsi="宋体" w:cs="宋体" w:eastAsia="宋体" w:hint="default"/>
                <w:sz w:val="18"/>
                <w:szCs w:val="18"/>
              </w:rPr>
              <w:t>公司控股股东</w:t>
            </w:r>
            <w:r>
              <w:rPr>
                <w:rFonts w:ascii="宋体" w:hAnsi="宋体" w:cs="宋体" w:eastAsia="宋体" w:hint="default"/>
                <w:spacing w:val="-5"/>
                <w:sz w:val="18"/>
                <w:szCs w:val="18"/>
              </w:rPr>
              <w:t>、</w:t>
            </w:r>
            <w:r>
              <w:rPr>
                <w:rFonts w:ascii="宋体" w:hAnsi="宋体" w:cs="宋体" w:eastAsia="宋体" w:hint="default"/>
                <w:sz w:val="18"/>
                <w:szCs w:val="18"/>
              </w:rPr>
              <w:t>实际控制人增</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24" w:type="dxa"/>
            <w:tcBorders>
              <w:top w:val="nil" w:sz="6" w:space="0" w:color="auto"/>
              <w:left w:val="single" w:sz="4" w:space="0" w:color="000000"/>
              <w:bottom w:val="nil" w:sz="6" w:space="0" w:color="auto"/>
              <w:right w:val="single" w:sz="4" w:space="0" w:color="000000"/>
            </w:tcBorders>
          </w:tcPr>
          <w:p>
            <w:pPr/>
          </w:p>
        </w:tc>
      </w:tr>
      <w:tr>
        <w:trPr>
          <w:trHeight w:val="1244" w:hRule="exact"/>
        </w:trPr>
        <w:tc>
          <w:tcPr>
            <w:tcW w:w="1702" w:type="dxa"/>
            <w:vMerge/>
            <w:tcBorders>
              <w:left w:val="single" w:sz="4" w:space="0" w:color="000000"/>
              <w:right w:val="single" w:sz="4" w:space="0" w:color="000000"/>
            </w:tcBorders>
            <w:shd w:val="clear" w:color="auto" w:fill="D2D2D2"/>
          </w:tcPr>
          <w:p>
            <w:pPr/>
          </w:p>
        </w:tc>
        <w:tc>
          <w:tcPr>
            <w:tcW w:w="1423"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00" w:lineRule="auto"/>
              <w:ind w:left="23" w:right="26"/>
              <w:jc w:val="both"/>
              <w:rPr>
                <w:rFonts w:ascii="宋体" w:hAnsi="宋体" w:cs="宋体" w:eastAsia="宋体" w:hint="default"/>
                <w:sz w:val="18"/>
                <w:szCs w:val="18"/>
              </w:rPr>
            </w:pPr>
            <w:r>
              <w:rPr>
                <w:rFonts w:ascii="宋体" w:hAnsi="宋体" w:cs="宋体" w:eastAsia="宋体" w:hint="default"/>
                <w:sz w:val="18"/>
                <w:szCs w:val="18"/>
              </w:rPr>
              <w:t>陈小华</w:t>
            </w:r>
            <w:r>
              <w:rPr>
                <w:rFonts w:ascii="Times New Roman" w:hAnsi="Times New Roman" w:cs="Times New Roman" w:eastAsia="Times New Roman" w:hint="default"/>
                <w:sz w:val="18"/>
                <w:szCs w:val="18"/>
              </w:rPr>
              <w:t>;</w:t>
            </w:r>
            <w:r>
              <w:rPr>
                <w:rFonts w:ascii="宋体" w:hAnsi="宋体" w:cs="宋体" w:eastAsia="宋体" w:hint="default"/>
                <w:sz w:val="18"/>
                <w:szCs w:val="18"/>
              </w:rPr>
              <w:t>兰山英</w:t>
            </w:r>
            <w:r>
              <w:rPr>
                <w:rFonts w:ascii="Times New Roman" w:hAnsi="Times New Roman" w:cs="Times New Roman" w:eastAsia="Times New Roman" w:hint="default"/>
                <w:sz w:val="18"/>
                <w:szCs w:val="18"/>
              </w:rPr>
              <w:t>;</w:t>
            </w:r>
            <w:r>
              <w:rPr>
                <w:rFonts w:ascii="宋体" w:hAnsi="宋体" w:cs="宋体" w:eastAsia="宋体" w:hint="default"/>
                <w:sz w:val="18"/>
                <w:szCs w:val="18"/>
              </w:rPr>
              <w:t>施 建豪</w:t>
            </w:r>
            <w:r>
              <w:rPr>
                <w:rFonts w:ascii="Times New Roman" w:hAnsi="Times New Roman" w:cs="Times New Roman" w:eastAsia="Times New Roman" w:hint="default"/>
                <w:sz w:val="18"/>
                <w:szCs w:val="18"/>
              </w:rPr>
              <w:t>;</w:t>
            </w:r>
            <w:r>
              <w:rPr>
                <w:rFonts w:ascii="宋体" w:hAnsi="宋体" w:cs="宋体" w:eastAsia="宋体" w:hint="default"/>
                <w:sz w:val="18"/>
                <w:szCs w:val="18"/>
              </w:rPr>
              <w:t>余荣清</w:t>
            </w:r>
            <w:r>
              <w:rPr>
                <w:rFonts w:ascii="Times New Roman" w:hAnsi="Times New Roman" w:cs="Times New Roman" w:eastAsia="Times New Roman" w:hint="default"/>
                <w:sz w:val="18"/>
                <w:szCs w:val="18"/>
              </w:rPr>
              <w:t>;</w:t>
            </w:r>
            <w:r>
              <w:rPr>
                <w:rFonts w:ascii="宋体" w:hAnsi="宋体" w:cs="宋体" w:eastAsia="宋体" w:hint="default"/>
                <w:sz w:val="18"/>
                <w:szCs w:val="18"/>
              </w:rPr>
              <w:t>余仲 清</w:t>
            </w:r>
            <w:r>
              <w:rPr>
                <w:rFonts w:ascii="Times New Roman" w:hAnsi="Times New Roman" w:cs="Times New Roman" w:eastAsia="Times New Roman" w:hint="default"/>
                <w:sz w:val="18"/>
                <w:szCs w:val="18"/>
              </w:rPr>
              <w:t>;</w:t>
            </w:r>
            <w:r>
              <w:rPr>
                <w:rFonts w:ascii="宋体" w:hAnsi="宋体" w:cs="宋体" w:eastAsia="宋体" w:hint="default"/>
                <w:sz w:val="18"/>
                <w:szCs w:val="18"/>
              </w:rPr>
              <w:t>张培兴</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97" w:lineRule="auto" w:before="113"/>
              <w:ind w:left="23"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稳定股 价承诺</w:t>
            </w: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both"/>
              <w:rPr>
                <w:rFonts w:ascii="宋体" w:hAnsi="宋体" w:cs="宋体" w:eastAsia="宋体" w:hint="default"/>
                <w:sz w:val="18"/>
                <w:szCs w:val="18"/>
              </w:rPr>
            </w:pPr>
            <w:r>
              <w:rPr>
                <w:rFonts w:ascii="宋体" w:hAnsi="宋体" w:cs="宋体" w:eastAsia="宋体" w:hint="default"/>
                <w:sz w:val="18"/>
                <w:szCs w:val="18"/>
              </w:rPr>
              <w:t>持公司股份方案实施期限届满之日后的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个交易日公司股票价格均低于公司当日已公告</w:t>
            </w:r>
          </w:p>
          <w:p>
            <w:pPr>
              <w:pStyle w:val="TableParagraph"/>
              <w:spacing w:line="309" w:lineRule="auto" w:before="63"/>
              <w:ind w:left="21" w:right="19"/>
              <w:jc w:val="both"/>
              <w:rPr>
                <w:rFonts w:ascii="宋体" w:hAnsi="宋体" w:cs="宋体" w:eastAsia="宋体" w:hint="default"/>
                <w:sz w:val="18"/>
                <w:szCs w:val="18"/>
              </w:rPr>
            </w:pPr>
            <w:r>
              <w:rPr>
                <w:rFonts w:ascii="宋体" w:hAnsi="宋体" w:cs="宋体" w:eastAsia="宋体" w:hint="default"/>
                <w:spacing w:val="-5"/>
                <w:sz w:val="18"/>
                <w:szCs w:val="18"/>
              </w:rPr>
              <w:t>每股净资产；（</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）公司控股股东、实际控制人增持股份方案实施完毕之日起的</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4"/>
                <w:sz w:val="18"/>
                <w:szCs w:val="18"/>
              </w:rPr>
              <w:t> </w:t>
            </w:r>
            <w:r>
              <w:rPr>
                <w:rFonts w:ascii="宋体" w:hAnsi="宋体" w:cs="宋体" w:eastAsia="宋体" w:hint="default"/>
                <w:spacing w:val="-1"/>
                <w:sz w:val="18"/>
                <w:szCs w:val="18"/>
              </w:rPr>
              <w:t>个月内启动</w:t>
            </w:r>
            <w:r>
              <w:rPr>
                <w:rFonts w:ascii="宋体" w:hAnsi="宋体" w:cs="宋体" w:eastAsia="宋体" w:hint="default"/>
                <w:sz w:val="18"/>
                <w:szCs w:val="18"/>
              </w:rPr>
              <w:t> </w:t>
            </w:r>
            <w:r>
              <w:rPr>
                <w:rFonts w:ascii="宋体" w:hAnsi="宋体" w:cs="宋体" w:eastAsia="宋体" w:hint="default"/>
                <w:spacing w:val="-1"/>
                <w:sz w:val="18"/>
                <w:szCs w:val="18"/>
              </w:rPr>
              <w:t>条件再次被触发。如因相关法律法规、政策变化、自然灾害及其他不可抗力等无法控制的客</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
                <w:sz w:val="18"/>
                <w:szCs w:val="18"/>
              </w:rPr>
              <w:t>观原因导致承诺未能履行、确已无法履行或无法按期履行上述承诺的，相关董事和高级管理</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1" w:right="0"/>
              <w:jc w:val="left"/>
              <w:rPr>
                <w:rFonts w:ascii="Times New Roman" w:hAnsi="Times New Roman" w:cs="Times New Roman" w:eastAsia="Times New Roman" w:hint="default"/>
                <w:sz w:val="18"/>
                <w:szCs w:val="18"/>
              </w:rPr>
            </w:pPr>
            <w:r>
              <w:rPr>
                <w:rFonts w:ascii="Times New Roman"/>
                <w:sz w:val="18"/>
              </w:rPr>
              <w:t>2019-08-11</w:t>
            </w:r>
          </w:p>
        </w:tc>
        <w:tc>
          <w:tcPr>
            <w:tcW w:w="92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3"/>
              <w:ind w:left="23" w:right="168"/>
              <w:jc w:val="left"/>
              <w:rPr>
                <w:rFonts w:ascii="宋体" w:hAnsi="宋体" w:cs="宋体" w:eastAsia="宋体" w:hint="default"/>
                <w:sz w:val="18"/>
                <w:szCs w:val="18"/>
              </w:rPr>
            </w:pPr>
            <w:r>
              <w:rPr>
                <w:rFonts w:ascii="宋体" w:hAnsi="宋体" w:cs="宋体" w:eastAsia="宋体" w:hint="default"/>
                <w:sz w:val="18"/>
                <w:szCs w:val="18"/>
              </w:rPr>
              <w:t>已履行完 毕</w:t>
            </w:r>
          </w:p>
        </w:tc>
      </w:tr>
      <w:tr>
        <w:trPr>
          <w:trHeight w:val="312" w:hRule="exact"/>
        </w:trPr>
        <w:tc>
          <w:tcPr>
            <w:tcW w:w="1702" w:type="dxa"/>
            <w:vMerge/>
            <w:tcBorders>
              <w:left w:val="single" w:sz="4" w:space="0" w:color="000000"/>
              <w:right w:val="single" w:sz="4" w:space="0" w:color="000000"/>
            </w:tcBorders>
            <w:shd w:val="clear" w:color="auto" w:fill="D2D2D2"/>
          </w:tcPr>
          <w:p>
            <w:pPr/>
          </w:p>
        </w:tc>
        <w:tc>
          <w:tcPr>
            <w:tcW w:w="1423"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1"/>
                <w:sz w:val="18"/>
                <w:szCs w:val="18"/>
              </w:rPr>
              <w:t>人员将采取以下措施：通过公司及时、充分披露承诺未能履行、无法履行或无法按期履行的</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2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2" w:type="dxa"/>
            <w:vMerge/>
            <w:tcBorders>
              <w:left w:val="single" w:sz="4" w:space="0" w:color="000000"/>
              <w:right w:val="single" w:sz="4" w:space="0" w:color="000000"/>
            </w:tcBorders>
            <w:shd w:val="clear" w:color="auto" w:fill="D2D2D2"/>
          </w:tcPr>
          <w:p>
            <w:pPr/>
          </w:p>
        </w:tc>
        <w:tc>
          <w:tcPr>
            <w:tcW w:w="1423"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1"/>
                <w:sz w:val="18"/>
                <w:szCs w:val="18"/>
              </w:rPr>
              <w:t>具体原因；向公司及其投资者提出补充承诺或替代承诺，以尽可能保护公司及其投资者的权</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2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2" w:type="dxa"/>
            <w:vMerge/>
            <w:tcBorders>
              <w:left w:val="single" w:sz="4" w:space="0" w:color="000000"/>
              <w:right w:val="single" w:sz="4" w:space="0" w:color="000000"/>
            </w:tcBorders>
            <w:shd w:val="clear" w:color="auto" w:fill="D2D2D2"/>
          </w:tcPr>
          <w:p>
            <w:pPr/>
          </w:p>
        </w:tc>
        <w:tc>
          <w:tcPr>
            <w:tcW w:w="1423"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益。</w:t>
            </w:r>
            <w:r>
              <w:rPr>
                <w:rFonts w:ascii="宋体" w:hAnsi="宋体" w:cs="宋体" w:eastAsia="宋体" w:hint="default"/>
                <w:spacing w:val="1"/>
                <w:sz w:val="18"/>
                <w:szCs w:val="18"/>
              </w:rPr>
              <w:t> </w:t>
            </w:r>
            <w:r>
              <w:rPr>
                <w:rFonts w:ascii="宋体" w:hAnsi="宋体" w:cs="宋体" w:eastAsia="宋体" w:hint="default"/>
                <w:sz w:val="18"/>
                <w:szCs w:val="18"/>
              </w:rPr>
              <w:t>非因相关法律法规、政策变化、自然灾害及其他不可抗力等原因，相关董事和高级管</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2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2" w:type="dxa"/>
            <w:vMerge/>
            <w:tcBorders>
              <w:left w:val="single" w:sz="4" w:space="0" w:color="000000"/>
              <w:right w:val="single" w:sz="4" w:space="0" w:color="000000"/>
            </w:tcBorders>
            <w:shd w:val="clear" w:color="auto" w:fill="D2D2D2"/>
          </w:tcPr>
          <w:p>
            <w:pPr/>
          </w:p>
        </w:tc>
        <w:tc>
          <w:tcPr>
            <w:tcW w:w="1423"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1"/>
                <w:sz w:val="18"/>
                <w:szCs w:val="18"/>
              </w:rPr>
              <w:t>理人员未履行上述承诺，将在发行人股东大会及中国证监会指定报刊上公开说明未履行的具</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2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702" w:type="dxa"/>
            <w:vMerge/>
            <w:tcBorders>
              <w:left w:val="single" w:sz="4" w:space="0" w:color="000000"/>
              <w:right w:val="single" w:sz="4" w:space="0" w:color="000000"/>
            </w:tcBorders>
            <w:shd w:val="clear" w:color="auto" w:fill="D2D2D2"/>
          </w:tcPr>
          <w:p>
            <w:pPr/>
          </w:p>
        </w:tc>
        <w:tc>
          <w:tcPr>
            <w:tcW w:w="1423"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体原因并向发行人股东和社会公众投资者道歉；并将在前述事项发生之日起</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个工作日内停</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2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702" w:type="dxa"/>
            <w:vMerge/>
            <w:tcBorders>
              <w:left w:val="single" w:sz="4" w:space="0" w:color="000000"/>
              <w:right w:val="single" w:sz="4" w:space="0" w:color="000000"/>
            </w:tcBorders>
            <w:shd w:val="clear" w:color="auto" w:fill="D2D2D2"/>
          </w:tcPr>
          <w:p>
            <w:pPr/>
          </w:p>
        </w:tc>
        <w:tc>
          <w:tcPr>
            <w:tcW w:w="1423"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止在发行人处领取薪酬及股东分红（如有</w:t>
            </w:r>
            <w:r>
              <w:rPr>
                <w:rFonts w:ascii="宋体" w:hAnsi="宋体" w:cs="宋体" w:eastAsia="宋体" w:hint="default"/>
                <w:spacing w:val="-92"/>
                <w:sz w:val="18"/>
                <w:szCs w:val="18"/>
              </w:rPr>
              <w:t>）</w:t>
            </w:r>
            <w:r>
              <w:rPr>
                <w:rFonts w:ascii="宋体" w:hAnsi="宋体" w:cs="宋体" w:eastAsia="宋体" w:hint="default"/>
                <w:sz w:val="18"/>
                <w:szCs w:val="18"/>
              </w:rPr>
              <w:t>，同时相关董事</w:t>
            </w:r>
            <w:r>
              <w:rPr>
                <w:rFonts w:ascii="宋体" w:hAnsi="宋体" w:cs="宋体" w:eastAsia="宋体" w:hint="default"/>
                <w:spacing w:val="2"/>
                <w:sz w:val="18"/>
                <w:szCs w:val="18"/>
              </w:rPr>
              <w:t>和</w:t>
            </w:r>
            <w:r>
              <w:rPr>
                <w:rFonts w:ascii="宋体" w:hAnsi="宋体" w:cs="宋体" w:eastAsia="宋体" w:hint="default"/>
                <w:sz w:val="18"/>
                <w:szCs w:val="18"/>
              </w:rPr>
              <w:t>高级管理人员持有的发行人股</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24"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702" w:type="dxa"/>
            <w:vMerge/>
            <w:tcBorders>
              <w:left w:val="single" w:sz="4" w:space="0" w:color="000000"/>
              <w:right w:val="single" w:sz="4" w:space="0" w:color="000000"/>
            </w:tcBorders>
            <w:shd w:val="clear" w:color="auto" w:fill="D2D2D2"/>
          </w:tcPr>
          <w:p>
            <w:pPr/>
          </w:p>
        </w:tc>
        <w:tc>
          <w:tcPr>
            <w:tcW w:w="1423"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723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份不得转让，直至采取相应的股价稳定措施并实施完毕时为止。</w:t>
            </w:r>
          </w:p>
        </w:tc>
        <w:tc>
          <w:tcPr>
            <w:tcW w:w="994"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924"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1702" w:type="dxa"/>
            <w:vMerge/>
            <w:tcBorders>
              <w:left w:val="single" w:sz="4" w:space="0" w:color="000000"/>
              <w:right w:val="single" w:sz="4" w:space="0" w:color="000000"/>
            </w:tcBorders>
            <w:shd w:val="clear" w:color="auto" w:fill="D2D2D2"/>
          </w:tcPr>
          <w:p>
            <w:pPr/>
          </w:p>
        </w:tc>
        <w:tc>
          <w:tcPr>
            <w:tcW w:w="1423"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723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本公司股票自挂牌上市之日起三年内，一旦出现连续</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个交易日公司股票收盘价均低于公</w:t>
            </w:r>
          </w:p>
        </w:tc>
        <w:tc>
          <w:tcPr>
            <w:tcW w:w="994"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924"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02" w:type="dxa"/>
            <w:vMerge/>
            <w:tcBorders>
              <w:left w:val="single" w:sz="4" w:space="0" w:color="000000"/>
              <w:right w:val="single" w:sz="4" w:space="0" w:color="000000"/>
            </w:tcBorders>
            <w:shd w:val="clear" w:color="auto" w:fill="D2D2D2"/>
          </w:tcPr>
          <w:p>
            <w:pPr/>
          </w:p>
        </w:tc>
        <w:tc>
          <w:tcPr>
            <w:tcW w:w="1423"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司当日已公告每股净资产（当日已公告每股净资产为：</w:t>
            </w:r>
            <w:r>
              <w:rPr>
                <w:rFonts w:ascii="Times New Roman" w:hAnsi="Times New Roman" w:cs="Times New Roman" w:eastAsia="Times New Roman" w:hint="default"/>
                <w:sz w:val="18"/>
                <w:szCs w:val="18"/>
              </w:rPr>
              <w:t>1</w:t>
            </w:r>
            <w:r>
              <w:rPr>
                <w:rFonts w:ascii="宋体" w:hAnsi="宋体" w:cs="宋体" w:eastAsia="宋体" w:hint="default"/>
                <w:sz w:val="18"/>
                <w:szCs w:val="18"/>
              </w:rPr>
              <w:t>、发行人最近一期报告期期末公告</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2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2" w:type="dxa"/>
            <w:vMerge/>
            <w:tcBorders>
              <w:left w:val="single" w:sz="4" w:space="0" w:color="000000"/>
              <w:right w:val="single" w:sz="4" w:space="0" w:color="000000"/>
            </w:tcBorders>
            <w:shd w:val="clear" w:color="auto" w:fill="D2D2D2"/>
          </w:tcPr>
          <w:p>
            <w:pPr/>
          </w:p>
        </w:tc>
        <w:tc>
          <w:tcPr>
            <w:tcW w:w="1423"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的每股净资产，或者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、如最近一期报告期期末财务数据公告后至下一报告期期末财务数据</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2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702" w:type="dxa"/>
            <w:vMerge/>
            <w:tcBorders>
              <w:left w:val="single" w:sz="4" w:space="0" w:color="000000"/>
              <w:right w:val="single" w:sz="4" w:space="0" w:color="000000"/>
            </w:tcBorders>
            <w:shd w:val="clear" w:color="auto" w:fill="D2D2D2"/>
          </w:tcPr>
          <w:p>
            <w:pPr/>
          </w:p>
        </w:tc>
        <w:tc>
          <w:tcPr>
            <w:tcW w:w="1423"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pacing w:val="-1"/>
                <w:sz w:val="18"/>
                <w:szCs w:val="18"/>
              </w:rPr>
              <w:t>公告前期间因分红、配股、转增等情况导致发行人股份或权益发生变化时，则为经调整后的</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24"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1702" w:type="dxa"/>
            <w:vMerge/>
            <w:tcBorders>
              <w:left w:val="single" w:sz="4" w:space="0" w:color="000000"/>
              <w:right w:val="single" w:sz="4" w:space="0" w:color="000000"/>
            </w:tcBorders>
            <w:shd w:val="clear" w:color="auto" w:fill="D2D2D2"/>
          </w:tcPr>
          <w:p>
            <w:pPr/>
          </w:p>
        </w:tc>
        <w:tc>
          <w:tcPr>
            <w:tcW w:w="1423"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1"/>
                <w:sz w:val="18"/>
                <w:szCs w:val="18"/>
              </w:rPr>
              <w:t>每股净资产）情形时，本公司将根据《上市公司回购社会公众股份管理办法》的规定向社会</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24" w:type="dxa"/>
            <w:tcBorders>
              <w:top w:val="nil" w:sz="6" w:space="0" w:color="auto"/>
              <w:left w:val="single" w:sz="4" w:space="0" w:color="000000"/>
              <w:bottom w:val="nil" w:sz="6" w:space="0" w:color="auto"/>
              <w:right w:val="single" w:sz="4" w:space="0" w:color="000000"/>
            </w:tcBorders>
          </w:tcPr>
          <w:p>
            <w:pPr/>
          </w:p>
        </w:tc>
      </w:tr>
      <w:tr>
        <w:trPr>
          <w:trHeight w:val="634" w:hRule="exact"/>
        </w:trPr>
        <w:tc>
          <w:tcPr>
            <w:tcW w:w="1702" w:type="dxa"/>
            <w:vMerge/>
            <w:tcBorders>
              <w:left w:val="single" w:sz="4" w:space="0" w:color="000000"/>
              <w:right w:val="single" w:sz="4" w:space="0" w:color="000000"/>
            </w:tcBorders>
            <w:shd w:val="clear" w:color="auto" w:fill="D2D2D2"/>
          </w:tcPr>
          <w:p>
            <w:pPr/>
          </w:p>
        </w:tc>
        <w:tc>
          <w:tcPr>
            <w:tcW w:w="1423"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3" w:right="127"/>
              <w:jc w:val="left"/>
              <w:rPr>
                <w:rFonts w:ascii="宋体" w:hAnsi="宋体" w:cs="宋体" w:eastAsia="宋体" w:hint="default"/>
                <w:sz w:val="18"/>
                <w:szCs w:val="18"/>
              </w:rPr>
            </w:pPr>
            <w:r>
              <w:rPr>
                <w:rFonts w:ascii="宋体" w:hAnsi="宋体" w:cs="宋体" w:eastAsia="宋体" w:hint="default"/>
                <w:sz w:val="18"/>
                <w:szCs w:val="18"/>
              </w:rPr>
              <w:t>苏州恒久光电科 技股份有限公司</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97" w:lineRule="auto" w:before="1"/>
              <w:ind w:left="23"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稳定股 价承诺</w:t>
            </w: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319" w:lineRule="auto" w:before="20"/>
              <w:ind w:left="21" w:right="23"/>
              <w:jc w:val="left"/>
              <w:rPr>
                <w:rFonts w:ascii="宋体" w:hAnsi="宋体" w:cs="宋体" w:eastAsia="宋体" w:hint="default"/>
                <w:sz w:val="18"/>
                <w:szCs w:val="18"/>
              </w:rPr>
            </w:pPr>
            <w:r>
              <w:rPr>
                <w:rFonts w:ascii="宋体" w:hAnsi="宋体" w:cs="宋体" w:eastAsia="宋体" w:hint="default"/>
                <w:spacing w:val="-1"/>
                <w:sz w:val="18"/>
                <w:szCs w:val="18"/>
              </w:rPr>
              <w:t>公众股东回购公司部分股票，以稳定公司股价。如因相关法律法规、政策变化、自然灾害及</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
                <w:sz w:val="18"/>
                <w:szCs w:val="18"/>
              </w:rPr>
              <w:t>其他不可抗力等本公司无法控制的客观原因导致本公司承诺未能履行、确已无法履行或无法</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2019-08-11</w:t>
            </w:r>
          </w:p>
        </w:tc>
        <w:tc>
          <w:tcPr>
            <w:tcW w:w="924"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3" w:right="168"/>
              <w:jc w:val="left"/>
              <w:rPr>
                <w:rFonts w:ascii="宋体" w:hAnsi="宋体" w:cs="宋体" w:eastAsia="宋体" w:hint="default"/>
                <w:sz w:val="18"/>
                <w:szCs w:val="18"/>
              </w:rPr>
            </w:pPr>
            <w:r>
              <w:rPr>
                <w:rFonts w:ascii="宋体" w:hAnsi="宋体" w:cs="宋体" w:eastAsia="宋体" w:hint="default"/>
                <w:sz w:val="18"/>
                <w:szCs w:val="18"/>
              </w:rPr>
              <w:t>已履行完 毕</w:t>
            </w:r>
          </w:p>
        </w:tc>
      </w:tr>
      <w:tr>
        <w:trPr>
          <w:trHeight w:val="312" w:hRule="exact"/>
        </w:trPr>
        <w:tc>
          <w:tcPr>
            <w:tcW w:w="1702" w:type="dxa"/>
            <w:vMerge/>
            <w:tcBorders>
              <w:left w:val="single" w:sz="4" w:space="0" w:color="000000"/>
              <w:right w:val="single" w:sz="4" w:space="0" w:color="000000"/>
            </w:tcBorders>
            <w:shd w:val="clear" w:color="auto" w:fill="D2D2D2"/>
          </w:tcPr>
          <w:p>
            <w:pPr/>
          </w:p>
        </w:tc>
        <w:tc>
          <w:tcPr>
            <w:tcW w:w="1423"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1"/>
                <w:sz w:val="18"/>
                <w:szCs w:val="18"/>
              </w:rPr>
              <w:t>按期履行上述承诺的，本公司将及时、充分披露本公司承诺未能履行、无法履行或无法按期</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2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2" w:type="dxa"/>
            <w:vMerge/>
            <w:tcBorders>
              <w:left w:val="single" w:sz="4" w:space="0" w:color="000000"/>
              <w:right w:val="single" w:sz="4" w:space="0" w:color="000000"/>
            </w:tcBorders>
            <w:shd w:val="clear" w:color="auto" w:fill="D2D2D2"/>
          </w:tcPr>
          <w:p>
            <w:pPr/>
          </w:p>
        </w:tc>
        <w:tc>
          <w:tcPr>
            <w:tcW w:w="1423"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2"/>
                <w:sz w:val="18"/>
                <w:szCs w:val="18"/>
              </w:rPr>
              <w:t>履行的具体原因，并向其投资者提出补充承诺或替代承诺，以尽可能保护投资者的权益。</w:t>
            </w:r>
            <w:r>
              <w:rPr>
                <w:rFonts w:ascii="宋体" w:hAnsi="宋体" w:cs="宋体" w:eastAsia="宋体" w:hint="default"/>
                <w:spacing w:val="-39"/>
                <w:sz w:val="18"/>
                <w:szCs w:val="18"/>
              </w:rPr>
              <w:t> </w:t>
            </w:r>
            <w:r>
              <w:rPr>
                <w:rFonts w:ascii="宋体" w:hAnsi="宋体" w:cs="宋体" w:eastAsia="宋体" w:hint="default"/>
                <w:sz w:val="18"/>
                <w:szCs w:val="18"/>
              </w:rPr>
              <w:t>若</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2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2" w:type="dxa"/>
            <w:vMerge/>
            <w:tcBorders>
              <w:left w:val="single" w:sz="4" w:space="0" w:color="000000"/>
              <w:right w:val="single" w:sz="4" w:space="0" w:color="000000"/>
            </w:tcBorders>
            <w:shd w:val="clear" w:color="auto" w:fill="D2D2D2"/>
          </w:tcPr>
          <w:p>
            <w:pPr/>
          </w:p>
        </w:tc>
        <w:tc>
          <w:tcPr>
            <w:tcW w:w="1423"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3"/>
                <w:sz w:val="18"/>
                <w:szCs w:val="18"/>
              </w:rPr>
              <w:t>非因相关法律法规、政策变化、自然灾害及其他不可抗力等原因，</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2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2" w:type="dxa"/>
            <w:vMerge/>
            <w:tcBorders>
              <w:left w:val="single" w:sz="4" w:space="0" w:color="000000"/>
              <w:right w:val="single" w:sz="4" w:space="0" w:color="000000"/>
            </w:tcBorders>
            <w:shd w:val="clear" w:color="auto" w:fill="D2D2D2"/>
          </w:tcPr>
          <w:p>
            <w:pPr/>
          </w:p>
        </w:tc>
        <w:tc>
          <w:tcPr>
            <w:tcW w:w="1423"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72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本公司将在股东大会及中国证监会指定报刊上公开说明未履行的具体原因并向股东和社会</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24"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1702" w:type="dxa"/>
            <w:vMerge/>
            <w:tcBorders>
              <w:left w:val="single" w:sz="4" w:space="0" w:color="000000"/>
              <w:bottom w:val="single" w:sz="4" w:space="0" w:color="000000"/>
              <w:right w:val="single" w:sz="4" w:space="0" w:color="000000"/>
            </w:tcBorders>
            <w:shd w:val="clear" w:color="auto" w:fill="D2D2D2"/>
          </w:tcPr>
          <w:p>
            <w:pPr/>
          </w:p>
        </w:tc>
        <w:tc>
          <w:tcPr>
            <w:tcW w:w="1423"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723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公众投资者道歉，并将以单次不超过上一会计年度经审计的归属于母公司的可分配利润的</w:t>
            </w:r>
          </w:p>
        </w:tc>
        <w:tc>
          <w:tcPr>
            <w:tcW w:w="994"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924"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260" w:left="1180" w:right="1160"/>
        </w:sectPr>
      </w:pPr>
    </w:p>
    <w:p>
      <w:pPr>
        <w:spacing w:line="240" w:lineRule="auto" w:before="2"/>
        <w:rPr>
          <w:rFonts w:ascii="Times New Roman" w:hAnsi="Times New Roman" w:cs="Times New Roman" w:eastAsia="Times New Roman" w:hint="default"/>
          <w:sz w:val="3"/>
          <w:szCs w:val="3"/>
        </w:rPr>
      </w:pPr>
      <w:r>
        <w:rPr/>
        <w:pict>
          <v:shape style="position:absolute;margin-left:518.059998pt;margin-top:261.170013pt;width:163.4pt;height:124.85pt;mso-position-horizontal-relative:page;mso-position-vertical-relative:page;z-index:-1094392" type="#_x0000_t202" filled="false" stroked="false">
            <v:textbox inset="0,0,0,0">
              <w:txbxContent>
                <w:p>
                  <w:pPr>
                    <w:spacing w:line="240" w:lineRule="auto" w:before="3"/>
                    <w:rPr>
                      <w:rFonts w:ascii="Times New Roman" w:hAnsi="Times New Roman" w:cs="Times New Roman" w:eastAsia="Times New Roman" w:hint="default"/>
                      <w:sz w:val="24"/>
                      <w:szCs w:val="24"/>
                    </w:rPr>
                  </w:pPr>
                </w:p>
                <w:p>
                  <w:pPr>
                    <w:pStyle w:val="BodyText"/>
                    <w:spacing w:line="240" w:lineRule="auto"/>
                    <w:ind w:left="0" w:right="0"/>
                    <w:jc w:val="left"/>
                  </w:pPr>
                  <w:r>
                    <w:rPr/>
                    <w:t>充分披露本人承诺未能履行、</w:t>
                  </w:r>
                </w:p>
              </w:txbxContent>
            </v:textbox>
            <w10:wrap type="none"/>
          </v:shape>
        </w:pict>
      </w:r>
      <w:r>
        <w:rPr/>
        <w:pict>
          <v:group style="position:absolute;margin-left:632.229980pt;margin-top:261.170013pt;width:49.25pt;height:124.85pt;mso-position-horizontal-relative:page;mso-position-vertical-relative:page;z-index:-1094368" coordorigin="12645,5223" coordsize="985,2497">
            <v:shape style="position:absolute;left:12645;top:5223;width:985;height:2497" coordorigin="12645,5223" coordsize="985,2497" path="m12645,7720l13629,7720,13629,5223,12645,5223,12645,7720xe" filled="true" fillcolor="#ffffff" stroked="false">
              <v:path arrowok="t"/>
              <v:fill type="solid"/>
            </v:shape>
            <w10:wrap type="none"/>
          </v:group>
        </w:pict>
      </w:r>
    </w:p>
    <w:tbl>
      <w:tblPr>
        <w:tblW w:w="0" w:type="auto"/>
        <w:jc w:val="left"/>
        <w:tblInd w:w="106" w:type="dxa"/>
        <w:tblLayout w:type="fixed"/>
        <w:tblCellMar>
          <w:top w:w="0" w:type="dxa"/>
          <w:left w:w="0" w:type="dxa"/>
          <w:bottom w:w="0" w:type="dxa"/>
          <w:right w:w="0" w:type="dxa"/>
        </w:tblCellMar>
        <w:tblLook w:val="01E0"/>
      </w:tblPr>
      <w:tblGrid>
        <w:gridCol w:w="1702"/>
        <w:gridCol w:w="1423"/>
        <w:gridCol w:w="994"/>
        <w:gridCol w:w="7230"/>
        <w:gridCol w:w="994"/>
        <w:gridCol w:w="991"/>
        <w:gridCol w:w="924"/>
      </w:tblGrid>
      <w:tr>
        <w:trPr>
          <w:trHeight w:val="893" w:hRule="exact"/>
        </w:trPr>
        <w:tc>
          <w:tcPr>
            <w:tcW w:w="1702" w:type="dxa"/>
            <w:vMerge w:val="restart"/>
            <w:tcBorders>
              <w:top w:val="single" w:sz="15" w:space="0" w:color="000000"/>
              <w:left w:val="single" w:sz="4" w:space="0" w:color="000000"/>
              <w:right w:val="single" w:sz="4" w:space="0" w:color="000000"/>
            </w:tcBorders>
            <w:shd w:val="clear" w:color="auto" w:fill="D2D2D2"/>
          </w:tcPr>
          <w:p>
            <w:pPr/>
          </w:p>
        </w:tc>
        <w:tc>
          <w:tcPr>
            <w:tcW w:w="1423" w:type="dxa"/>
            <w:tcBorders>
              <w:top w:val="single" w:sz="15" w:space="0" w:color="000000"/>
              <w:left w:val="single" w:sz="4" w:space="0" w:color="000000"/>
              <w:bottom w:val="single" w:sz="4" w:space="0" w:color="000000"/>
              <w:right w:val="single" w:sz="4" w:space="0" w:color="000000"/>
            </w:tcBorders>
          </w:tcPr>
          <w:p>
            <w:pPr/>
          </w:p>
        </w:tc>
        <w:tc>
          <w:tcPr>
            <w:tcW w:w="994" w:type="dxa"/>
            <w:tcBorders>
              <w:top w:val="single" w:sz="15" w:space="0" w:color="000000"/>
              <w:left w:val="single" w:sz="4" w:space="0" w:color="000000"/>
              <w:bottom w:val="single" w:sz="4" w:space="0" w:color="000000"/>
              <w:right w:val="single" w:sz="4" w:space="0" w:color="000000"/>
            </w:tcBorders>
          </w:tcPr>
          <w:p>
            <w:pPr/>
          </w:p>
        </w:tc>
        <w:tc>
          <w:tcPr>
            <w:tcW w:w="7230" w:type="dxa"/>
            <w:tcBorders>
              <w:top w:val="single" w:sz="15" w:space="0" w:color="000000"/>
              <w:left w:val="single" w:sz="4" w:space="0" w:color="000000"/>
              <w:bottom w:val="single" w:sz="4" w:space="0" w:color="000000"/>
              <w:right w:val="single" w:sz="4" w:space="0" w:color="000000"/>
            </w:tcBorders>
          </w:tcPr>
          <w:p>
            <w:pPr>
              <w:pStyle w:val="TableParagraph"/>
              <w:spacing w:line="300" w:lineRule="auto" w:before="11"/>
              <w:ind w:left="21"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、单一会计年度合计不超过上一会计年度经审计的归属于母公司的可分配利润的</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的</w:t>
            </w:r>
            <w:r>
              <w:rPr>
                <w:rFonts w:ascii="宋体" w:hAnsi="宋体" w:cs="宋体" w:eastAsia="宋体" w:hint="default"/>
                <w:w w:val="99"/>
                <w:sz w:val="18"/>
                <w:szCs w:val="18"/>
              </w:rPr>
              <w:t> </w:t>
            </w:r>
            <w:r>
              <w:rPr>
                <w:rFonts w:ascii="宋体" w:hAnsi="宋体" w:cs="宋体" w:eastAsia="宋体" w:hint="default"/>
                <w:sz w:val="18"/>
                <w:szCs w:val="18"/>
              </w:rPr>
              <w:t>标准向全体股东实施现金分红。</w:t>
            </w:r>
          </w:p>
        </w:tc>
        <w:tc>
          <w:tcPr>
            <w:tcW w:w="994" w:type="dxa"/>
            <w:tcBorders>
              <w:top w:val="single" w:sz="15" w:space="0" w:color="000000"/>
              <w:left w:val="single" w:sz="4" w:space="0" w:color="000000"/>
              <w:bottom w:val="single" w:sz="4" w:space="0" w:color="000000"/>
              <w:right w:val="single" w:sz="4" w:space="0" w:color="000000"/>
            </w:tcBorders>
          </w:tcPr>
          <w:p>
            <w:pPr/>
          </w:p>
        </w:tc>
        <w:tc>
          <w:tcPr>
            <w:tcW w:w="991" w:type="dxa"/>
            <w:tcBorders>
              <w:top w:val="single" w:sz="15" w:space="0" w:color="000000"/>
              <w:left w:val="single" w:sz="4" w:space="0" w:color="000000"/>
              <w:bottom w:val="single" w:sz="4" w:space="0" w:color="000000"/>
              <w:right w:val="single" w:sz="4" w:space="0" w:color="000000"/>
            </w:tcBorders>
          </w:tcPr>
          <w:p>
            <w:pPr/>
          </w:p>
        </w:tc>
        <w:tc>
          <w:tcPr>
            <w:tcW w:w="924" w:type="dxa"/>
            <w:tcBorders>
              <w:top w:val="single" w:sz="15" w:space="0" w:color="000000"/>
              <w:left w:val="single" w:sz="4" w:space="0" w:color="000000"/>
              <w:bottom w:val="single" w:sz="4" w:space="0" w:color="000000"/>
              <w:right w:val="single" w:sz="4" w:space="0" w:color="000000"/>
            </w:tcBorders>
          </w:tcPr>
          <w:p>
            <w:pPr/>
          </w:p>
        </w:tc>
      </w:tr>
      <w:tr>
        <w:trPr>
          <w:trHeight w:val="5708" w:hRule="exact"/>
        </w:trPr>
        <w:tc>
          <w:tcPr>
            <w:tcW w:w="1702" w:type="dxa"/>
            <w:vMerge/>
            <w:tcBorders>
              <w:left w:val="single" w:sz="4" w:space="0" w:color="000000"/>
              <w:right w:val="single" w:sz="4" w:space="0" w:color="000000"/>
            </w:tcBorders>
            <w:shd w:val="clear" w:color="auto" w:fill="D2D2D2"/>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余荣清</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00" w:lineRule="auto"/>
              <w:ind w:left="23"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稳定股 价承诺</w:t>
            </w:r>
          </w:p>
        </w:tc>
        <w:tc>
          <w:tcPr>
            <w:tcW w:w="723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1"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公司股票自挂牌上市之日起三年内，一旦出现连续</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个交易日公司股票收盘价均低于公司 当日已公告每股净资产（当日已公告每股净资产为：</w:t>
            </w:r>
            <w:r>
              <w:rPr>
                <w:rFonts w:ascii="Times New Roman" w:hAnsi="Times New Roman" w:cs="Times New Roman" w:eastAsia="Times New Roman" w:hint="default"/>
                <w:sz w:val="18"/>
                <w:szCs w:val="18"/>
              </w:rPr>
              <w:t>1</w:t>
            </w:r>
            <w:r>
              <w:rPr>
                <w:rFonts w:ascii="宋体" w:hAnsi="宋体" w:cs="宋体" w:eastAsia="宋体" w:hint="default"/>
                <w:sz w:val="18"/>
                <w:szCs w:val="18"/>
              </w:rPr>
              <w:t>、发行人最近一期报告期期末公告的 每股净资产，或者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、如最近一期报告期期末财务数据公告后至下一报告期期末财务数据公 </w:t>
            </w:r>
            <w:r>
              <w:rPr>
                <w:rFonts w:ascii="宋体" w:hAnsi="宋体" w:cs="宋体" w:eastAsia="宋体" w:hint="default"/>
                <w:spacing w:val="-1"/>
                <w:sz w:val="18"/>
                <w:szCs w:val="18"/>
              </w:rPr>
              <w:t>告前期间因分红、配股、转增等情况导致发行人股份或权益发生变化时，则为经调整后的每</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
                <w:sz w:val="18"/>
                <w:szCs w:val="18"/>
              </w:rPr>
              <w:t>股净资产）情形时，则触发发行人回购股份稳定股价的义务。本人承诺就公司稳定股价方案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
                <w:sz w:val="18"/>
                <w:szCs w:val="18"/>
              </w:rPr>
              <w:t>以本人的董事身份（如有）在董事会上投赞成票，并以所拥有的全部表决票数在股东大会上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
                <w:sz w:val="18"/>
                <w:szCs w:val="18"/>
              </w:rPr>
              <w:t>投赞成票。在苏州恒久出现上述需实施稳定股价方案的情形，且出现下列任一情形时，本人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将按照有关法律法规的规定，增持公司股份：（</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）公司回购股份方案实施期限届满之日后的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连续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个交易日，发行人的股票收盘价均低于当日已公告每股净资产；（</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）公司回购股份</w:t>
            </w:r>
          </w:p>
          <w:p>
            <w:pPr>
              <w:pStyle w:val="TableParagraph"/>
              <w:spacing w:line="314" w:lineRule="auto" w:before="5"/>
              <w:ind w:left="21" w:right="-3"/>
              <w:jc w:val="left"/>
              <w:rPr>
                <w:rFonts w:ascii="宋体" w:hAnsi="宋体" w:cs="宋体" w:eastAsia="宋体" w:hint="default"/>
                <w:sz w:val="18"/>
                <w:szCs w:val="18"/>
              </w:rPr>
            </w:pPr>
            <w:r>
              <w:rPr>
                <w:rFonts w:ascii="宋体" w:hAnsi="宋体" w:cs="宋体" w:eastAsia="宋体" w:hint="default"/>
                <w:sz w:val="18"/>
                <w:szCs w:val="18"/>
              </w:rPr>
              <w:t>方案实施完毕之日起的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个月内再次触发需实施稳定股价方案的情形。如因相关法律法规、 </w:t>
            </w:r>
            <w:r>
              <w:rPr>
                <w:rFonts w:ascii="宋体" w:hAnsi="宋体" w:cs="宋体" w:eastAsia="宋体" w:hint="default"/>
                <w:spacing w:val="-1"/>
                <w:sz w:val="18"/>
                <w:szCs w:val="18"/>
              </w:rPr>
              <w:t>政策变化、自然灾害及其他不可抗力等无法控制的客观原因导致控股股东承诺未能履行、确</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已无法履行或无法按期履行上述承诺的，本人将通过公司及时、</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1"/>
                <w:sz w:val="18"/>
                <w:szCs w:val="18"/>
              </w:rPr>
              <w:t>无法履行或无法按期履行的具体原因，并向公司及其投资者提出补充承诺或替代承诺，以尽</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可能保护公司及其投资者的权益。</w:t>
            </w:r>
            <w:r>
              <w:rPr>
                <w:rFonts w:ascii="宋体" w:hAnsi="宋体" w:cs="宋体" w:eastAsia="宋体" w:hint="default"/>
                <w:spacing w:val="1"/>
                <w:sz w:val="18"/>
                <w:szCs w:val="18"/>
              </w:rPr>
              <w:t> </w:t>
            </w:r>
            <w:r>
              <w:rPr>
                <w:rFonts w:ascii="宋体" w:hAnsi="宋体" w:cs="宋体" w:eastAsia="宋体" w:hint="default"/>
                <w:sz w:val="18"/>
                <w:szCs w:val="18"/>
              </w:rPr>
              <w:t>非因相关法律法规、政策变化、自然灾害及其他不可抗</w:t>
            </w:r>
            <w:r>
              <w:rPr>
                <w:rFonts w:ascii="宋体" w:hAnsi="宋体" w:cs="宋体" w:eastAsia="宋体" w:hint="default"/>
                <w:sz w:val="18"/>
                <w:szCs w:val="18"/>
              </w:rPr>
              <w:t> </w:t>
            </w:r>
            <w:r>
              <w:rPr>
                <w:rFonts w:ascii="宋体" w:hAnsi="宋体" w:cs="宋体" w:eastAsia="宋体" w:hint="default"/>
                <w:spacing w:val="-1"/>
                <w:sz w:val="18"/>
                <w:szCs w:val="18"/>
              </w:rPr>
              <w:t>力等原因，本人未履行上述承诺，本人将在发行人股东大会及中国证监会指定报刊上公开说</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明未履行的具体原因并向发行人股东和社会公众投资者道歉；并将在前述事项发生之日起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 </w:t>
            </w:r>
            <w:r>
              <w:rPr>
                <w:rFonts w:ascii="宋体" w:hAnsi="宋体" w:cs="宋体" w:eastAsia="宋体" w:hint="default"/>
                <w:spacing w:val="-1"/>
                <w:sz w:val="18"/>
                <w:szCs w:val="18"/>
              </w:rPr>
              <w:t>个工作日内停止在发行人处领取股东分红，同时本人持有的发行人股份将不得转让，直至采</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取相应的稳定股价措施并实施完毕时为止</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2019-08-11</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23" w:right="168"/>
              <w:jc w:val="left"/>
              <w:rPr>
                <w:rFonts w:ascii="宋体" w:hAnsi="宋体" w:cs="宋体" w:eastAsia="宋体" w:hint="default"/>
                <w:sz w:val="18"/>
                <w:szCs w:val="18"/>
              </w:rPr>
            </w:pPr>
            <w:r>
              <w:rPr>
                <w:rFonts w:ascii="宋体" w:hAnsi="宋体" w:cs="宋体" w:eastAsia="宋体" w:hint="default"/>
                <w:sz w:val="18"/>
                <w:szCs w:val="18"/>
              </w:rPr>
              <w:t>已履行完 毕</w:t>
            </w:r>
          </w:p>
        </w:tc>
      </w:tr>
      <w:tr>
        <w:trPr>
          <w:trHeight w:val="1961" w:hRule="exact"/>
        </w:trPr>
        <w:tc>
          <w:tcPr>
            <w:tcW w:w="1702" w:type="dxa"/>
            <w:vMerge/>
            <w:tcBorders>
              <w:left w:val="single" w:sz="4" w:space="0" w:color="000000"/>
              <w:right w:val="single" w:sz="4" w:space="0" w:color="000000"/>
            </w:tcBorders>
            <w:shd w:val="clear" w:color="auto" w:fill="D2D2D2"/>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3" w:right="26"/>
              <w:jc w:val="left"/>
              <w:rPr>
                <w:rFonts w:ascii="宋体" w:hAnsi="宋体" w:cs="宋体" w:eastAsia="宋体" w:hint="default"/>
                <w:sz w:val="18"/>
                <w:szCs w:val="18"/>
              </w:rPr>
            </w:pPr>
            <w:r>
              <w:rPr>
                <w:rFonts w:ascii="宋体" w:hAnsi="宋体" w:cs="宋体" w:eastAsia="宋体" w:hint="default"/>
                <w:sz w:val="18"/>
                <w:szCs w:val="18"/>
              </w:rPr>
              <w:t>陈小华</w:t>
            </w:r>
            <w:r>
              <w:rPr>
                <w:rFonts w:ascii="Times New Roman" w:hAnsi="Times New Roman" w:cs="Times New Roman" w:eastAsia="Times New Roman" w:hint="default"/>
                <w:sz w:val="18"/>
                <w:szCs w:val="18"/>
              </w:rPr>
              <w:t>;</w:t>
            </w:r>
            <w:r>
              <w:rPr>
                <w:rFonts w:ascii="宋体" w:hAnsi="宋体" w:cs="宋体" w:eastAsia="宋体" w:hint="default"/>
                <w:sz w:val="18"/>
                <w:szCs w:val="18"/>
              </w:rPr>
              <w:t>方明</w:t>
            </w:r>
            <w:r>
              <w:rPr>
                <w:rFonts w:ascii="Times New Roman" w:hAnsi="Times New Roman" w:cs="Times New Roman" w:eastAsia="Times New Roman" w:hint="default"/>
                <w:sz w:val="18"/>
                <w:szCs w:val="18"/>
              </w:rPr>
              <w:t>;</w:t>
            </w:r>
            <w:r>
              <w:rPr>
                <w:rFonts w:ascii="宋体" w:hAnsi="宋体" w:cs="宋体" w:eastAsia="宋体" w:hint="default"/>
                <w:sz w:val="18"/>
                <w:szCs w:val="18"/>
              </w:rPr>
              <w:t>方世 南</w:t>
            </w:r>
            <w:r>
              <w:rPr>
                <w:rFonts w:ascii="Times New Roman" w:hAnsi="Times New Roman" w:cs="Times New Roman" w:eastAsia="Times New Roman" w:hint="default"/>
                <w:sz w:val="18"/>
                <w:szCs w:val="18"/>
              </w:rPr>
              <w:t>;</w:t>
            </w:r>
            <w:r>
              <w:rPr>
                <w:rFonts w:ascii="宋体" w:hAnsi="宋体" w:cs="宋体" w:eastAsia="宋体" w:hint="default"/>
                <w:sz w:val="18"/>
                <w:szCs w:val="18"/>
              </w:rPr>
              <w:t>兰山英</w:t>
            </w:r>
            <w:r>
              <w:rPr>
                <w:rFonts w:ascii="Times New Roman" w:hAnsi="Times New Roman" w:cs="Times New Roman" w:eastAsia="Times New Roman" w:hint="default"/>
                <w:sz w:val="18"/>
                <w:szCs w:val="18"/>
              </w:rPr>
              <w:t>;</w:t>
            </w:r>
            <w:r>
              <w:rPr>
                <w:rFonts w:ascii="宋体" w:hAnsi="宋体" w:cs="宋体" w:eastAsia="宋体" w:hint="default"/>
                <w:sz w:val="18"/>
                <w:szCs w:val="18"/>
              </w:rPr>
              <w:t>李建 康</w:t>
            </w:r>
            <w:r>
              <w:rPr>
                <w:rFonts w:ascii="Times New Roman" w:hAnsi="Times New Roman" w:cs="Times New Roman" w:eastAsia="Times New Roman" w:hint="default"/>
                <w:sz w:val="18"/>
                <w:szCs w:val="18"/>
              </w:rPr>
              <w:t>;</w:t>
            </w:r>
            <w:r>
              <w:rPr>
                <w:rFonts w:ascii="宋体" w:hAnsi="宋体" w:cs="宋体" w:eastAsia="宋体" w:hint="default"/>
                <w:sz w:val="18"/>
                <w:szCs w:val="18"/>
              </w:rPr>
              <w:t>闵建国</w:t>
            </w:r>
            <w:r>
              <w:rPr>
                <w:rFonts w:ascii="Times New Roman" w:hAnsi="Times New Roman" w:cs="Times New Roman" w:eastAsia="Times New Roman" w:hint="default"/>
                <w:sz w:val="18"/>
                <w:szCs w:val="18"/>
              </w:rPr>
              <w:t>;</w:t>
            </w:r>
            <w:r>
              <w:rPr>
                <w:rFonts w:ascii="宋体" w:hAnsi="宋体" w:cs="宋体" w:eastAsia="宋体" w:hint="default"/>
                <w:sz w:val="18"/>
                <w:szCs w:val="18"/>
              </w:rPr>
              <w:t>施建 豪</w:t>
            </w:r>
            <w:r>
              <w:rPr>
                <w:rFonts w:ascii="Times New Roman" w:hAnsi="Times New Roman" w:cs="Times New Roman" w:eastAsia="Times New Roman" w:hint="default"/>
                <w:sz w:val="18"/>
                <w:szCs w:val="18"/>
              </w:rPr>
              <w:t>;</w:t>
            </w:r>
            <w:r>
              <w:rPr>
                <w:rFonts w:ascii="宋体" w:hAnsi="宋体" w:cs="宋体" w:eastAsia="宋体" w:hint="default"/>
                <w:sz w:val="18"/>
                <w:szCs w:val="18"/>
              </w:rPr>
              <w:t>余荣清</w:t>
            </w:r>
            <w:r>
              <w:rPr>
                <w:rFonts w:ascii="Times New Roman" w:hAnsi="Times New Roman" w:cs="Times New Roman" w:eastAsia="Times New Roman" w:hint="default"/>
                <w:sz w:val="18"/>
                <w:szCs w:val="18"/>
              </w:rPr>
              <w:t>;</w:t>
            </w:r>
            <w:r>
              <w:rPr>
                <w:rFonts w:ascii="宋体" w:hAnsi="宋体" w:cs="宋体" w:eastAsia="宋体" w:hint="default"/>
                <w:sz w:val="18"/>
                <w:szCs w:val="18"/>
              </w:rPr>
              <w:t>余仲 清</w:t>
            </w:r>
            <w:r>
              <w:rPr>
                <w:rFonts w:ascii="Times New Roman" w:hAnsi="Times New Roman" w:cs="Times New Roman" w:eastAsia="Times New Roman" w:hint="default"/>
                <w:sz w:val="18"/>
                <w:szCs w:val="18"/>
              </w:rPr>
              <w:t>;</w:t>
            </w:r>
            <w:r>
              <w:rPr>
                <w:rFonts w:ascii="宋体" w:hAnsi="宋体" w:cs="宋体" w:eastAsia="宋体" w:hint="default"/>
                <w:sz w:val="18"/>
                <w:szCs w:val="18"/>
              </w:rPr>
              <w:t>俞雪华</w:t>
            </w:r>
            <w:r>
              <w:rPr>
                <w:rFonts w:ascii="Times New Roman" w:hAnsi="Times New Roman" w:cs="Times New Roman" w:eastAsia="Times New Roman" w:hint="default"/>
                <w:sz w:val="18"/>
                <w:szCs w:val="18"/>
              </w:rPr>
              <w:t>;</w:t>
            </w:r>
            <w:r>
              <w:rPr>
                <w:rFonts w:ascii="宋体" w:hAnsi="宋体" w:cs="宋体" w:eastAsia="宋体" w:hint="default"/>
                <w:sz w:val="18"/>
                <w:szCs w:val="18"/>
              </w:rPr>
              <w:t>张培兴</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723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1"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公司董事、高级管理人员对填补回报措施能够得到切实履行作出的承诺如下：</w:t>
            </w:r>
            <w:r>
              <w:rPr>
                <w:rFonts w:ascii="Times New Roman" w:hAnsi="Times New Roman" w:cs="Times New Roman" w:eastAsia="Times New Roman" w:hint="default"/>
                <w:sz w:val="18"/>
                <w:szCs w:val="18"/>
              </w:rPr>
              <w:t>1</w:t>
            </w:r>
            <w:r>
              <w:rPr>
                <w:rFonts w:ascii="宋体" w:hAnsi="宋体" w:cs="宋体" w:eastAsia="宋体" w:hint="default"/>
                <w:sz w:val="18"/>
                <w:szCs w:val="18"/>
              </w:rPr>
              <w:t>、承诺不无 偿或以不公平条件向其他单位或者个人输送利益，也不采用其他方式损害公司利益；</w:t>
            </w:r>
            <w:r>
              <w:rPr>
                <w:rFonts w:ascii="Times New Roman" w:hAnsi="Times New Roman" w:cs="Times New Roman" w:eastAsia="Times New Roman" w:hint="default"/>
                <w:sz w:val="18"/>
                <w:szCs w:val="18"/>
              </w:rPr>
              <w:t>2</w:t>
            </w:r>
            <w:r>
              <w:rPr>
                <w:rFonts w:ascii="宋体" w:hAnsi="宋体" w:cs="宋体" w:eastAsia="宋体" w:hint="default"/>
                <w:sz w:val="18"/>
                <w:szCs w:val="18"/>
              </w:rPr>
              <w:t>、承 诺对董事和高级管理人员的职务消费行为进行约束；</w:t>
            </w:r>
            <w:r>
              <w:rPr>
                <w:rFonts w:ascii="Times New Roman" w:hAnsi="Times New Roman" w:cs="Times New Roman" w:eastAsia="Times New Roman" w:hint="default"/>
                <w:sz w:val="18"/>
                <w:szCs w:val="18"/>
              </w:rPr>
              <w:t>3</w:t>
            </w:r>
            <w:r>
              <w:rPr>
                <w:rFonts w:ascii="宋体" w:hAnsi="宋体" w:cs="宋体" w:eastAsia="宋体" w:hint="default"/>
                <w:sz w:val="18"/>
                <w:szCs w:val="18"/>
              </w:rPr>
              <w:t>、承诺不动用公司资产从事与其履行 职责无关的投资、消费活动；</w:t>
            </w:r>
            <w:r>
              <w:rPr>
                <w:rFonts w:ascii="Times New Roman" w:hAnsi="Times New Roman" w:cs="Times New Roman" w:eastAsia="Times New Roman" w:hint="default"/>
                <w:sz w:val="18"/>
                <w:szCs w:val="18"/>
              </w:rPr>
              <w:t>4</w:t>
            </w:r>
            <w:r>
              <w:rPr>
                <w:rFonts w:ascii="宋体" w:hAnsi="宋体" w:cs="宋体" w:eastAsia="宋体" w:hint="default"/>
                <w:sz w:val="18"/>
                <w:szCs w:val="18"/>
              </w:rPr>
              <w:t>、承诺由董事会或薪酬委员会制定的薪酬制度与公司填补回 报措施的执行情况相挂钩；</w:t>
            </w:r>
            <w:r>
              <w:rPr>
                <w:rFonts w:ascii="Times New Roman" w:hAnsi="Times New Roman" w:cs="Times New Roman" w:eastAsia="Times New Roman" w:hint="default"/>
                <w:sz w:val="18"/>
                <w:szCs w:val="18"/>
              </w:rPr>
              <w:t>5</w:t>
            </w:r>
            <w:r>
              <w:rPr>
                <w:rFonts w:ascii="宋体" w:hAnsi="宋体" w:cs="宋体" w:eastAsia="宋体" w:hint="default"/>
                <w:sz w:val="18"/>
                <w:szCs w:val="18"/>
              </w:rPr>
              <w:t>、承诺拟公布的公司股权激励的行权条件（如有）与公司填补 回报措施的执行情况相挂钩。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9999-12-31</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9" w:lineRule="auto"/>
              <w:ind w:left="23" w:right="168"/>
              <w:jc w:val="left"/>
              <w:rPr>
                <w:rFonts w:ascii="宋体" w:hAnsi="宋体" w:cs="宋体" w:eastAsia="宋体" w:hint="default"/>
                <w:sz w:val="18"/>
                <w:szCs w:val="18"/>
              </w:rPr>
            </w:pPr>
            <w:r>
              <w:rPr>
                <w:rFonts w:ascii="宋体" w:hAnsi="宋体" w:cs="宋体" w:eastAsia="宋体" w:hint="default"/>
                <w:sz w:val="18"/>
                <w:szCs w:val="18"/>
              </w:rPr>
              <w:t>严格履行 承诺</w:t>
            </w:r>
          </w:p>
        </w:tc>
      </w:tr>
      <w:tr>
        <w:trPr>
          <w:trHeight w:val="986" w:hRule="exact"/>
        </w:trPr>
        <w:tc>
          <w:tcPr>
            <w:tcW w:w="1702" w:type="dxa"/>
            <w:vMerge/>
            <w:tcBorders>
              <w:left w:val="single" w:sz="4" w:space="0" w:color="000000"/>
              <w:bottom w:val="single" w:sz="4" w:space="0" w:color="000000"/>
              <w:right w:val="single" w:sz="4" w:space="0" w:color="000000"/>
            </w:tcBorders>
            <w:shd w:val="clear" w:color="auto" w:fill="D2D2D2"/>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苏州恒久光电科 技股份有限公司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723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1"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如本公司招股说明书有虚假记载、误导性陈述或者重大遗漏，对判断本公司是否符合法律 规定的发行条件构成重大、实质影响的，本公司将在中国证监会认定有关违法事实后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 </w:t>
            </w:r>
            <w:r>
              <w:rPr>
                <w:rFonts w:ascii="宋体" w:hAnsi="宋体" w:cs="宋体" w:eastAsia="宋体" w:hint="default"/>
                <w:spacing w:val="-1"/>
                <w:sz w:val="18"/>
                <w:szCs w:val="18"/>
              </w:rPr>
              <w:t>内启动依法回购首次公开发行的全部新股工作。回购价格以本公司股票发行价格和有关违法</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9999-12-31</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23" w:right="168"/>
              <w:jc w:val="left"/>
              <w:rPr>
                <w:rFonts w:ascii="宋体" w:hAnsi="宋体" w:cs="宋体" w:eastAsia="宋体" w:hint="default"/>
                <w:sz w:val="18"/>
                <w:szCs w:val="18"/>
              </w:rPr>
            </w:pPr>
            <w:r>
              <w:rPr>
                <w:rFonts w:ascii="宋体" w:hAnsi="宋体" w:cs="宋体" w:eastAsia="宋体" w:hint="default"/>
                <w:sz w:val="18"/>
                <w:szCs w:val="18"/>
              </w:rPr>
              <w:t>严格履行 承诺</w:t>
            </w:r>
          </w:p>
        </w:tc>
      </w:tr>
    </w:tbl>
    <w:p>
      <w:pPr>
        <w:spacing w:after="0" w:line="316" w:lineRule="auto"/>
        <w:jc w:val="left"/>
        <w:rPr>
          <w:rFonts w:ascii="宋体" w:hAnsi="宋体" w:cs="宋体" w:eastAsia="宋体" w:hint="default"/>
          <w:sz w:val="18"/>
          <w:szCs w:val="18"/>
        </w:rPr>
        <w:sectPr>
          <w:pgSz w:w="16840" w:h="11910" w:orient="landscape"/>
          <w:pgMar w:header="867" w:footer="980" w:top="1060" w:bottom="1220" w:left="1180" w:right="116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702"/>
        <w:gridCol w:w="1423"/>
        <w:gridCol w:w="994"/>
        <w:gridCol w:w="7230"/>
        <w:gridCol w:w="994"/>
        <w:gridCol w:w="991"/>
        <w:gridCol w:w="924"/>
      </w:tblGrid>
      <w:tr>
        <w:trPr>
          <w:trHeight w:val="2249" w:hRule="exact"/>
        </w:trPr>
        <w:tc>
          <w:tcPr>
            <w:tcW w:w="1702" w:type="dxa"/>
            <w:vMerge w:val="restart"/>
            <w:tcBorders>
              <w:top w:val="single" w:sz="15" w:space="0" w:color="000000"/>
              <w:left w:val="single" w:sz="4" w:space="0" w:color="000000"/>
              <w:right w:val="single" w:sz="4" w:space="0" w:color="000000"/>
            </w:tcBorders>
            <w:shd w:val="clear" w:color="auto" w:fill="D2D2D2"/>
          </w:tcPr>
          <w:p>
            <w:pPr/>
          </w:p>
        </w:tc>
        <w:tc>
          <w:tcPr>
            <w:tcW w:w="1423" w:type="dxa"/>
            <w:tcBorders>
              <w:top w:val="single" w:sz="15" w:space="0" w:color="000000"/>
              <w:left w:val="single" w:sz="4" w:space="0" w:color="000000"/>
              <w:bottom w:val="single" w:sz="4" w:space="0" w:color="000000"/>
              <w:right w:val="single" w:sz="4" w:space="0" w:color="000000"/>
            </w:tcBorders>
          </w:tcPr>
          <w:p>
            <w:pPr/>
          </w:p>
        </w:tc>
        <w:tc>
          <w:tcPr>
            <w:tcW w:w="994" w:type="dxa"/>
            <w:tcBorders>
              <w:top w:val="single" w:sz="15" w:space="0" w:color="000000"/>
              <w:left w:val="single" w:sz="4" w:space="0" w:color="000000"/>
              <w:bottom w:val="single" w:sz="4" w:space="0" w:color="000000"/>
              <w:right w:val="single" w:sz="4" w:space="0" w:color="000000"/>
            </w:tcBorders>
          </w:tcPr>
          <w:p>
            <w:pPr/>
          </w:p>
        </w:tc>
        <w:tc>
          <w:tcPr>
            <w:tcW w:w="7230" w:type="dxa"/>
            <w:tcBorders>
              <w:top w:val="single" w:sz="15" w:space="0" w:color="000000"/>
              <w:left w:val="single" w:sz="4" w:space="0" w:color="000000"/>
              <w:bottom w:val="single" w:sz="4" w:space="0" w:color="000000"/>
              <w:right w:val="single" w:sz="4" w:space="0" w:color="000000"/>
            </w:tcBorders>
          </w:tcPr>
          <w:p>
            <w:pPr>
              <w:pStyle w:val="TableParagraph"/>
              <w:spacing w:line="312" w:lineRule="auto" w:before="11"/>
              <w:ind w:left="21" w:right="20"/>
              <w:jc w:val="left"/>
              <w:rPr>
                <w:rFonts w:ascii="宋体" w:hAnsi="宋体" w:cs="宋体" w:eastAsia="宋体" w:hint="default"/>
                <w:sz w:val="18"/>
                <w:szCs w:val="18"/>
              </w:rPr>
            </w:pPr>
            <w:r>
              <w:rPr>
                <w:rFonts w:ascii="宋体" w:hAnsi="宋体" w:cs="宋体" w:eastAsia="宋体" w:hint="default"/>
                <w:sz w:val="18"/>
                <w:szCs w:val="18"/>
              </w:rPr>
              <w:t>事实被中国证监会认定之日前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个交易日本公司股票交易均价的孰高者确定。公司上市后 </w:t>
            </w:r>
            <w:r>
              <w:rPr>
                <w:rFonts w:ascii="宋体" w:hAnsi="宋体" w:cs="宋体" w:eastAsia="宋体" w:hint="default"/>
                <w:spacing w:val="-1"/>
                <w:sz w:val="18"/>
                <w:szCs w:val="18"/>
              </w:rPr>
              <w:t>发生除权除息事项的，上述发行价格及回购股份数量应做相应调整。如本公司招股说明书有</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1"/>
                <w:sz w:val="18"/>
                <w:szCs w:val="18"/>
              </w:rPr>
              <w:t>虚假记载、误导性陈述或者重大遗漏，致使投资者在证券交易中遭受损失的，将依法赔偿投</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资者损失。本公司将在该等违法事实被中国证监会认定后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天内依法赔偿投资者损失。若 </w:t>
            </w:r>
            <w:r>
              <w:rPr>
                <w:rFonts w:ascii="宋体" w:hAnsi="宋体" w:cs="宋体" w:eastAsia="宋体" w:hint="default"/>
                <w:spacing w:val="-1"/>
                <w:sz w:val="18"/>
                <w:szCs w:val="18"/>
              </w:rPr>
              <w:t>本公司违反上述承诺，则将在股东大会及中国证监会指定报刊上公开就未履行上述赔偿措施</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1"/>
                <w:sz w:val="18"/>
                <w:szCs w:val="18"/>
              </w:rPr>
              <w:t>向股东和社会公众投资者道歉，并按中国证监会及有关司法机关认定的实际损失向投资者进</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行赔偿。</w:t>
            </w:r>
          </w:p>
        </w:tc>
        <w:tc>
          <w:tcPr>
            <w:tcW w:w="994" w:type="dxa"/>
            <w:tcBorders>
              <w:top w:val="single" w:sz="15" w:space="0" w:color="000000"/>
              <w:left w:val="single" w:sz="4" w:space="0" w:color="000000"/>
              <w:bottom w:val="single" w:sz="4" w:space="0" w:color="000000"/>
              <w:right w:val="single" w:sz="4" w:space="0" w:color="000000"/>
            </w:tcBorders>
          </w:tcPr>
          <w:p>
            <w:pPr/>
          </w:p>
        </w:tc>
        <w:tc>
          <w:tcPr>
            <w:tcW w:w="991" w:type="dxa"/>
            <w:tcBorders>
              <w:top w:val="single" w:sz="15" w:space="0" w:color="000000"/>
              <w:left w:val="single" w:sz="4" w:space="0" w:color="000000"/>
              <w:bottom w:val="single" w:sz="4" w:space="0" w:color="000000"/>
              <w:right w:val="single" w:sz="4" w:space="0" w:color="000000"/>
            </w:tcBorders>
          </w:tcPr>
          <w:p>
            <w:pPr/>
          </w:p>
        </w:tc>
        <w:tc>
          <w:tcPr>
            <w:tcW w:w="924" w:type="dxa"/>
            <w:tcBorders>
              <w:top w:val="single" w:sz="15" w:space="0" w:color="000000"/>
              <w:left w:val="single" w:sz="4" w:space="0" w:color="000000"/>
              <w:bottom w:val="single" w:sz="4" w:space="0" w:color="000000"/>
              <w:right w:val="single" w:sz="4" w:space="0" w:color="000000"/>
            </w:tcBorders>
          </w:tcPr>
          <w:p>
            <w:pPr/>
          </w:p>
        </w:tc>
      </w:tr>
      <w:tr>
        <w:trPr>
          <w:trHeight w:val="3836" w:hRule="exact"/>
        </w:trPr>
        <w:tc>
          <w:tcPr>
            <w:tcW w:w="1702" w:type="dxa"/>
            <w:vMerge/>
            <w:tcBorders>
              <w:left w:val="single" w:sz="4" w:space="0" w:color="000000"/>
              <w:right w:val="single" w:sz="4" w:space="0" w:color="000000"/>
            </w:tcBorders>
            <w:shd w:val="clear" w:color="auto" w:fill="D2D2D2"/>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余荣清</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723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1"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如发行人招股说明书有虚假记载、误导性陈述或者重大遗漏，对判断发行人是否符合法律 </w:t>
            </w:r>
            <w:r>
              <w:rPr>
                <w:rFonts w:ascii="宋体" w:hAnsi="宋体" w:cs="宋体" w:eastAsia="宋体" w:hint="default"/>
                <w:spacing w:val="-1"/>
                <w:sz w:val="18"/>
                <w:szCs w:val="18"/>
              </w:rPr>
              <w:t>规定的发行条件构成重大、实质影响的，本人将利用发行人的控股股东地位促成发行人在中</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国证监会认定有关违法事实后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天内启动依法回购发行人首次公开发行的全部新股工作， </w:t>
            </w:r>
            <w:r>
              <w:rPr>
                <w:rFonts w:ascii="宋体" w:hAnsi="宋体" w:cs="宋体" w:eastAsia="宋体" w:hint="default"/>
                <w:spacing w:val="-1"/>
                <w:sz w:val="18"/>
                <w:szCs w:val="18"/>
              </w:rPr>
              <w:t>并在前述期限内启动依法购回本人在首次公开发行股票时公开发售的股份工作。购回价格以</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发行人股票发行价格和有关违法事实被中国证监会认定之日前三十个交易日发行人股票交</w:t>
            </w:r>
            <w:r>
              <w:rPr>
                <w:rFonts w:ascii="宋体" w:hAnsi="宋体" w:cs="宋体" w:eastAsia="宋体" w:hint="default"/>
                <w:sz w:val="18"/>
                <w:szCs w:val="18"/>
              </w:rPr>
              <w:t> </w:t>
            </w:r>
            <w:r>
              <w:rPr>
                <w:rFonts w:ascii="宋体" w:hAnsi="宋体" w:cs="宋体" w:eastAsia="宋体" w:hint="default"/>
                <w:spacing w:val="-1"/>
                <w:sz w:val="18"/>
                <w:szCs w:val="18"/>
              </w:rPr>
              <w:t>易均价的孰高者确定。如遇除权除息事项，上述发行价格及购回股份数量应作相应调整。如</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
                <w:sz w:val="18"/>
                <w:szCs w:val="18"/>
              </w:rPr>
              <w:t>发行人招股说明书有虚假记载、误导性陈述或者重大遗漏，致使投资者在证券交易中遭受损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失的，本人将在该等违法事实被中国证监会认定后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天内依法赔偿投资者损失。若本人违 </w:t>
            </w:r>
            <w:r>
              <w:rPr>
                <w:rFonts w:ascii="宋体" w:hAnsi="宋体" w:cs="宋体" w:eastAsia="宋体" w:hint="default"/>
                <w:spacing w:val="-1"/>
                <w:sz w:val="18"/>
                <w:szCs w:val="18"/>
              </w:rPr>
              <w:t>反上述承诺，则将在发行人股东大会及中国证监会指定报刊上公开就未履行上述赔偿措施向</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发行人股东和社会公众投资者道歉，并在违反上述承诺发生之日起</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个工作日内，停止在发 </w:t>
            </w:r>
            <w:r>
              <w:rPr>
                <w:rFonts w:ascii="宋体" w:hAnsi="宋体" w:cs="宋体" w:eastAsia="宋体" w:hint="default"/>
                <w:spacing w:val="-1"/>
                <w:sz w:val="18"/>
                <w:szCs w:val="18"/>
              </w:rPr>
              <w:t>行人处领取薪酬及股东分红，同时本人持有的发行人股份将不得转让，直至本人按上述承诺</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采取相应的购回或赔偿措施并实施完毕时为止。</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1" w:right="0"/>
              <w:jc w:val="left"/>
              <w:rPr>
                <w:rFonts w:ascii="Times New Roman" w:hAnsi="Times New Roman" w:cs="Times New Roman" w:eastAsia="Times New Roman" w:hint="default"/>
                <w:sz w:val="18"/>
                <w:szCs w:val="18"/>
              </w:rPr>
            </w:pPr>
            <w:r>
              <w:rPr>
                <w:rFonts w:ascii="Times New Roman"/>
                <w:sz w:val="18"/>
              </w:rPr>
              <w:t>9999-12-31</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3" w:right="168"/>
              <w:jc w:val="left"/>
              <w:rPr>
                <w:rFonts w:ascii="宋体" w:hAnsi="宋体" w:cs="宋体" w:eastAsia="宋体" w:hint="default"/>
                <w:sz w:val="18"/>
                <w:szCs w:val="18"/>
              </w:rPr>
            </w:pPr>
            <w:r>
              <w:rPr>
                <w:rFonts w:ascii="宋体" w:hAnsi="宋体" w:cs="宋体" w:eastAsia="宋体" w:hint="default"/>
                <w:sz w:val="18"/>
                <w:szCs w:val="18"/>
              </w:rPr>
              <w:t>严格履行 承诺</w:t>
            </w:r>
          </w:p>
        </w:tc>
      </w:tr>
      <w:tr>
        <w:trPr>
          <w:trHeight w:val="2273" w:hRule="exact"/>
        </w:trPr>
        <w:tc>
          <w:tcPr>
            <w:tcW w:w="1702" w:type="dxa"/>
            <w:vMerge/>
            <w:tcBorders>
              <w:left w:val="single" w:sz="4" w:space="0" w:color="000000"/>
              <w:bottom w:val="single" w:sz="4" w:space="0" w:color="000000"/>
              <w:right w:val="single" w:sz="4" w:space="0" w:color="000000"/>
            </w:tcBorders>
            <w:shd w:val="clear" w:color="auto" w:fill="D2D2D2"/>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6"/>
              <w:jc w:val="left"/>
              <w:rPr>
                <w:rFonts w:ascii="宋体" w:hAnsi="宋体" w:cs="宋体" w:eastAsia="宋体" w:hint="default"/>
                <w:sz w:val="18"/>
                <w:szCs w:val="18"/>
              </w:rPr>
            </w:pPr>
            <w:r>
              <w:rPr>
                <w:rFonts w:ascii="宋体" w:hAnsi="宋体" w:cs="宋体" w:eastAsia="宋体" w:hint="default"/>
                <w:sz w:val="18"/>
                <w:szCs w:val="18"/>
              </w:rPr>
              <w:t>陈小华</w:t>
            </w:r>
            <w:r>
              <w:rPr>
                <w:rFonts w:ascii="Times New Roman" w:hAnsi="Times New Roman" w:cs="Times New Roman" w:eastAsia="Times New Roman" w:hint="default"/>
                <w:sz w:val="18"/>
                <w:szCs w:val="18"/>
              </w:rPr>
              <w:t>;</w:t>
            </w:r>
            <w:r>
              <w:rPr>
                <w:rFonts w:ascii="宋体" w:hAnsi="宋体" w:cs="宋体" w:eastAsia="宋体" w:hint="default"/>
                <w:sz w:val="18"/>
                <w:szCs w:val="18"/>
              </w:rPr>
              <w:t>方明</w:t>
            </w:r>
            <w:r>
              <w:rPr>
                <w:rFonts w:ascii="Times New Roman" w:hAnsi="Times New Roman" w:cs="Times New Roman" w:eastAsia="Times New Roman" w:hint="default"/>
                <w:sz w:val="18"/>
                <w:szCs w:val="18"/>
              </w:rPr>
              <w:t>;</w:t>
            </w:r>
            <w:r>
              <w:rPr>
                <w:rFonts w:ascii="宋体" w:hAnsi="宋体" w:cs="宋体" w:eastAsia="宋体" w:hint="default"/>
                <w:sz w:val="18"/>
                <w:szCs w:val="18"/>
              </w:rPr>
              <w:t>方世 南</w:t>
            </w:r>
            <w:r>
              <w:rPr>
                <w:rFonts w:ascii="Times New Roman" w:hAnsi="Times New Roman" w:cs="Times New Roman" w:eastAsia="Times New Roman" w:hint="default"/>
                <w:sz w:val="18"/>
                <w:szCs w:val="18"/>
              </w:rPr>
              <w:t>;</w:t>
            </w:r>
            <w:r>
              <w:rPr>
                <w:rFonts w:ascii="宋体" w:hAnsi="宋体" w:cs="宋体" w:eastAsia="宋体" w:hint="default"/>
                <w:sz w:val="18"/>
                <w:szCs w:val="18"/>
              </w:rPr>
              <w:t>兰山英</w:t>
            </w:r>
            <w:r>
              <w:rPr>
                <w:rFonts w:ascii="Times New Roman" w:hAnsi="Times New Roman" w:cs="Times New Roman" w:eastAsia="Times New Roman" w:hint="default"/>
                <w:sz w:val="18"/>
                <w:szCs w:val="18"/>
              </w:rPr>
              <w:t>;</w:t>
            </w:r>
            <w:r>
              <w:rPr>
                <w:rFonts w:ascii="宋体" w:hAnsi="宋体" w:cs="宋体" w:eastAsia="宋体" w:hint="default"/>
                <w:sz w:val="18"/>
                <w:szCs w:val="18"/>
              </w:rPr>
              <w:t>李建 康</w:t>
            </w:r>
            <w:r>
              <w:rPr>
                <w:rFonts w:ascii="Times New Roman" w:hAnsi="Times New Roman" w:cs="Times New Roman" w:eastAsia="Times New Roman" w:hint="default"/>
                <w:sz w:val="18"/>
                <w:szCs w:val="18"/>
              </w:rPr>
              <w:t>;</w:t>
            </w:r>
            <w:r>
              <w:rPr>
                <w:rFonts w:ascii="宋体" w:hAnsi="宋体" w:cs="宋体" w:eastAsia="宋体" w:hint="default"/>
                <w:sz w:val="18"/>
                <w:szCs w:val="18"/>
              </w:rPr>
              <w:t>闵建国</w:t>
            </w:r>
            <w:r>
              <w:rPr>
                <w:rFonts w:ascii="Times New Roman" w:hAnsi="Times New Roman" w:cs="Times New Roman" w:eastAsia="Times New Roman" w:hint="default"/>
                <w:sz w:val="18"/>
                <w:szCs w:val="18"/>
              </w:rPr>
              <w:t>;</w:t>
            </w:r>
            <w:r>
              <w:rPr>
                <w:rFonts w:ascii="宋体" w:hAnsi="宋体" w:cs="宋体" w:eastAsia="宋体" w:hint="default"/>
                <w:sz w:val="18"/>
                <w:szCs w:val="18"/>
              </w:rPr>
              <w:t>施建 豪</w:t>
            </w:r>
            <w:r>
              <w:rPr>
                <w:rFonts w:ascii="Times New Roman" w:hAnsi="Times New Roman" w:cs="Times New Roman" w:eastAsia="Times New Roman" w:hint="default"/>
                <w:sz w:val="18"/>
                <w:szCs w:val="18"/>
              </w:rPr>
              <w:t>;</w:t>
            </w:r>
            <w:r>
              <w:rPr>
                <w:rFonts w:ascii="宋体" w:hAnsi="宋体" w:cs="宋体" w:eastAsia="宋体" w:hint="default"/>
                <w:sz w:val="18"/>
                <w:szCs w:val="18"/>
              </w:rPr>
              <w:t>施雄</w:t>
            </w:r>
            <w:r>
              <w:rPr>
                <w:rFonts w:ascii="Times New Roman" w:hAnsi="Times New Roman" w:cs="Times New Roman" w:eastAsia="Times New Roman" w:hint="default"/>
                <w:sz w:val="18"/>
                <w:szCs w:val="18"/>
              </w:rPr>
              <w:t>;</w:t>
            </w:r>
            <w:r>
              <w:rPr>
                <w:rFonts w:ascii="宋体" w:hAnsi="宋体" w:cs="宋体" w:eastAsia="宋体" w:hint="default"/>
                <w:sz w:val="18"/>
                <w:szCs w:val="18"/>
              </w:rPr>
              <w:t>徐才英</w:t>
            </w:r>
            <w:r>
              <w:rPr>
                <w:rFonts w:ascii="Times New Roman" w:hAnsi="Times New Roman" w:cs="Times New Roman" w:eastAsia="Times New Roman" w:hint="default"/>
                <w:sz w:val="18"/>
                <w:szCs w:val="18"/>
              </w:rPr>
              <w:t>; </w:t>
            </w:r>
            <w:r>
              <w:rPr>
                <w:rFonts w:ascii="宋体" w:hAnsi="宋体" w:cs="宋体" w:eastAsia="宋体" w:hint="default"/>
                <w:sz w:val="18"/>
                <w:szCs w:val="18"/>
              </w:rPr>
              <w:t>余荣清</w:t>
            </w:r>
            <w:r>
              <w:rPr>
                <w:rFonts w:ascii="Times New Roman" w:hAnsi="Times New Roman" w:cs="Times New Roman" w:eastAsia="Times New Roman" w:hint="default"/>
                <w:sz w:val="18"/>
                <w:szCs w:val="18"/>
              </w:rPr>
              <w:t>;</w:t>
            </w:r>
            <w:r>
              <w:rPr>
                <w:rFonts w:ascii="宋体" w:hAnsi="宋体" w:cs="宋体" w:eastAsia="宋体" w:hint="default"/>
                <w:sz w:val="18"/>
                <w:szCs w:val="18"/>
              </w:rPr>
              <w:t>余仲清</w:t>
            </w:r>
            <w:r>
              <w:rPr>
                <w:rFonts w:ascii="Times New Roman" w:hAnsi="Times New Roman" w:cs="Times New Roman" w:eastAsia="Times New Roman" w:hint="default"/>
                <w:sz w:val="18"/>
                <w:szCs w:val="18"/>
              </w:rPr>
              <w:t>;</w:t>
            </w:r>
            <w:r>
              <w:rPr>
                <w:rFonts w:ascii="宋体" w:hAnsi="宋体" w:cs="宋体" w:eastAsia="宋体" w:hint="default"/>
                <w:sz w:val="18"/>
                <w:szCs w:val="18"/>
              </w:rPr>
              <w:t>俞 雪华</w:t>
            </w:r>
            <w:r>
              <w:rPr>
                <w:rFonts w:ascii="Times New Roman" w:hAnsi="Times New Roman" w:cs="Times New Roman" w:eastAsia="Times New Roman" w:hint="default"/>
                <w:sz w:val="18"/>
                <w:szCs w:val="18"/>
              </w:rPr>
              <w:t>;</w:t>
            </w:r>
            <w:r>
              <w:rPr>
                <w:rFonts w:ascii="宋体" w:hAnsi="宋体" w:cs="宋体" w:eastAsia="宋体" w:hint="default"/>
                <w:sz w:val="18"/>
                <w:szCs w:val="18"/>
              </w:rPr>
              <w:t>张培兴</w:t>
            </w:r>
            <w:r>
              <w:rPr>
                <w:rFonts w:ascii="Times New Roman" w:hAnsi="Times New Roman" w:cs="Times New Roman" w:eastAsia="Times New Roman" w:hint="default"/>
                <w:sz w:val="18"/>
                <w:szCs w:val="18"/>
              </w:rPr>
              <w:t>;</w:t>
            </w:r>
            <w:r>
              <w:rPr>
                <w:rFonts w:ascii="宋体" w:hAnsi="宋体" w:cs="宋体" w:eastAsia="宋体" w:hint="default"/>
                <w:sz w:val="18"/>
                <w:szCs w:val="18"/>
              </w:rPr>
              <w:t>赵同 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723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1"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如发行人招股说明书有虚假记载、误导性陈述或者重大遗漏，致使投资者在证券交易中遭 受损失的，本人将依法赔偿投资者损失。本人将在该等违法事实被中国证监会认定后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 </w:t>
            </w:r>
            <w:r>
              <w:rPr>
                <w:rFonts w:ascii="宋体" w:hAnsi="宋体" w:cs="宋体" w:eastAsia="宋体" w:hint="default"/>
                <w:spacing w:val="-1"/>
                <w:sz w:val="18"/>
                <w:szCs w:val="18"/>
              </w:rPr>
              <w:t>内依法赔偿投资者损失。若本人违反上述承诺，则将在发行人股东大会及中国证监会指定报</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1"/>
                <w:sz w:val="18"/>
                <w:szCs w:val="18"/>
              </w:rPr>
              <w:t>刊上公开就未履行上述赔偿措施向发行人股东和社会公众投资者道歉，并在违反上述赔偿措</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施发生之日起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个工作日内，停止在发行人处领取薪酬（或津贴）及股东分红（如有），同</w:t>
            </w:r>
            <w:r>
              <w:rPr>
                <w:rFonts w:ascii="宋体" w:hAnsi="宋体" w:cs="宋体" w:eastAsia="宋体" w:hint="default"/>
                <w:sz w:val="18"/>
                <w:szCs w:val="18"/>
              </w:rPr>
              <w:t> </w:t>
            </w:r>
            <w:r>
              <w:rPr>
                <w:rFonts w:ascii="宋体" w:hAnsi="宋体" w:cs="宋体" w:eastAsia="宋体" w:hint="default"/>
                <w:spacing w:val="-1"/>
                <w:sz w:val="18"/>
                <w:szCs w:val="18"/>
              </w:rPr>
              <w:t>时本人持有的发行人股份（如有）将不得转让，直至本人按上述承诺采取相应的赔偿措施并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实施完毕时为止。</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9999-12-31</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168"/>
              <w:jc w:val="left"/>
              <w:rPr>
                <w:rFonts w:ascii="宋体" w:hAnsi="宋体" w:cs="宋体" w:eastAsia="宋体" w:hint="default"/>
                <w:sz w:val="18"/>
                <w:szCs w:val="18"/>
              </w:rPr>
            </w:pPr>
            <w:r>
              <w:rPr>
                <w:rFonts w:ascii="宋体" w:hAnsi="宋体" w:cs="宋体" w:eastAsia="宋体" w:hint="default"/>
                <w:sz w:val="18"/>
                <w:szCs w:val="18"/>
              </w:rPr>
              <w:t>严格履行 承诺</w:t>
            </w:r>
          </w:p>
        </w:tc>
      </w:tr>
      <w:tr>
        <w:trPr>
          <w:trHeight w:val="878"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42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23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1180" w:right="1160"/>
        </w:sectPr>
      </w:pPr>
    </w:p>
    <w:p>
      <w:pPr>
        <w:spacing w:line="240" w:lineRule="auto" w:before="2"/>
        <w:rPr>
          <w:rFonts w:ascii="Times New Roman" w:hAnsi="Times New Roman" w:cs="Times New Roman" w:eastAsia="Times New Roman" w:hint="default"/>
          <w:sz w:val="3"/>
          <w:szCs w:val="3"/>
        </w:rPr>
      </w:pPr>
      <w:r>
        <w:rPr/>
        <w:pict>
          <v:group style="position:absolute;margin-left:632.229980pt;margin-top:418.27002pt;width:49.25pt;height:102.4pt;mso-position-horizontal-relative:page;mso-position-vertical-relative:page;z-index:-1094344" coordorigin="12645,8365" coordsize="985,2048">
            <v:group style="position:absolute;left:12645;top:8718;width:985;height:1695" coordorigin="12645,8718" coordsize="985,1695">
              <v:shape style="position:absolute;left:12645;top:8718;width:985;height:1695" coordorigin="12645,8718" coordsize="985,1695" path="m12645,10413l13629,10413,13629,8718,12645,8718,12645,10413xe" filled="true" fillcolor="#ffffff" stroked="false">
                <v:path arrowok="t"/>
                <v:fill type="solid"/>
              </v:shape>
            </v:group>
            <v:group style="position:absolute;left:12669;top:8365;width:937;height:353" coordorigin="12669,8365" coordsize="937,353">
              <v:shape style="position:absolute;left:12669;top:8365;width:937;height:353" coordorigin="12669,8365" coordsize="937,353" path="m12669,8718l13605,8718,13605,8365,12669,8365,12669,8718xe" filled="true" fillcolor="#ffffff" stroked="false">
                <v:path arrowok="t"/>
                <v:fill type="solid"/>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1702"/>
        <w:gridCol w:w="1423"/>
        <w:gridCol w:w="994"/>
        <w:gridCol w:w="7230"/>
        <w:gridCol w:w="994"/>
        <w:gridCol w:w="991"/>
        <w:gridCol w:w="924"/>
      </w:tblGrid>
      <w:tr>
        <w:trPr>
          <w:trHeight w:val="1978" w:hRule="exact"/>
        </w:trPr>
        <w:tc>
          <w:tcPr>
            <w:tcW w:w="1702" w:type="dxa"/>
            <w:vMerge w:val="restart"/>
            <w:tcBorders>
              <w:top w:val="single" w:sz="15"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314" w:lineRule="auto"/>
              <w:ind w:left="23" w:right="46"/>
              <w:jc w:val="left"/>
              <w:rPr>
                <w:rFonts w:ascii="宋体" w:hAnsi="宋体" w:cs="宋体" w:eastAsia="宋体" w:hint="default"/>
                <w:sz w:val="18"/>
                <w:szCs w:val="18"/>
              </w:rPr>
            </w:pPr>
            <w:r>
              <w:rPr>
                <w:rFonts w:ascii="宋体" w:hAnsi="宋体" w:cs="宋体" w:eastAsia="宋体" w:hint="default"/>
                <w:sz w:val="18"/>
                <w:szCs w:val="18"/>
              </w:rPr>
              <w:t>其他对公司中小股东 所作承诺</w:t>
            </w:r>
          </w:p>
        </w:tc>
        <w:tc>
          <w:tcPr>
            <w:tcW w:w="1423" w:type="dxa"/>
            <w:tcBorders>
              <w:top w:val="single" w:sz="15" w:space="0" w:color="000000"/>
              <w:left w:val="single" w:sz="4" w:space="0" w:color="000000"/>
              <w:bottom w:val="single" w:sz="4" w:space="0" w:color="000000"/>
              <w:right w:val="single" w:sz="4" w:space="0" w:color="000000"/>
            </w:tcBorders>
          </w:tcPr>
          <w:p>
            <w:pPr>
              <w:pStyle w:val="TableParagraph"/>
              <w:spacing w:line="300" w:lineRule="auto" w:before="51"/>
              <w:ind w:left="23" w:right="26"/>
              <w:jc w:val="left"/>
              <w:rPr>
                <w:rFonts w:ascii="宋体" w:hAnsi="宋体" w:cs="宋体" w:eastAsia="宋体" w:hint="default"/>
                <w:sz w:val="18"/>
                <w:szCs w:val="18"/>
              </w:rPr>
            </w:pPr>
            <w:r>
              <w:rPr>
                <w:rFonts w:ascii="宋体" w:hAnsi="宋体" w:cs="宋体" w:eastAsia="宋体" w:hint="default"/>
                <w:sz w:val="18"/>
                <w:szCs w:val="18"/>
              </w:rPr>
              <w:t>高钟</w:t>
            </w:r>
            <w:r>
              <w:rPr>
                <w:rFonts w:ascii="Times New Roman" w:hAnsi="Times New Roman" w:cs="Times New Roman" w:eastAsia="Times New Roman" w:hint="default"/>
                <w:sz w:val="18"/>
                <w:szCs w:val="18"/>
              </w:rPr>
              <w:t>;</w:t>
            </w:r>
            <w:r>
              <w:rPr>
                <w:rFonts w:ascii="宋体" w:hAnsi="宋体" w:cs="宋体" w:eastAsia="宋体" w:hint="default"/>
                <w:sz w:val="18"/>
                <w:szCs w:val="18"/>
              </w:rPr>
              <w:t>兰山英</w:t>
            </w:r>
            <w:r>
              <w:rPr>
                <w:rFonts w:ascii="Times New Roman" w:hAnsi="Times New Roman" w:cs="Times New Roman" w:eastAsia="Times New Roman" w:hint="default"/>
                <w:sz w:val="18"/>
                <w:szCs w:val="18"/>
              </w:rPr>
              <w:t>;</w:t>
            </w:r>
            <w:r>
              <w:rPr>
                <w:rFonts w:ascii="宋体" w:hAnsi="宋体" w:cs="宋体" w:eastAsia="宋体" w:hint="default"/>
                <w:sz w:val="18"/>
                <w:szCs w:val="18"/>
              </w:rPr>
              <w:t>李建 康</w:t>
            </w:r>
            <w:r>
              <w:rPr>
                <w:rFonts w:ascii="Times New Roman" w:hAnsi="Times New Roman" w:cs="Times New Roman" w:eastAsia="Times New Roman" w:hint="default"/>
                <w:sz w:val="18"/>
                <w:szCs w:val="18"/>
              </w:rPr>
              <w:t>;</w:t>
            </w:r>
            <w:r>
              <w:rPr>
                <w:rFonts w:ascii="宋体" w:hAnsi="宋体" w:cs="宋体" w:eastAsia="宋体" w:hint="default"/>
                <w:sz w:val="18"/>
                <w:szCs w:val="18"/>
              </w:rPr>
              <w:t>潘晓珍</w:t>
            </w:r>
            <w:r>
              <w:rPr>
                <w:rFonts w:ascii="Times New Roman" w:hAnsi="Times New Roman" w:cs="Times New Roman" w:eastAsia="Times New Roman" w:hint="default"/>
                <w:sz w:val="18"/>
                <w:szCs w:val="18"/>
              </w:rPr>
              <w:t>;</w:t>
            </w:r>
            <w:r>
              <w:rPr>
                <w:rFonts w:ascii="宋体" w:hAnsi="宋体" w:cs="宋体" w:eastAsia="宋体" w:hint="default"/>
                <w:sz w:val="18"/>
                <w:szCs w:val="18"/>
              </w:rPr>
              <w:t>施建 豪</w:t>
            </w:r>
            <w:r>
              <w:rPr>
                <w:rFonts w:ascii="Times New Roman" w:hAnsi="Times New Roman" w:cs="Times New Roman" w:eastAsia="Times New Roman" w:hint="default"/>
                <w:sz w:val="18"/>
                <w:szCs w:val="18"/>
              </w:rPr>
              <w:t>;</w:t>
            </w:r>
            <w:r>
              <w:rPr>
                <w:rFonts w:ascii="宋体" w:hAnsi="宋体" w:cs="宋体" w:eastAsia="宋体" w:hint="default"/>
                <w:sz w:val="18"/>
                <w:szCs w:val="18"/>
              </w:rPr>
              <w:t>孙仕杰</w:t>
            </w:r>
            <w:r>
              <w:rPr>
                <w:rFonts w:ascii="Times New Roman" w:hAnsi="Times New Roman" w:cs="Times New Roman" w:eastAsia="Times New Roman" w:hint="default"/>
                <w:sz w:val="18"/>
                <w:szCs w:val="18"/>
              </w:rPr>
              <w:t>;</w:t>
            </w:r>
            <w:r>
              <w:rPr>
                <w:rFonts w:ascii="宋体" w:hAnsi="宋体" w:cs="宋体" w:eastAsia="宋体" w:hint="default"/>
                <w:sz w:val="18"/>
                <w:szCs w:val="18"/>
              </w:rPr>
              <w:t>孙忠 良</w:t>
            </w:r>
            <w:r>
              <w:rPr>
                <w:rFonts w:ascii="Times New Roman" w:hAnsi="Times New Roman" w:cs="Times New Roman" w:eastAsia="Times New Roman" w:hint="default"/>
                <w:sz w:val="18"/>
                <w:szCs w:val="18"/>
              </w:rPr>
              <w:t>;</w:t>
            </w:r>
            <w:r>
              <w:rPr>
                <w:rFonts w:ascii="宋体" w:hAnsi="宋体" w:cs="宋体" w:eastAsia="宋体" w:hint="default"/>
                <w:sz w:val="18"/>
                <w:szCs w:val="18"/>
              </w:rPr>
              <w:t>魏先锋</w:t>
            </w:r>
            <w:r>
              <w:rPr>
                <w:rFonts w:ascii="Times New Roman" w:hAnsi="Times New Roman" w:cs="Times New Roman" w:eastAsia="Times New Roman" w:hint="default"/>
                <w:sz w:val="18"/>
                <w:szCs w:val="18"/>
              </w:rPr>
              <w:t>;</w:t>
            </w:r>
            <w:r>
              <w:rPr>
                <w:rFonts w:ascii="宋体" w:hAnsi="宋体" w:cs="宋体" w:eastAsia="宋体" w:hint="default"/>
                <w:sz w:val="18"/>
                <w:szCs w:val="18"/>
              </w:rPr>
              <w:t>徐才 英</w:t>
            </w:r>
            <w:r>
              <w:rPr>
                <w:rFonts w:ascii="Times New Roman" w:hAnsi="Times New Roman" w:cs="Times New Roman" w:eastAsia="Times New Roman" w:hint="default"/>
                <w:sz w:val="18"/>
                <w:szCs w:val="18"/>
              </w:rPr>
              <w:t>;</w:t>
            </w:r>
            <w:r>
              <w:rPr>
                <w:rFonts w:ascii="宋体" w:hAnsi="宋体" w:cs="宋体" w:eastAsia="宋体" w:hint="default"/>
                <w:sz w:val="18"/>
                <w:szCs w:val="18"/>
              </w:rPr>
              <w:t>余荣清</w:t>
            </w:r>
            <w:r>
              <w:rPr>
                <w:rFonts w:ascii="Times New Roman" w:hAnsi="Times New Roman" w:cs="Times New Roman" w:eastAsia="Times New Roman" w:hint="default"/>
                <w:sz w:val="18"/>
                <w:szCs w:val="18"/>
              </w:rPr>
              <w:t>;</w:t>
            </w:r>
            <w:r>
              <w:rPr>
                <w:rFonts w:ascii="宋体" w:hAnsi="宋体" w:cs="宋体" w:eastAsia="宋体" w:hint="default"/>
                <w:sz w:val="18"/>
                <w:szCs w:val="18"/>
              </w:rPr>
              <w:t>余仲 清</w:t>
            </w:r>
            <w:r>
              <w:rPr>
                <w:rFonts w:ascii="Times New Roman" w:hAnsi="Times New Roman" w:cs="Times New Roman" w:eastAsia="Times New Roman" w:hint="default"/>
                <w:sz w:val="18"/>
                <w:szCs w:val="18"/>
              </w:rPr>
              <w:t>;</w:t>
            </w:r>
            <w:r>
              <w:rPr>
                <w:rFonts w:ascii="宋体" w:hAnsi="宋体" w:cs="宋体" w:eastAsia="宋体" w:hint="default"/>
                <w:sz w:val="18"/>
                <w:szCs w:val="18"/>
              </w:rPr>
              <w:t>张培兴</w:t>
            </w:r>
            <w:r>
              <w:rPr>
                <w:rFonts w:ascii="Times New Roman" w:hAnsi="Times New Roman" w:cs="Times New Roman" w:eastAsia="Times New Roman" w:hint="default"/>
                <w:sz w:val="18"/>
                <w:szCs w:val="18"/>
              </w:rPr>
              <w:t>;</w:t>
            </w:r>
            <w:r>
              <w:rPr>
                <w:rFonts w:ascii="宋体" w:hAnsi="宋体" w:cs="宋体" w:eastAsia="宋体" w:hint="default"/>
                <w:sz w:val="18"/>
                <w:szCs w:val="18"/>
              </w:rPr>
              <w:t>朱雪珍</w:t>
            </w:r>
          </w:p>
        </w:tc>
        <w:tc>
          <w:tcPr>
            <w:tcW w:w="99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4" w:lineRule="auto"/>
              <w:ind w:left="23" w:right="59"/>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723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97" w:lineRule="auto"/>
              <w:ind w:left="21" w:right="84"/>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年度利润分配及资本公积转增股本预案披露后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个月内，提议股东和控股股东及 其一致行动人、董监高承诺不减持公司股份。</w:t>
            </w:r>
          </w:p>
        </w:tc>
        <w:tc>
          <w:tcPr>
            <w:tcW w:w="99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2019-09-15</w:t>
            </w:r>
          </w:p>
        </w:tc>
        <w:tc>
          <w:tcPr>
            <w:tcW w:w="92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4" w:lineRule="auto"/>
              <w:ind w:left="23" w:right="168"/>
              <w:jc w:val="left"/>
              <w:rPr>
                <w:rFonts w:ascii="宋体" w:hAnsi="宋体" w:cs="宋体" w:eastAsia="宋体" w:hint="default"/>
                <w:sz w:val="18"/>
                <w:szCs w:val="18"/>
              </w:rPr>
            </w:pPr>
            <w:r>
              <w:rPr>
                <w:rFonts w:ascii="宋体" w:hAnsi="宋体" w:cs="宋体" w:eastAsia="宋体" w:hint="default"/>
                <w:sz w:val="18"/>
                <w:szCs w:val="18"/>
              </w:rPr>
              <w:t>承诺已履 行完毕。</w:t>
            </w:r>
          </w:p>
        </w:tc>
      </w:tr>
      <w:tr>
        <w:trPr>
          <w:trHeight w:val="3209" w:hRule="exact"/>
        </w:trPr>
        <w:tc>
          <w:tcPr>
            <w:tcW w:w="1702" w:type="dxa"/>
            <w:vMerge/>
            <w:tcBorders>
              <w:left w:val="single" w:sz="4" w:space="0" w:color="000000"/>
              <w:right w:val="single" w:sz="4" w:space="0" w:color="000000"/>
            </w:tcBorders>
            <w:shd w:val="clear" w:color="auto" w:fill="D2D2D2"/>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林章威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316" w:lineRule="auto"/>
              <w:ind w:left="23" w:right="59"/>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723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1" w:right="19"/>
              <w:jc w:val="both"/>
              <w:rPr>
                <w:rFonts w:ascii="宋体" w:hAnsi="宋体" w:cs="宋体" w:eastAsia="宋体" w:hint="default"/>
                <w:sz w:val="18"/>
                <w:szCs w:val="18"/>
              </w:rPr>
            </w:pPr>
            <w:r>
              <w:rPr>
                <w:rFonts w:ascii="宋体" w:hAnsi="宋体" w:cs="宋体" w:eastAsia="宋体" w:hint="default"/>
                <w:spacing w:val="-2"/>
                <w:sz w:val="18"/>
                <w:szCs w:val="18"/>
              </w:rPr>
              <w:t>林章威先生（</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乙方</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）按本协议第二条购入的苏州恒久光电科技股份有限公司（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甲方</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恒</w:t>
            </w:r>
            <w:r>
              <w:rPr>
                <w:rFonts w:ascii="宋体" w:hAnsi="宋体" w:cs="宋体" w:eastAsia="宋体" w:hint="default"/>
                <w:spacing w:val="-73"/>
                <w:sz w:val="18"/>
                <w:szCs w:val="18"/>
              </w:rPr>
              <w:t> </w:t>
            </w:r>
            <w:r>
              <w:rPr>
                <w:rFonts w:ascii="宋体" w:hAnsi="宋体" w:cs="宋体" w:eastAsia="宋体" w:hint="default"/>
                <w:spacing w:val="-5"/>
                <w:w w:val="100"/>
                <w:sz w:val="18"/>
                <w:szCs w:val="18"/>
              </w:rPr>
              <w:t>久科技</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）股份，乙方承诺：（</w:t>
            </w:r>
            <w:r>
              <w:rPr>
                <w:rFonts w:ascii="Times New Roman" w:hAnsi="Times New Roman" w:cs="Times New Roman" w:eastAsia="Times New Roman" w:hint="default"/>
                <w:spacing w:val="-5"/>
                <w:w w:val="100"/>
                <w:sz w:val="18"/>
                <w:szCs w:val="18"/>
              </w:rPr>
              <w:t>1</w:t>
            </w:r>
            <w:r>
              <w:rPr>
                <w:rFonts w:ascii="宋体" w:hAnsi="宋体" w:cs="宋体" w:eastAsia="宋体" w:hint="default"/>
                <w:spacing w:val="-5"/>
                <w:w w:val="100"/>
                <w:sz w:val="18"/>
                <w:szCs w:val="18"/>
              </w:rPr>
              <w:t>）自股份购买完成之日起</w:t>
            </w:r>
            <w:r>
              <w:rPr>
                <w:rFonts w:ascii="宋体" w:hAnsi="宋体" w:cs="宋体" w:eastAsia="宋体" w:hint="default"/>
                <w:spacing w:val="-33"/>
                <w:w w:val="100"/>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pacing w:val="-1"/>
                <w:sz w:val="18"/>
                <w:szCs w:val="18"/>
              </w:rPr>
              <w:t>个月内不得以任何形式转让；自</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股份购买完成之日起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个月内，减持股份数额不超过购买股份总数的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；自股份购买完 成之日起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个月内，累计减持股份数额不超过购买股份总数的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；自股份购买完成之日 起</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个月内，累计减持股份数额不超过购买股份总数的</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；自股份购买完成之日起</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个</w:t>
            </w:r>
          </w:p>
          <w:p>
            <w:pPr>
              <w:pStyle w:val="TableParagraph"/>
              <w:spacing w:line="304" w:lineRule="auto" w:before="13"/>
              <w:ind w:left="21" w:right="19"/>
              <w:jc w:val="both"/>
              <w:rPr>
                <w:rFonts w:ascii="宋体" w:hAnsi="宋体" w:cs="宋体" w:eastAsia="宋体" w:hint="default"/>
                <w:sz w:val="18"/>
                <w:szCs w:val="18"/>
              </w:rPr>
            </w:pPr>
            <w:r>
              <w:rPr>
                <w:rFonts w:ascii="宋体" w:hAnsi="宋体" w:cs="宋体" w:eastAsia="宋体" w:hint="default"/>
                <w:spacing w:val="-3"/>
                <w:sz w:val="18"/>
                <w:szCs w:val="18"/>
              </w:rPr>
              <w:t>月内，累计减持股份数额不超过购买股份总数的</w:t>
            </w:r>
            <w:r>
              <w:rPr>
                <w:rFonts w:ascii="宋体" w:hAnsi="宋体" w:cs="宋体" w:eastAsia="宋体" w:hint="default"/>
                <w:spacing w:val="-31"/>
                <w:sz w:val="18"/>
                <w:szCs w:val="18"/>
              </w:rPr>
              <w:t> </w:t>
            </w:r>
            <w:r>
              <w:rPr>
                <w:rFonts w:ascii="Times New Roman" w:hAnsi="Times New Roman" w:cs="Times New Roman" w:eastAsia="Times New Roman" w:hint="default"/>
                <w:spacing w:val="-3"/>
                <w:sz w:val="18"/>
                <w:szCs w:val="18"/>
              </w:rPr>
              <w:t>80%</w:t>
            </w:r>
            <w:r>
              <w:rPr>
                <w:rFonts w:ascii="宋体" w:hAnsi="宋体" w:cs="宋体" w:eastAsia="宋体" w:hint="default"/>
                <w:spacing w:val="-3"/>
                <w:sz w:val="18"/>
                <w:szCs w:val="18"/>
              </w:rPr>
              <w:t>；剩余股份可在股份购买完成之日起</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40"/>
                <w:sz w:val="18"/>
                <w:szCs w:val="18"/>
              </w:rPr>
              <w:t> </w:t>
            </w:r>
            <w:r>
              <w:rPr>
                <w:rFonts w:ascii="宋体" w:hAnsi="宋体" w:cs="宋体" w:eastAsia="宋体" w:hint="default"/>
                <w:spacing w:val="-3"/>
                <w:sz w:val="18"/>
                <w:szCs w:val="18"/>
              </w:rPr>
              <w:t>个月之后进行转让。（</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）在股份购买完成之日后，购买股份若由于甲方送红股、转增股本等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原因而增加的恒久科技股份，亦应遵守上述约定。（</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）如本人违反上述承诺给甲方造成实际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损失的，由本人承担赔偿责任；此外，本人应将违反上述承诺减持而获得的收益无偿上缴给</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甲方。</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2025-03-31</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316" w:lineRule="auto"/>
              <w:ind w:left="23" w:right="168"/>
              <w:jc w:val="left"/>
              <w:rPr>
                <w:rFonts w:ascii="宋体" w:hAnsi="宋体" w:cs="宋体" w:eastAsia="宋体" w:hint="default"/>
                <w:sz w:val="18"/>
                <w:szCs w:val="18"/>
              </w:rPr>
            </w:pPr>
            <w:r>
              <w:rPr>
                <w:rFonts w:ascii="宋体" w:hAnsi="宋体" w:cs="宋体" w:eastAsia="宋体" w:hint="default"/>
                <w:sz w:val="18"/>
                <w:szCs w:val="18"/>
              </w:rPr>
              <w:t>严格履行 承诺</w:t>
            </w:r>
          </w:p>
        </w:tc>
      </w:tr>
      <w:tr>
        <w:trPr>
          <w:trHeight w:val="4107" w:hRule="exact"/>
        </w:trPr>
        <w:tc>
          <w:tcPr>
            <w:tcW w:w="1702" w:type="dxa"/>
            <w:vMerge/>
            <w:tcBorders>
              <w:left w:val="single" w:sz="4" w:space="0" w:color="000000"/>
              <w:bottom w:val="single" w:sz="4" w:space="0" w:color="000000"/>
              <w:right w:val="single" w:sz="4" w:space="0" w:color="000000"/>
            </w:tcBorders>
            <w:shd w:val="clear" w:color="auto" w:fill="D2D2D2"/>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林章威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6" w:lineRule="auto"/>
              <w:ind w:left="23" w:right="59"/>
              <w:jc w:val="left"/>
              <w:rPr>
                <w:rFonts w:ascii="宋体" w:hAnsi="宋体" w:cs="宋体" w:eastAsia="宋体" w:hint="default"/>
                <w:sz w:val="18"/>
                <w:szCs w:val="18"/>
              </w:rPr>
            </w:pPr>
            <w:r>
              <w:rPr>
                <w:rFonts w:ascii="宋体" w:hAnsi="宋体" w:cs="宋体" w:eastAsia="宋体" w:hint="default"/>
                <w:sz w:val="18"/>
                <w:szCs w:val="18"/>
              </w:rPr>
              <w:t>业绩承诺及 补偿安排</w:t>
            </w:r>
          </w:p>
        </w:tc>
        <w:tc>
          <w:tcPr>
            <w:tcW w:w="7230" w:type="dxa"/>
            <w:tcBorders>
              <w:top w:val="single" w:sz="4" w:space="0" w:color="000000"/>
              <w:left w:val="single" w:sz="4" w:space="0" w:color="000000"/>
              <w:bottom w:val="single" w:sz="4" w:space="0" w:color="000000"/>
              <w:right w:val="single" w:sz="10" w:space="0" w:color="FFFFFF"/>
            </w:tcBorders>
          </w:tcPr>
          <w:p>
            <w:pPr>
              <w:pStyle w:val="TableParagraph"/>
              <w:spacing w:line="300" w:lineRule="auto" w:before="51"/>
              <w:ind w:left="21" w:right="12"/>
              <w:jc w:val="both"/>
              <w:rPr>
                <w:rFonts w:ascii="宋体" w:hAnsi="宋体" w:cs="宋体" w:eastAsia="宋体" w:hint="default"/>
                <w:sz w:val="18"/>
                <w:szCs w:val="18"/>
              </w:rPr>
            </w:pPr>
            <w:r>
              <w:rPr>
                <w:rFonts w:ascii="宋体" w:hAnsi="宋体" w:cs="宋体" w:eastAsia="宋体" w:hint="default"/>
                <w:spacing w:val="-5"/>
                <w:sz w:val="18"/>
                <w:szCs w:val="18"/>
              </w:rPr>
              <w:t>福建省闽保信息技术有限公司（</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标的公司</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年实际净利润不低于人民币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1,500 </w:t>
            </w:r>
            <w:r>
              <w:rPr>
                <w:rFonts w:ascii="宋体" w:hAnsi="宋体" w:cs="宋体" w:eastAsia="宋体" w:hint="default"/>
                <w:spacing w:val="-16"/>
                <w:sz w:val="18"/>
                <w:szCs w:val="18"/>
              </w:rPr>
              <w:t>万元（净</w:t>
            </w:r>
            <w:r>
              <w:rPr>
                <w:rFonts w:ascii="宋体" w:hAnsi="宋体" w:cs="宋体" w:eastAsia="宋体" w:hint="default"/>
                <w:sz w:val="18"/>
                <w:szCs w:val="18"/>
              </w:rPr>
              <w:t> 利润为标的公司经审计的财务报告中的合并利润表中的</w:t>
            </w:r>
            <w:r>
              <w:rPr>
                <w:rFonts w:ascii="Times New Roman" w:hAnsi="Times New Roman" w:cs="Times New Roman" w:eastAsia="Times New Roman" w:hint="default"/>
                <w:sz w:val="18"/>
                <w:szCs w:val="18"/>
              </w:rPr>
              <w:t>“</w:t>
            </w:r>
            <w:r>
              <w:rPr>
                <w:rFonts w:ascii="宋体" w:hAnsi="宋体" w:cs="宋体" w:eastAsia="宋体" w:hint="default"/>
                <w:sz w:val="18"/>
                <w:szCs w:val="18"/>
              </w:rPr>
              <w:t>归属于母公司所有者的净利润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，下</w:t>
            </w:r>
            <w:r>
              <w:rPr>
                <w:rFonts w:ascii="宋体" w:hAnsi="宋体" w:cs="宋体" w:eastAsia="宋体" w:hint="default"/>
                <w:spacing w:val="-5"/>
                <w:sz w:val="18"/>
                <w:szCs w:val="18"/>
              </w:rPr>
              <w:t> </w:t>
            </w:r>
            <w:r>
              <w:rPr>
                <w:rFonts w:ascii="宋体" w:hAnsi="宋体" w:cs="宋体" w:eastAsia="宋体" w:hint="default"/>
                <w:spacing w:val="-14"/>
                <w:sz w:val="18"/>
                <w:szCs w:val="18"/>
              </w:rPr>
              <w:t>同）；</w:t>
            </w:r>
            <w:r>
              <w:rPr>
                <w:rFonts w:ascii="Times New Roman" w:hAnsi="Times New Roman" w:cs="Times New Roman" w:eastAsia="Times New Roman" w:hint="default"/>
                <w:spacing w:val="-14"/>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年至</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2020</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年累计实际净利润不低于人民币</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3,700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年至</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2021</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年累计实</w:t>
            </w:r>
          </w:p>
          <w:p>
            <w:pPr>
              <w:pStyle w:val="TableParagraph"/>
              <w:spacing w:line="240" w:lineRule="auto" w:before="13"/>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际净利润不低于人民币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6,560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2022 </w:t>
            </w:r>
            <w:r>
              <w:rPr>
                <w:rFonts w:ascii="宋体" w:hAnsi="宋体" w:cs="宋体" w:eastAsia="宋体" w:hint="default"/>
                <w:sz w:val="18"/>
                <w:szCs w:val="18"/>
              </w:rPr>
              <w:t>年累计实际净利润不低于人民币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10,278</w:t>
            </w:r>
          </w:p>
          <w:p>
            <w:pPr>
              <w:pStyle w:val="TableParagraph"/>
              <w:spacing w:line="304" w:lineRule="auto" w:before="63"/>
              <w:ind w:left="21" w:right="14"/>
              <w:jc w:val="left"/>
              <w:rPr>
                <w:rFonts w:ascii="宋体" w:hAnsi="宋体" w:cs="宋体" w:eastAsia="宋体" w:hint="default"/>
                <w:sz w:val="18"/>
                <w:szCs w:val="18"/>
              </w:rPr>
            </w:pPr>
            <w:r>
              <w:rPr>
                <w:rFonts w:ascii="宋体" w:hAnsi="宋体" w:cs="宋体" w:eastAsia="宋体" w:hint="default"/>
                <w:sz w:val="18"/>
                <w:szCs w:val="18"/>
              </w:rPr>
              <w:t>万元；</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2023 </w:t>
            </w:r>
            <w:r>
              <w:rPr>
                <w:rFonts w:ascii="宋体" w:hAnsi="宋体" w:cs="宋体" w:eastAsia="宋体" w:hint="default"/>
                <w:sz w:val="18"/>
                <w:szCs w:val="18"/>
              </w:rPr>
              <w:t>年累计实际净利润不低于人民币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14,728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2024 </w:t>
            </w:r>
            <w:r>
              <w:rPr>
                <w:rFonts w:ascii="宋体" w:hAnsi="宋体" w:cs="宋体" w:eastAsia="宋体" w:hint="default"/>
                <w:sz w:val="18"/>
                <w:szCs w:val="18"/>
              </w:rPr>
              <w:t>年累计 实际净利润不低于人民币 </w:t>
            </w:r>
            <w:r>
              <w:rPr>
                <w:rFonts w:ascii="Times New Roman" w:hAnsi="Times New Roman" w:cs="Times New Roman" w:eastAsia="Times New Roman" w:hint="default"/>
                <w:spacing w:val="-1"/>
                <w:sz w:val="18"/>
                <w:szCs w:val="18"/>
              </w:rPr>
              <w:t>19,808</w:t>
            </w:r>
            <w:r>
              <w:rPr>
                <w:rFonts w:ascii="Times New Roman" w:hAnsi="Times New Roman" w:cs="Times New Roman" w:eastAsia="Times New Roman" w:hint="default"/>
                <w:sz w:val="18"/>
                <w:szCs w:val="18"/>
              </w:rPr>
              <w:t> </w:t>
            </w:r>
            <w:r>
              <w:rPr>
                <w:rFonts w:ascii="宋体" w:hAnsi="宋体" w:cs="宋体" w:eastAsia="宋体" w:hint="default"/>
                <w:spacing w:val="-11"/>
                <w:sz w:val="18"/>
                <w:szCs w:val="18"/>
              </w:rPr>
              <w:t>万元。（</w:t>
            </w:r>
            <w:r>
              <w:rPr>
                <w:rFonts w:ascii="Times New Roman" w:hAnsi="Times New Roman" w:cs="Times New Roman" w:eastAsia="Times New Roman" w:hint="default"/>
                <w:spacing w:val="-11"/>
                <w:sz w:val="18"/>
                <w:szCs w:val="18"/>
              </w:rPr>
              <w:t>2</w:t>
            </w:r>
            <w:r>
              <w:rPr>
                <w:rFonts w:ascii="宋体" w:hAnsi="宋体" w:cs="宋体" w:eastAsia="宋体" w:hint="default"/>
                <w:spacing w:val="-11"/>
                <w:sz w:val="18"/>
                <w:szCs w:val="18"/>
              </w:rPr>
              <w:t>）补偿安排</w:t>
            </w:r>
            <w:r>
              <w:rPr>
                <w:rFonts w:ascii="宋体" w:hAnsi="宋体" w:cs="宋体" w:eastAsia="宋体" w:hint="default"/>
                <w:sz w:val="18"/>
                <w:szCs w:val="18"/>
              </w:rPr>
              <w:t> </w:t>
            </w:r>
            <w:r>
              <w:rPr>
                <w:rFonts w:ascii="宋体" w:hAnsi="宋体" w:cs="宋体" w:eastAsia="宋体" w:hint="default"/>
                <w:spacing w:val="-1"/>
                <w:sz w:val="18"/>
                <w:szCs w:val="18"/>
              </w:rPr>
              <w:t>①业绩承诺补偿安排</w:t>
            </w:r>
            <w:r>
              <w:rPr>
                <w:rFonts w:ascii="宋体" w:hAnsi="宋体" w:cs="宋体" w:eastAsia="宋体" w:hint="default"/>
                <w:spacing w:val="-74"/>
                <w:sz w:val="18"/>
                <w:szCs w:val="18"/>
              </w:rPr>
              <w:t> </w:t>
            </w:r>
            <w:r>
              <w:rPr>
                <w:rFonts w:ascii="Times New Roman" w:hAnsi="Times New Roman" w:cs="Times New Roman" w:eastAsia="Times New Roman" w:hint="default"/>
                <w:spacing w:val="-1"/>
                <w:w w:val="99"/>
                <w:sz w:val="18"/>
                <w:szCs w:val="18"/>
              </w:rPr>
              <w:t>A.</w:t>
            </w:r>
            <w:r>
              <w:rPr>
                <w:rFonts w:ascii="宋体" w:hAnsi="宋体" w:cs="宋体" w:eastAsia="宋体" w:hint="default"/>
                <w:spacing w:val="-1"/>
                <w:w w:val="99"/>
                <w:sz w:val="18"/>
                <w:szCs w:val="18"/>
              </w:rPr>
              <w:t>如标的公司在</w:t>
            </w:r>
            <w:r>
              <w:rPr>
                <w:rFonts w:ascii="宋体" w:hAnsi="宋体" w:cs="宋体" w:eastAsia="宋体" w:hint="default"/>
                <w:sz w:val="18"/>
                <w:szCs w:val="18"/>
              </w:rPr>
              <w:t> 某承诺期内经证券期货相关业务资格的会计师事务所审计的净利润未达到本协议第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条 </w:t>
            </w:r>
            <w:r>
              <w:rPr>
                <w:rFonts w:ascii="宋体" w:hAnsi="宋体" w:cs="宋体" w:eastAsia="宋体" w:hint="default"/>
                <w:spacing w:val="-3"/>
                <w:sz w:val="18"/>
                <w:szCs w:val="18"/>
              </w:rPr>
              <w:t>所述的乙方承诺净利润，乙方同意以现金方式对甲方进行补偿，补偿金额按照如下公式计算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该承诺期补偿金额</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本次交易价格</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（该业绩承诺期内累积承诺净利润－该业绩承诺期内累积</w:t>
            </w:r>
            <w:r>
              <w:rPr>
                <w:rFonts w:ascii="宋体" w:hAnsi="宋体" w:cs="宋体" w:eastAsia="宋体" w:hint="default"/>
                <w:spacing w:val="-58"/>
                <w:sz w:val="18"/>
                <w:szCs w:val="18"/>
              </w:rPr>
              <w:t> </w:t>
            </w:r>
            <w:r>
              <w:rPr>
                <w:rFonts w:ascii="宋体" w:hAnsi="宋体" w:cs="宋体" w:eastAsia="宋体" w:hint="default"/>
                <w:sz w:val="18"/>
                <w:szCs w:val="18"/>
              </w:rPr>
              <w:t>实现净利润）</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年承诺净利润总和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19,808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万元－截至该承诺期的累积已补偿金</w:t>
            </w:r>
          </w:p>
          <w:p>
            <w:pPr>
              <w:pStyle w:val="TableParagraph"/>
              <w:spacing w:line="240" w:lineRule="auto" w:before="9"/>
              <w:ind w:left="21" w:right="0"/>
              <w:jc w:val="left"/>
              <w:rPr>
                <w:rFonts w:ascii="宋体" w:hAnsi="宋体" w:cs="宋体" w:eastAsia="宋体" w:hint="default"/>
                <w:sz w:val="18"/>
                <w:szCs w:val="18"/>
              </w:rPr>
            </w:pPr>
            <w:r>
              <w:rPr>
                <w:rFonts w:ascii="宋体" w:hAnsi="宋体" w:cs="宋体" w:eastAsia="宋体" w:hint="default"/>
                <w:sz w:val="18"/>
                <w:szCs w:val="18"/>
              </w:rPr>
              <w:t>额。</w:t>
            </w:r>
            <w:r>
              <w:rPr>
                <w:rFonts w:ascii="Times New Roman" w:hAnsi="Times New Roman" w:cs="Times New Roman" w:eastAsia="Times New Roman" w:hint="default"/>
                <w:sz w:val="18"/>
                <w:szCs w:val="18"/>
              </w:rPr>
              <w:t>B.</w:t>
            </w:r>
            <w:r>
              <w:rPr>
                <w:rFonts w:ascii="宋体" w:hAnsi="宋体" w:cs="宋体" w:eastAsia="宋体" w:hint="default"/>
                <w:sz w:val="18"/>
                <w:szCs w:val="18"/>
              </w:rPr>
              <w:t>在各期计算的补偿金额小于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时，按</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取值，即已经补偿的金额不退回。</w:t>
            </w:r>
            <w:r>
              <w:rPr>
                <w:rFonts w:ascii="Times New Roman" w:hAnsi="Times New Roman" w:cs="Times New Roman" w:eastAsia="Times New Roman" w:hint="default"/>
                <w:sz w:val="18"/>
                <w:szCs w:val="18"/>
              </w:rPr>
              <w:t>C.</w:t>
            </w:r>
            <w:r>
              <w:rPr>
                <w:rFonts w:ascii="宋体" w:hAnsi="宋体" w:cs="宋体" w:eastAsia="宋体" w:hint="default"/>
                <w:sz w:val="18"/>
                <w:szCs w:val="18"/>
              </w:rPr>
              <w:t>甲方于证</w:t>
            </w:r>
          </w:p>
          <w:p>
            <w:pPr>
              <w:pStyle w:val="TableParagraph"/>
              <w:spacing w:line="240" w:lineRule="auto" w:before="62"/>
              <w:ind w:left="21" w:right="0"/>
              <w:jc w:val="left"/>
              <w:rPr>
                <w:rFonts w:ascii="宋体" w:hAnsi="宋体" w:cs="宋体" w:eastAsia="宋体" w:hint="default"/>
                <w:sz w:val="18"/>
                <w:szCs w:val="18"/>
              </w:rPr>
            </w:pPr>
            <w:r>
              <w:rPr>
                <w:rFonts w:ascii="宋体" w:hAnsi="宋体" w:cs="宋体" w:eastAsia="宋体" w:hint="default"/>
                <w:sz w:val="18"/>
                <w:szCs w:val="18"/>
              </w:rPr>
              <w:t>券期货相关业务资格的会计师事务所出具业绩承诺期内年度审计报告之日起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日内，确认</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并通知乙方是否需要进行业绩补偿以及需要补偿的金额。乙方应当在接收到甲方的通知后</w:t>
            </w:r>
            <w:r>
              <w:rPr>
                <w:rFonts w:ascii="宋体" w:hAnsi="宋体" w:cs="宋体" w:eastAsia="宋体" w:hint="default"/>
                <w:spacing w:val="-38"/>
                <w:sz w:val="18"/>
                <w:szCs w:val="18"/>
              </w:rPr>
              <w:t> </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z w:val="18"/>
                <w:szCs w:val="18"/>
              </w:rPr>
            </w:r>
          </w:p>
        </w:tc>
        <w:tc>
          <w:tcPr>
            <w:tcW w:w="994"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12" w:lineRule="exact" w:before="63"/>
              <w:ind w:left="1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199"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2024-12-31</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6" w:lineRule="auto"/>
              <w:ind w:left="23" w:right="168"/>
              <w:jc w:val="left"/>
              <w:rPr>
                <w:rFonts w:ascii="宋体" w:hAnsi="宋体" w:cs="宋体" w:eastAsia="宋体" w:hint="default"/>
                <w:sz w:val="18"/>
                <w:szCs w:val="18"/>
              </w:rPr>
            </w:pPr>
            <w:r>
              <w:rPr>
                <w:rFonts w:ascii="宋体" w:hAnsi="宋体" w:cs="宋体" w:eastAsia="宋体" w:hint="default"/>
                <w:sz w:val="18"/>
                <w:szCs w:val="18"/>
              </w:rPr>
              <w:t>严格履行 承诺</w:t>
            </w:r>
          </w:p>
        </w:tc>
      </w:tr>
    </w:tbl>
    <w:p>
      <w:pPr>
        <w:spacing w:after="0" w:line="316" w:lineRule="auto"/>
        <w:jc w:val="left"/>
        <w:rPr>
          <w:rFonts w:ascii="宋体" w:hAnsi="宋体" w:cs="宋体" w:eastAsia="宋体" w:hint="default"/>
          <w:sz w:val="18"/>
          <w:szCs w:val="18"/>
        </w:rPr>
        <w:sectPr>
          <w:pgSz w:w="16840" w:h="11910" w:orient="landscape"/>
          <w:pgMar w:header="867" w:footer="980" w:top="1060" w:bottom="1160" w:left="1180" w:right="116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702"/>
        <w:gridCol w:w="1423"/>
        <w:gridCol w:w="994"/>
        <w:gridCol w:w="7230"/>
        <w:gridCol w:w="994"/>
        <w:gridCol w:w="991"/>
        <w:gridCol w:w="924"/>
      </w:tblGrid>
      <w:tr>
        <w:trPr>
          <w:trHeight w:val="2249" w:hRule="exact"/>
        </w:trPr>
        <w:tc>
          <w:tcPr>
            <w:tcW w:w="1702"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423" w:type="dxa"/>
            <w:tcBorders>
              <w:top w:val="single" w:sz="15" w:space="0" w:color="000000"/>
              <w:left w:val="single" w:sz="4" w:space="0" w:color="000000"/>
              <w:bottom w:val="single" w:sz="4" w:space="0" w:color="000000"/>
              <w:right w:val="single" w:sz="4" w:space="0" w:color="000000"/>
            </w:tcBorders>
          </w:tcPr>
          <w:p>
            <w:pPr/>
          </w:p>
        </w:tc>
        <w:tc>
          <w:tcPr>
            <w:tcW w:w="994" w:type="dxa"/>
            <w:tcBorders>
              <w:top w:val="single" w:sz="15" w:space="0" w:color="000000"/>
              <w:left w:val="single" w:sz="4" w:space="0" w:color="000000"/>
              <w:bottom w:val="single" w:sz="4" w:space="0" w:color="000000"/>
              <w:right w:val="single" w:sz="4" w:space="0" w:color="000000"/>
            </w:tcBorders>
          </w:tcPr>
          <w:p>
            <w:pPr/>
          </w:p>
        </w:tc>
        <w:tc>
          <w:tcPr>
            <w:tcW w:w="7230" w:type="dxa"/>
            <w:tcBorders>
              <w:top w:val="single" w:sz="15" w:space="0" w:color="000000"/>
              <w:left w:val="single" w:sz="4" w:space="0" w:color="000000"/>
              <w:bottom w:val="single" w:sz="4" w:space="0" w:color="000000"/>
              <w:right w:val="single" w:sz="4" w:space="0" w:color="000000"/>
            </w:tcBorders>
          </w:tcPr>
          <w:p>
            <w:pPr>
              <w:pStyle w:val="TableParagraph"/>
              <w:spacing w:line="304" w:lineRule="auto" w:before="11"/>
              <w:ind w:left="21" w:right="17"/>
              <w:jc w:val="both"/>
              <w:rPr>
                <w:rFonts w:ascii="宋体" w:hAnsi="宋体" w:cs="宋体" w:eastAsia="宋体" w:hint="default"/>
                <w:sz w:val="18"/>
                <w:szCs w:val="18"/>
              </w:rPr>
            </w:pPr>
            <w:r>
              <w:rPr>
                <w:rFonts w:ascii="宋体" w:hAnsi="宋体" w:cs="宋体" w:eastAsia="宋体" w:hint="default"/>
                <w:sz w:val="18"/>
                <w:szCs w:val="18"/>
              </w:rPr>
              <w:t>日内履行相应的补偿义务。②资产减值补偿安排</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在业绩承诺期届满时，即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年会计年 </w:t>
            </w:r>
            <w:r>
              <w:rPr>
                <w:rFonts w:ascii="宋体" w:hAnsi="宋体" w:cs="宋体" w:eastAsia="宋体" w:hint="default"/>
                <w:spacing w:val="-1"/>
                <w:sz w:val="18"/>
                <w:szCs w:val="18"/>
              </w:rPr>
              <w:t>度结束时，甲方将聘请具有证券期货相关业务资格的会计师事务所对甲方所持有的标的公司</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的全部股权进行减值测试，若甲方所持有的标的公司的全部股权累计减值额</w:t>
            </w:r>
            <w:r>
              <w:rPr>
                <w:rFonts w:ascii="Times New Roman" w:hAnsi="Times New Roman" w:cs="Times New Roman" w:eastAsia="Times New Roman" w:hint="default"/>
                <w:sz w:val="18"/>
                <w:szCs w:val="18"/>
              </w:rPr>
              <w:t>&gt;</w:t>
            </w:r>
            <w:r>
              <w:rPr>
                <w:rFonts w:ascii="宋体" w:hAnsi="宋体" w:cs="宋体" w:eastAsia="宋体" w:hint="default"/>
                <w:sz w:val="18"/>
                <w:szCs w:val="18"/>
              </w:rPr>
              <w:t>承诺期乙方合 计已补偿金额，补偿金额按照如下公式计算：减值补偿金额</w:t>
            </w:r>
            <w:r>
              <w:rPr>
                <w:rFonts w:ascii="Times New Roman" w:hAnsi="Times New Roman" w:cs="Times New Roman" w:eastAsia="Times New Roman" w:hint="default"/>
                <w:sz w:val="18"/>
                <w:szCs w:val="18"/>
              </w:rPr>
              <w:t>=</w:t>
            </w:r>
            <w:r>
              <w:rPr>
                <w:rFonts w:ascii="宋体" w:hAnsi="宋体" w:cs="宋体" w:eastAsia="宋体" w:hint="default"/>
                <w:sz w:val="18"/>
                <w:szCs w:val="18"/>
              </w:rPr>
              <w:t>期末减值额－在业绩承诺期内 </w:t>
            </w:r>
            <w:r>
              <w:rPr>
                <w:rFonts w:ascii="宋体" w:hAnsi="宋体" w:cs="宋体" w:eastAsia="宋体" w:hint="default"/>
                <w:spacing w:val="-3"/>
                <w:sz w:val="18"/>
                <w:szCs w:val="18"/>
              </w:rPr>
              <w:t>已支付的业绩补偿金额。</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甲方于证券期货相关业务资格的会计师事务所出具</w:t>
            </w:r>
            <w:r>
              <w:rPr>
                <w:rFonts w:ascii="宋体" w:hAnsi="宋体" w:cs="宋体" w:eastAsia="宋体" w:hint="default"/>
                <w:sz w:val="18"/>
                <w:szCs w:val="18"/>
              </w:rPr>
              <w:t> </w:t>
            </w: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年年度审</w:t>
            </w:r>
          </w:p>
          <w:p>
            <w:pPr>
              <w:pStyle w:val="TableParagraph"/>
              <w:spacing w:line="240" w:lineRule="auto" w:before="9"/>
              <w:ind w:left="21" w:right="0"/>
              <w:jc w:val="both"/>
              <w:rPr>
                <w:rFonts w:ascii="宋体" w:hAnsi="宋体" w:cs="宋体" w:eastAsia="宋体" w:hint="default"/>
                <w:sz w:val="18"/>
                <w:szCs w:val="18"/>
              </w:rPr>
            </w:pPr>
            <w:r>
              <w:rPr>
                <w:rFonts w:ascii="宋体" w:hAnsi="宋体" w:cs="宋体" w:eastAsia="宋体" w:hint="default"/>
                <w:sz w:val="18"/>
                <w:szCs w:val="18"/>
              </w:rPr>
              <w:t>计报告之日起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日内，确认并通知乙方是否需要进行资产减值补偿以及需要补偿的金额。</w:t>
            </w:r>
          </w:p>
          <w:p>
            <w:pPr>
              <w:pStyle w:val="TableParagraph"/>
              <w:spacing w:line="240" w:lineRule="auto" w:before="63"/>
              <w:ind w:left="21" w:right="0"/>
              <w:jc w:val="both"/>
              <w:rPr>
                <w:rFonts w:ascii="宋体" w:hAnsi="宋体" w:cs="宋体" w:eastAsia="宋体" w:hint="default"/>
                <w:sz w:val="18"/>
                <w:szCs w:val="18"/>
              </w:rPr>
            </w:pPr>
            <w:r>
              <w:rPr>
                <w:rFonts w:ascii="宋体" w:hAnsi="宋体" w:cs="宋体" w:eastAsia="宋体" w:hint="default"/>
                <w:sz w:val="18"/>
                <w:szCs w:val="18"/>
              </w:rPr>
              <w:t>乙方应当在接收到甲方的通知后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日内履行相应的补偿义务。</w:t>
            </w:r>
          </w:p>
        </w:tc>
        <w:tc>
          <w:tcPr>
            <w:tcW w:w="994" w:type="dxa"/>
            <w:tcBorders>
              <w:top w:val="single" w:sz="15" w:space="0" w:color="000000"/>
              <w:left w:val="single" w:sz="4" w:space="0" w:color="000000"/>
              <w:bottom w:val="single" w:sz="4" w:space="0" w:color="000000"/>
              <w:right w:val="single" w:sz="4" w:space="0" w:color="000000"/>
            </w:tcBorders>
          </w:tcPr>
          <w:p>
            <w:pPr/>
          </w:p>
        </w:tc>
        <w:tc>
          <w:tcPr>
            <w:tcW w:w="991" w:type="dxa"/>
            <w:tcBorders>
              <w:top w:val="single" w:sz="15" w:space="0" w:color="000000"/>
              <w:left w:val="single" w:sz="4" w:space="0" w:color="000000"/>
              <w:bottom w:val="single" w:sz="4" w:space="0" w:color="000000"/>
              <w:right w:val="single" w:sz="4" w:space="0" w:color="000000"/>
            </w:tcBorders>
          </w:tcPr>
          <w:p>
            <w:pPr/>
          </w:p>
        </w:tc>
        <w:tc>
          <w:tcPr>
            <w:tcW w:w="924" w:type="dxa"/>
            <w:tcBorders>
              <w:top w:val="single" w:sz="15" w:space="0" w:color="000000"/>
              <w:left w:val="single" w:sz="4" w:space="0" w:color="000000"/>
              <w:bottom w:val="single" w:sz="4" w:space="0" w:color="000000"/>
              <w:right w:val="single" w:sz="4" w:space="0" w:color="000000"/>
            </w:tcBorders>
          </w:tcPr>
          <w:p>
            <w:pPr/>
          </w:p>
        </w:tc>
      </w:tr>
      <w:tr>
        <w:trPr>
          <w:trHeight w:val="879"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255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858"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52"/>
              <w:ind w:left="23" w:right="46"/>
              <w:jc w:val="both"/>
              <w:rPr>
                <w:rFonts w:ascii="宋体" w:hAnsi="宋体" w:cs="宋体" w:eastAsia="宋体" w:hint="default"/>
                <w:sz w:val="18"/>
                <w:szCs w:val="18"/>
              </w:rPr>
            </w:pPr>
            <w:r>
              <w:rPr>
                <w:rFonts w:ascii="宋体" w:hAnsi="宋体" w:cs="宋体" w:eastAsia="宋体" w:hint="default"/>
                <w:sz w:val="18"/>
                <w:szCs w:val="18"/>
              </w:rPr>
              <w:t>如承诺超期未履行完 毕的，应当详细说明 未完成履行的具体原 因及下一步的工作计 划</w:t>
            </w:r>
          </w:p>
        </w:tc>
        <w:tc>
          <w:tcPr>
            <w:tcW w:w="1255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6840" w:h="11910" w:orient="landscape"/>
          <w:pgMar w:header="867" w:footer="980" w:top="1060" w:bottom="1160" w:left="1180" w:right="1160"/>
        </w:sectPr>
      </w:pPr>
    </w:p>
    <w:p>
      <w:pPr>
        <w:spacing w:line="240" w:lineRule="auto" w:before="8"/>
        <w:rPr>
          <w:rFonts w:ascii="Times New Roman" w:hAnsi="Times New Roman" w:cs="Times New Roman" w:eastAsia="Times New Roman" w:hint="default"/>
          <w:sz w:val="23"/>
          <w:szCs w:val="23"/>
        </w:rPr>
      </w:pPr>
    </w:p>
    <w:p>
      <w:pPr>
        <w:pStyle w:val="Heading3"/>
        <w:spacing w:line="259" w:lineRule="auto"/>
        <w:ind w:right="1133"/>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06"/>
        <w:gridCol w:w="1178"/>
        <w:gridCol w:w="1181"/>
        <w:gridCol w:w="1181"/>
        <w:gridCol w:w="1179"/>
        <w:gridCol w:w="1181"/>
        <w:gridCol w:w="1184"/>
        <w:gridCol w:w="1176"/>
      </w:tblGrid>
      <w:tr>
        <w:trPr>
          <w:trHeight w:val="71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7" w:right="106"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1"/>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96" w:right="46" w:hanging="452"/>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94" w:right="38" w:hanging="449"/>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8" w:right="106"/>
              <w:jc w:val="center"/>
              <w:rPr>
                <w:rFonts w:ascii="宋体" w:hAnsi="宋体" w:cs="宋体" w:eastAsia="宋体" w:hint="default"/>
                <w:sz w:val="18"/>
                <w:szCs w:val="18"/>
              </w:rPr>
            </w:pPr>
            <w:r>
              <w:rPr>
                <w:rFonts w:ascii="宋体" w:hAnsi="宋体" w:cs="宋体" w:eastAsia="宋体" w:hint="default"/>
                <w:sz w:val="18"/>
                <w:szCs w:val="18"/>
              </w:rPr>
              <w:t>福建省闽保信 息技术有限公 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1" w:right="0"/>
              <w:jc w:val="left"/>
              <w:rPr>
                <w:rFonts w:ascii="Times New Roman" w:hAnsi="Times New Roman" w:cs="Times New Roman" w:eastAsia="Times New Roman" w:hint="default"/>
                <w:sz w:val="18"/>
                <w:szCs w:val="18"/>
              </w:rPr>
            </w:pPr>
            <w:r>
              <w:rPr>
                <w:rFonts w:ascii="Times New Roman"/>
                <w:sz w:val="18"/>
              </w:rPr>
              <w:t>1,500</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1,525.37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118"/>
              <w:ind w:left="3" w:right="0"/>
              <w:jc w:val="center"/>
              <w:rPr>
                <w:rFonts w:ascii="Times New Roman" w:hAnsi="Times New Roman" w:cs="Times New Roman" w:eastAsia="Times New Roman" w:hint="default"/>
                <w:sz w:val="18"/>
                <w:szCs w:val="18"/>
              </w:rPr>
            </w:pPr>
            <w:r>
              <w:rPr>
                <w:rFonts w:ascii="Times New Roman"/>
                <w:sz w:val="18"/>
              </w:rPr>
              <w:t>2019-070</w:t>
            </w:r>
          </w:p>
        </w:tc>
      </w:tr>
    </w:tbl>
    <w:p>
      <w:pPr>
        <w:pStyle w:val="BodyText"/>
        <w:spacing w:line="240" w:lineRule="auto" w:before="49"/>
        <w:ind w:right="1133"/>
        <w:jc w:val="left"/>
      </w:pPr>
      <w:r>
        <w:rPr/>
        <w:t>公司股东、交易对手方在报告年度经营业绩做出的承诺情况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20"/>
          <w:szCs w:val="20"/>
        </w:rPr>
      </w:pPr>
    </w:p>
    <w:p>
      <w:pPr>
        <w:pStyle w:val="BodyText"/>
        <w:spacing w:line="451" w:lineRule="auto"/>
        <w:ind w:right="1131" w:firstLine="36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月，公司与林章威先生签署了《股权收购协议》，约定交易的业绩承诺期为</w:t>
      </w:r>
      <w:r>
        <w:rPr>
          <w:rFonts w:ascii="Times New Roman" w:hAnsi="Times New Roman" w:cs="Times New Roman" w:eastAsia="Times New Roman" w:hint="default"/>
        </w:rPr>
        <w:t>2019-2024</w:t>
      </w:r>
      <w:r>
        <w:rPr/>
        <w:t>年。林章威先生承诺： </w:t>
      </w:r>
      <w:r>
        <w:rPr>
          <w:spacing w:val="-1"/>
        </w:rPr>
        <w:t>闽保信息</w:t>
      </w:r>
      <w:r>
        <w:rPr>
          <w:rFonts w:ascii="Times New Roman" w:hAnsi="Times New Roman" w:cs="Times New Roman" w:eastAsia="Times New Roman" w:hint="default"/>
          <w:spacing w:val="-1"/>
        </w:rPr>
        <w:t>2019</w:t>
      </w:r>
      <w:r>
        <w:rPr>
          <w:spacing w:val="-1"/>
        </w:rPr>
        <w:t>年实际净利润不低于人民币</w:t>
      </w:r>
      <w:r>
        <w:rPr>
          <w:rFonts w:ascii="Times New Roman" w:hAnsi="Times New Roman" w:cs="Times New Roman" w:eastAsia="Times New Roman" w:hint="default"/>
          <w:spacing w:val="-1"/>
        </w:rPr>
        <w:t>1,500</w:t>
      </w:r>
      <w:r>
        <w:rPr>
          <w:spacing w:val="-1"/>
        </w:rPr>
        <w:t>万元（净利润为标的公司经审计的财务报告中的合并利润表中的</w:t>
      </w:r>
      <w:r>
        <w:rPr>
          <w:rFonts w:ascii="Times New Roman" w:hAnsi="Times New Roman" w:cs="Times New Roman" w:eastAsia="Times New Roman" w:hint="default"/>
          <w:spacing w:val="-1"/>
        </w:rPr>
        <w:t>“</w:t>
      </w:r>
      <w:r>
        <w:rPr>
          <w:spacing w:val="-1"/>
        </w:rPr>
        <w:t>归属于母公</w:t>
      </w:r>
      <w:r>
        <w:rPr>
          <w:spacing w:val="-63"/>
        </w:rPr>
        <w:t> </w:t>
      </w:r>
      <w:r>
        <w:rPr>
          <w:spacing w:val="-1"/>
        </w:rPr>
        <w:t>司所有者的净利润</w:t>
      </w:r>
      <w:r>
        <w:rPr>
          <w:rFonts w:ascii="Times New Roman" w:hAnsi="Times New Roman" w:cs="Times New Roman" w:eastAsia="Times New Roman" w:hint="default"/>
          <w:spacing w:val="-1"/>
        </w:rPr>
        <w:t>”</w:t>
      </w:r>
      <w:r>
        <w:rPr>
          <w:spacing w:val="-1"/>
        </w:rPr>
        <w:t>，下同）；</w:t>
      </w:r>
      <w:r>
        <w:rPr>
          <w:rFonts w:ascii="Times New Roman" w:hAnsi="Times New Roman" w:cs="Times New Roman" w:eastAsia="Times New Roman" w:hint="default"/>
          <w:spacing w:val="-1"/>
        </w:rPr>
        <w:t>2019</w:t>
      </w:r>
      <w:r>
        <w:rPr>
          <w:spacing w:val="-1"/>
        </w:rPr>
        <w:t>年至</w:t>
      </w:r>
      <w:r>
        <w:rPr>
          <w:rFonts w:ascii="Times New Roman" w:hAnsi="Times New Roman" w:cs="Times New Roman" w:eastAsia="Times New Roman" w:hint="default"/>
          <w:spacing w:val="-1"/>
        </w:rPr>
        <w:t>2020</w:t>
      </w:r>
      <w:r>
        <w:rPr>
          <w:spacing w:val="-1"/>
        </w:rPr>
        <w:t>年累计实际净利润不低于人民币</w:t>
      </w:r>
      <w:r>
        <w:rPr>
          <w:rFonts w:ascii="Times New Roman" w:hAnsi="Times New Roman" w:cs="Times New Roman" w:eastAsia="Times New Roman" w:hint="default"/>
          <w:spacing w:val="-1"/>
        </w:rPr>
        <w:t>3,700</w:t>
      </w:r>
      <w:r>
        <w:rPr>
          <w:spacing w:val="-1"/>
        </w:rPr>
        <w:t>万元；</w:t>
      </w:r>
      <w:r>
        <w:rPr>
          <w:rFonts w:ascii="Times New Roman" w:hAnsi="Times New Roman" w:cs="Times New Roman" w:eastAsia="Times New Roman" w:hint="default"/>
          <w:spacing w:val="-1"/>
        </w:rPr>
        <w:t>2019</w:t>
      </w:r>
      <w:r>
        <w:rPr>
          <w:spacing w:val="-1"/>
        </w:rPr>
        <w:t>年至</w:t>
      </w:r>
      <w:r>
        <w:rPr>
          <w:rFonts w:ascii="Times New Roman" w:hAnsi="Times New Roman" w:cs="Times New Roman" w:eastAsia="Times New Roman" w:hint="default"/>
          <w:spacing w:val="-1"/>
        </w:rPr>
        <w:t>2021</w:t>
      </w:r>
      <w:r>
        <w:rPr>
          <w:spacing w:val="-1"/>
        </w:rPr>
        <w:t>年累计实际净利润不</w:t>
      </w:r>
      <w:r>
        <w:rPr>
          <w:spacing w:val="-63"/>
        </w:rPr>
        <w:t> </w:t>
      </w:r>
      <w:r>
        <w:rPr>
          <w:spacing w:val="-63"/>
        </w:rPr>
      </w:r>
      <w:r>
        <w:rPr>
          <w:spacing w:val="-2"/>
        </w:rPr>
        <w:t>低于人民币</w:t>
      </w:r>
      <w:r>
        <w:rPr>
          <w:rFonts w:ascii="Times New Roman" w:hAnsi="Times New Roman" w:cs="Times New Roman" w:eastAsia="Times New Roman" w:hint="default"/>
          <w:spacing w:val="-2"/>
        </w:rPr>
        <w:t>6,560</w:t>
      </w:r>
      <w:r>
        <w:rPr>
          <w:spacing w:val="-2"/>
        </w:rPr>
        <w:t>万元；</w:t>
      </w:r>
      <w:r>
        <w:rPr>
          <w:rFonts w:ascii="Times New Roman" w:hAnsi="Times New Roman" w:cs="Times New Roman" w:eastAsia="Times New Roman" w:hint="default"/>
          <w:spacing w:val="-2"/>
        </w:rPr>
        <w:t>2019</w:t>
      </w:r>
      <w:r>
        <w:rPr>
          <w:spacing w:val="-2"/>
        </w:rPr>
        <w:t>年至</w:t>
      </w:r>
      <w:r>
        <w:rPr>
          <w:rFonts w:ascii="Times New Roman" w:hAnsi="Times New Roman" w:cs="Times New Roman" w:eastAsia="Times New Roman" w:hint="default"/>
          <w:spacing w:val="-2"/>
        </w:rPr>
        <w:t>2022</w:t>
      </w:r>
      <w:r>
        <w:rPr>
          <w:spacing w:val="-2"/>
        </w:rPr>
        <w:t>年累计实际净利润不低于人民币</w:t>
      </w:r>
      <w:r>
        <w:rPr>
          <w:rFonts w:ascii="Times New Roman" w:hAnsi="Times New Roman" w:cs="Times New Roman" w:eastAsia="Times New Roman" w:hint="default"/>
          <w:spacing w:val="-2"/>
        </w:rPr>
        <w:t>10,278</w:t>
      </w:r>
      <w:r>
        <w:rPr>
          <w:spacing w:val="-2"/>
        </w:rPr>
        <w:t>万元；</w:t>
      </w:r>
      <w:r>
        <w:rPr>
          <w:rFonts w:ascii="Times New Roman" w:hAnsi="Times New Roman" w:cs="Times New Roman" w:eastAsia="Times New Roman" w:hint="default"/>
          <w:spacing w:val="-2"/>
        </w:rPr>
        <w:t>2019</w:t>
      </w:r>
      <w:r>
        <w:rPr>
          <w:spacing w:val="-2"/>
        </w:rPr>
        <w:t>年至</w:t>
      </w:r>
      <w:r>
        <w:rPr>
          <w:rFonts w:ascii="Times New Roman" w:hAnsi="Times New Roman" w:cs="Times New Roman" w:eastAsia="Times New Roman" w:hint="default"/>
          <w:spacing w:val="-2"/>
        </w:rPr>
        <w:t>2023</w:t>
      </w:r>
      <w:r>
        <w:rPr>
          <w:spacing w:val="-2"/>
        </w:rPr>
        <w:t>年累计实际净利润不低于人</w:t>
      </w:r>
      <w:r>
        <w:rPr>
          <w:spacing w:val="-48"/>
        </w:rPr>
        <w:t> </w:t>
      </w:r>
      <w:r>
        <w:rPr>
          <w:spacing w:val="-48"/>
        </w:rPr>
      </w:r>
      <w:r>
        <w:rPr/>
        <w:t>民币</w:t>
      </w:r>
      <w:r>
        <w:rPr>
          <w:rFonts w:ascii="Times New Roman" w:hAnsi="Times New Roman" w:cs="Times New Roman" w:eastAsia="Times New Roman" w:hint="default"/>
        </w:rPr>
        <w:t>14,728</w:t>
      </w:r>
      <w:r>
        <w:rPr/>
        <w:t>万元；</w:t>
      </w:r>
      <w:r>
        <w:rPr>
          <w:rFonts w:ascii="Times New Roman" w:hAnsi="Times New Roman" w:cs="Times New Roman" w:eastAsia="Times New Roman" w:hint="default"/>
        </w:rPr>
        <w:t>2019</w:t>
      </w:r>
      <w:r>
        <w:rPr/>
        <w:t>年至</w:t>
      </w:r>
      <w:r>
        <w:rPr>
          <w:rFonts w:ascii="Times New Roman" w:hAnsi="Times New Roman" w:cs="Times New Roman" w:eastAsia="Times New Roman" w:hint="default"/>
        </w:rPr>
        <w:t>2024</w:t>
      </w:r>
      <w:r>
        <w:rPr/>
        <w:t>年累计实际净利润不低于人民币</w:t>
      </w:r>
      <w:r>
        <w:rPr>
          <w:rFonts w:ascii="Times New Roman" w:hAnsi="Times New Roman" w:cs="Times New Roman" w:eastAsia="Times New Roman" w:hint="default"/>
        </w:rPr>
        <w:t>19,808</w:t>
      </w:r>
      <w:r>
        <w:rPr/>
        <w:t>万元。</w:t>
      </w:r>
    </w:p>
    <w:p>
      <w:pPr>
        <w:spacing w:line="240" w:lineRule="auto" w:before="6"/>
        <w:rPr>
          <w:rFonts w:ascii="宋体" w:hAnsi="宋体" w:cs="宋体" w:eastAsia="宋体" w:hint="default"/>
          <w:sz w:val="12"/>
          <w:szCs w:val="12"/>
        </w:rPr>
      </w:pPr>
    </w:p>
    <w:p>
      <w:pPr>
        <w:pStyle w:val="BodyText"/>
        <w:spacing w:line="518" w:lineRule="auto"/>
        <w:ind w:left="513" w:right="1123"/>
        <w:jc w:val="left"/>
      </w:pPr>
      <w:r>
        <w:rPr/>
        <w:t>业绩承诺的完成情况及其对商誉减值测试的影响 经审计，闽保信息</w:t>
      </w:r>
      <w:r>
        <w:rPr>
          <w:rFonts w:ascii="Times New Roman" w:hAnsi="Times New Roman" w:cs="Times New Roman" w:eastAsia="Times New Roman" w:hint="default"/>
        </w:rPr>
        <w:t>2019</w:t>
      </w:r>
      <w:r>
        <w:rPr/>
        <w:t>年度实现归属于母公司所有者的净利润为</w:t>
      </w:r>
      <w:r>
        <w:rPr>
          <w:rFonts w:ascii="Times New Roman" w:hAnsi="Times New Roman" w:cs="Times New Roman" w:eastAsia="Times New Roman" w:hint="default"/>
        </w:rPr>
        <w:t>1,525.37</w:t>
      </w:r>
      <w:r>
        <w:rPr/>
        <w:t>万元，超过业绩承诺，且通过商誉减值测试，</w:t>
      </w:r>
    </w:p>
    <w:p>
      <w:pPr>
        <w:pStyle w:val="BodyText"/>
        <w:spacing w:line="223" w:lineRule="exact"/>
        <w:ind w:right="1133"/>
        <w:jc w:val="left"/>
      </w:pPr>
      <w:r>
        <w:rPr/>
        <w:t>未发生减值情形。</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2"/>
        <w:spacing w:line="240" w:lineRule="auto"/>
        <w:ind w:right="1133"/>
        <w:jc w:val="left"/>
        <w:rPr>
          <w:b w:val="0"/>
          <w:bCs w:val="0"/>
        </w:rPr>
      </w:pPr>
      <w:r>
        <w:rPr/>
        <w:t>四、控股股东及其关联方对上市公司的非经营性占用资金情况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4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六、与上年度财务报告相比，会计政策、会计估计和核算方法发生变化的情况说明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spacing w:line="340" w:lineRule="auto" w:before="0"/>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w:t>
      </w:r>
      <w:r>
        <w:rPr>
          <w:rFonts w:ascii="宋体" w:hAnsi="宋体" w:cs="宋体" w:eastAsia="宋体" w:hint="default"/>
          <w:b/>
          <w:bCs/>
          <w:sz w:val="18"/>
          <w:szCs w:val="18"/>
        </w:rPr>
        <w:t>会计政策：</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5"/>
          <w:szCs w:val="25"/>
        </w:rPr>
      </w:pPr>
    </w:p>
    <w:p>
      <w:pPr>
        <w:pStyle w:val="BodyText"/>
        <w:spacing w:line="240" w:lineRule="auto" w:before="44"/>
        <w:ind w:left="0" w:right="1152"/>
        <w:jc w:val="right"/>
      </w:pPr>
      <w:r>
        <w:rPr/>
        <w:pict>
          <v:shape style="position:absolute;margin-left:261.769989pt;margin-top:4.79172pt;width:113.7pt;height:15pt;mso-position-horizontal-relative:page;mso-position-vertical-relative:paragraph;z-index:-1094320" type="#_x0000_t202" filled="false" stroked="false">
            <v:textbox inset="0,0,0,0">
              <w:txbxContent>
                <w:p>
                  <w:pPr>
                    <w:pStyle w:val="BodyText"/>
                    <w:spacing w:line="184" w:lineRule="exact"/>
                    <w:ind w:left="0" w:right="0"/>
                    <w:jc w:val="left"/>
                  </w:pPr>
                  <w:r>
                    <w:rPr/>
                    <w:t>号）</w:t>
                  </w:r>
                </w:p>
              </w:txbxContent>
            </v:textbox>
            <w10:wrap type="none"/>
          </v:shape>
        </w:pict>
      </w:r>
      <w:r>
        <w:rPr/>
        <w:pict>
          <v:group style="position:absolute;margin-left:276.890015pt;margin-top:4.79172pt;width:98.55pt;height:15pt;mso-position-horizontal-relative:page;mso-position-vertical-relative:paragraph;z-index:1456" coordorigin="5538,96" coordsize="1971,300">
            <v:shape style="position:absolute;left:5538;top:96;width:1971;height:300" coordorigin="5538,96" coordsize="1971,300" path="m5538,396l7509,396,7509,96,5538,96,5538,396xe" filled="true" fillcolor="#ffffff" stroked="false">
              <v:path arrowok="t"/>
              <v:fill type="solid"/>
            </v:shape>
            <w10:wrap type="none"/>
          </v:group>
        </w:pict>
      </w:r>
      <w:r>
        <w:rPr/>
        <w:pict>
          <v:shape style="position:absolute;margin-left:56.279999pt;margin-top:-69.60424pt;width:479.65pt;height:90.25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395"/>
                    <w:gridCol w:w="1985"/>
                    <w:gridCol w:w="3190"/>
                  </w:tblGrid>
                  <w:tr>
                    <w:trPr>
                      <w:trHeight w:val="427" w:hRule="exact"/>
                    </w:trPr>
                    <w:tc>
                      <w:tcPr>
                        <w:tcW w:w="43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11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9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626"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3"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363" w:hRule="exact"/>
                    </w:trPr>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8"/>
                          <w:ind w:left="4" w:right="-1"/>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年，财政部陆续修订并发布了《企业会计准则第</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金融工具确认和计量》（财会</w:t>
                        </w:r>
                        <w:r>
                          <w:rPr>
                            <w:rFonts w:ascii="Times New Roman" w:hAnsi="Times New Roman" w:cs="Times New Roman" w:eastAsia="Times New Roman" w:hint="default"/>
                            <w:sz w:val="18"/>
                            <w:szCs w:val="18"/>
                          </w:rPr>
                          <w:t>[2017]7</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号）、《企业 会计准则第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金融资产转移》（财会</w:t>
                        </w:r>
                        <w:r>
                          <w:rPr>
                            <w:rFonts w:ascii="Times New Roman" w:hAnsi="Times New Roman" w:cs="Times New Roman" w:eastAsia="Times New Roman" w:hint="default"/>
                            <w:sz w:val="18"/>
                            <w:szCs w:val="18"/>
                          </w:rPr>
                          <w:t>[2017]8</w:t>
                        </w:r>
                        <w:r>
                          <w:rPr>
                            <w:rFonts w:ascii="宋体" w:hAnsi="宋体" w:cs="宋体" w:eastAsia="宋体" w:hint="default"/>
                            <w:sz w:val="18"/>
                            <w:szCs w:val="18"/>
                          </w:rPr>
                          <w:t>号）、</w:t>
                        </w:r>
                      </w:p>
                      <w:p>
                        <w:pPr>
                          <w:pStyle w:val="TableParagraph"/>
                          <w:spacing w:line="240" w:lineRule="auto" w:before="13"/>
                          <w:ind w:left="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《企业会计准则第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套期会计》（财会</w:t>
                        </w:r>
                        <w:r>
                          <w:rPr>
                            <w:rFonts w:ascii="Times New Roman" w:hAnsi="Times New Roman" w:cs="Times New Roman" w:eastAsia="Times New Roman" w:hint="default"/>
                            <w:sz w:val="18"/>
                            <w:szCs w:val="18"/>
                          </w:rPr>
                          <w:t>[2017]9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357" w:lineRule="auto"/>
                          <w:ind w:left="177" w:right="171"/>
                          <w:jc w:val="left"/>
                          <w:rPr>
                            <w:rFonts w:ascii="宋体" w:hAnsi="宋体" w:cs="宋体" w:eastAsia="宋体" w:hint="default"/>
                            <w:sz w:val="18"/>
                            <w:szCs w:val="18"/>
                          </w:rPr>
                        </w:pPr>
                        <w:r>
                          <w:rPr>
                            <w:rFonts w:ascii="宋体" w:hAnsi="宋体" w:cs="宋体" w:eastAsia="宋体" w:hint="default"/>
                            <w:sz w:val="18"/>
                            <w:szCs w:val="18"/>
                          </w:rPr>
                          <w:t>经公司第四届董事会 第八次会议审议通过</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8"/>
                          <w:ind w:left="4" w:right="17"/>
                          <w:jc w:val="left"/>
                          <w:rPr>
                            <w:rFonts w:ascii="宋体" w:hAnsi="宋体" w:cs="宋体" w:eastAsia="宋体" w:hint="default"/>
                            <w:sz w:val="18"/>
                            <w:szCs w:val="18"/>
                          </w:rPr>
                        </w:pPr>
                        <w:r>
                          <w:rPr>
                            <w:rFonts w:ascii="宋体" w:hAnsi="宋体" w:cs="宋体" w:eastAsia="宋体" w:hint="default"/>
                            <w:sz w:val="18"/>
                            <w:szCs w:val="18"/>
                          </w:rPr>
                          <w:t>具体内容详见</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日公司指定信 息披露网站巨潮资讯网</w:t>
                        </w:r>
                      </w:p>
                      <w:p>
                        <w:pPr>
                          <w:pStyle w:val="TableParagraph"/>
                          <w:spacing w:line="300" w:lineRule="auto" w:before="31"/>
                          <w:ind w:left="4" w:right="84"/>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）的《关于会计政 </w:t>
                        </w:r>
                        <w:r>
                          <w:rPr>
                            <w:rFonts w:ascii="宋体" w:hAnsi="宋体" w:cs="宋体" w:eastAsia="宋体" w:hint="default"/>
                            <w:spacing w:val="-7"/>
                            <w:sz w:val="18"/>
                            <w:szCs w:val="18"/>
                          </w:rPr>
                          <w:t>策变更的公告》（公告编号：</w:t>
                        </w:r>
                        <w:r>
                          <w:rPr>
                            <w:rFonts w:ascii="Times New Roman" w:hAnsi="Times New Roman" w:cs="Times New Roman" w:eastAsia="Times New Roman" w:hint="default"/>
                            <w:spacing w:val="-7"/>
                            <w:sz w:val="18"/>
                            <w:szCs w:val="18"/>
                          </w:rPr>
                          <w:t>2019-015</w:t>
                        </w:r>
                        <w:r>
                          <w:rPr>
                            <w:rFonts w:ascii="宋体" w:hAnsi="宋体" w:cs="宋体" w:eastAsia="宋体" w:hint="default"/>
                            <w:spacing w:val="-7"/>
                            <w:sz w:val="18"/>
                            <w:szCs w:val="18"/>
                          </w:rPr>
                          <w:t>）</w:t>
                        </w:r>
                        <w:r>
                          <w:rPr>
                            <w:rFonts w:ascii="宋体" w:hAnsi="宋体" w:cs="宋体" w:eastAsia="宋体" w:hint="default"/>
                            <w:sz w:val="18"/>
                            <w:szCs w:val="18"/>
                          </w:rPr>
                        </w:r>
                      </w:p>
                    </w:tc>
                  </w:tr>
                </w:tbl>
                <w:p>
                  <w:pPr/>
                </w:p>
              </w:txbxContent>
            </v:textbox>
            <w10:wrap type="none"/>
          </v:shape>
        </w:pict>
      </w:r>
      <w:r>
        <w:rPr>
          <w:spacing w:val="-34"/>
        </w:rPr>
        <w:t>。</w:t>
      </w:r>
      <w:r>
        <w:rPr/>
      </w:r>
    </w:p>
    <w:p>
      <w:pPr>
        <w:spacing w:after="0" w:line="240" w:lineRule="auto"/>
        <w:jc w:val="right"/>
        <w:sectPr>
          <w:headerReference w:type="default" r:id="rId15"/>
          <w:footerReference w:type="default" r:id="rId16"/>
          <w:pgSz w:w="11910" w:h="16840"/>
          <w:pgMar w:header="877" w:footer="980" w:top="1100" w:bottom="1160" w:left="980" w:right="0"/>
          <w:pgNumType w:start="52"/>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spacing w:line="240" w:lineRule="auto" w:before="44"/>
        <w:ind w:left="0" w:right="1152"/>
        <w:jc w:val="right"/>
      </w:pPr>
      <w:r>
        <w:rPr/>
        <w:pict>
          <v:shape style="position:absolute;margin-left:56.279999pt;margin-top:-114.388275pt;width:479.65pt;height:166.25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395"/>
                    <w:gridCol w:w="1985"/>
                    <w:gridCol w:w="3190"/>
                  </w:tblGrid>
                  <w:tr>
                    <w:trPr>
                      <w:trHeight w:val="1323" w:hRule="exact"/>
                    </w:trPr>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1"/>
                          <w:jc w:val="left"/>
                          <w:rPr>
                            <w:rFonts w:ascii="宋体" w:hAnsi="宋体" w:cs="宋体" w:eastAsia="宋体" w:hint="default"/>
                            <w:sz w:val="18"/>
                            <w:szCs w:val="18"/>
                          </w:rPr>
                        </w:pPr>
                        <w:r>
                          <w:rPr>
                            <w:rFonts w:ascii="宋体" w:hAnsi="宋体" w:cs="宋体" w:eastAsia="宋体" w:hint="default"/>
                            <w:spacing w:val="-10"/>
                            <w:sz w:val="18"/>
                            <w:szCs w:val="18"/>
                          </w:rPr>
                          <w:t>及《企业会计准则第</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35"/>
                            <w:sz w:val="18"/>
                            <w:szCs w:val="18"/>
                          </w:rPr>
                          <w:t> </w:t>
                        </w:r>
                        <w:r>
                          <w:rPr>
                            <w:rFonts w:ascii="宋体" w:hAnsi="宋体" w:cs="宋体" w:eastAsia="宋体" w:hint="default"/>
                            <w:spacing w:val="-10"/>
                            <w:sz w:val="18"/>
                            <w:szCs w:val="18"/>
                          </w:rPr>
                          <w:t>号</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金融工具列报》（财会</w:t>
                        </w:r>
                        <w:r>
                          <w:rPr>
                            <w:rFonts w:ascii="Times New Roman" w:hAnsi="Times New Roman" w:cs="Times New Roman" w:eastAsia="Times New Roman" w:hint="default"/>
                            <w:spacing w:val="-10"/>
                            <w:sz w:val="18"/>
                            <w:szCs w:val="18"/>
                          </w:rPr>
                          <w:t>[2017]14</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号）（上述准则以下统称</w:t>
                        </w:r>
                        <w:r>
                          <w:rPr>
                            <w:rFonts w:ascii="Times New Roman" w:hAnsi="Times New Roman" w:cs="Times New Roman" w:eastAsia="Times New Roman" w:hint="default"/>
                            <w:sz w:val="18"/>
                            <w:szCs w:val="18"/>
                          </w:rPr>
                          <w:t>“</w:t>
                        </w:r>
                        <w:r>
                          <w:rPr>
                            <w:rFonts w:ascii="宋体" w:hAnsi="宋体" w:cs="宋体" w:eastAsia="宋体" w:hint="default"/>
                            <w:sz w:val="18"/>
                            <w:szCs w:val="18"/>
                          </w:rPr>
                          <w:t>新金融准则</w:t>
                        </w:r>
                        <w:r>
                          <w:rPr>
                            <w:rFonts w:ascii="Times New Roman" w:hAnsi="Times New Roman" w:cs="Times New Roman" w:eastAsia="Times New Roman" w:hint="default"/>
                            <w:sz w:val="18"/>
                            <w:szCs w:val="18"/>
                          </w:rPr>
                          <w:t>”</w:t>
                        </w:r>
                        <w:r>
                          <w:rPr>
                            <w:rFonts w:ascii="宋体" w:hAnsi="宋体" w:cs="宋体" w:eastAsia="宋体" w:hint="default"/>
                            <w:sz w:val="18"/>
                            <w:szCs w:val="18"/>
                          </w:rPr>
                          <w:t>），要求单独在 境内上市的企业自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日起执行上述新金 融准则。</w:t>
                        </w:r>
                      </w:p>
                    </w:tc>
                    <w:tc>
                      <w:tcPr>
                        <w:tcW w:w="1985" w:type="dxa"/>
                        <w:tcBorders>
                          <w:top w:val="single" w:sz="6" w:space="0" w:color="000000"/>
                          <w:left w:val="single" w:sz="6" w:space="0" w:color="000000"/>
                          <w:bottom w:val="single" w:sz="6" w:space="0" w:color="000000"/>
                          <w:right w:val="single" w:sz="6" w:space="0" w:color="000000"/>
                        </w:tcBorders>
                      </w:tcPr>
                      <w:p>
                        <w:pPr/>
                      </w:p>
                    </w:tc>
                    <w:tc>
                      <w:tcPr>
                        <w:tcW w:w="3190" w:type="dxa"/>
                        <w:tcBorders>
                          <w:top w:val="single" w:sz="6" w:space="0" w:color="000000"/>
                          <w:left w:val="single" w:sz="6" w:space="0" w:color="000000"/>
                          <w:bottom w:val="single" w:sz="6" w:space="0" w:color="000000"/>
                          <w:right w:val="single" w:sz="6" w:space="0" w:color="000000"/>
                        </w:tcBorders>
                      </w:tcPr>
                      <w:p>
                        <w:pPr/>
                      </w:p>
                    </w:tc>
                  </w:tr>
                  <w:tr>
                    <w:trPr>
                      <w:trHeight w:val="1987" w:hRule="exact"/>
                    </w:trPr>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1"/>
                          <w:ind w:left="4" w:right="-3"/>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30</w:t>
                        </w:r>
                        <w:r>
                          <w:rPr>
                            <w:rFonts w:ascii="宋体" w:hAnsi="宋体" w:cs="宋体" w:eastAsia="宋体" w:hint="default"/>
                            <w:spacing w:val="-2"/>
                            <w:sz w:val="18"/>
                            <w:szCs w:val="18"/>
                          </w:rPr>
                          <w:t>日，财政部发布了《关于修订印发</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年度</w:t>
                        </w:r>
                        <w:r>
                          <w:rPr>
                            <w:rFonts w:ascii="宋体" w:hAnsi="宋体" w:cs="宋体" w:eastAsia="宋体" w:hint="default"/>
                            <w:spacing w:val="-68"/>
                            <w:sz w:val="18"/>
                            <w:szCs w:val="18"/>
                          </w:rPr>
                          <w:t> </w:t>
                        </w:r>
                        <w:r>
                          <w:rPr>
                            <w:rFonts w:ascii="宋体" w:hAnsi="宋体" w:cs="宋体" w:eastAsia="宋体" w:hint="default"/>
                            <w:sz w:val="18"/>
                            <w:szCs w:val="18"/>
                          </w:rPr>
                          <w:t>一般企业财务报表格式的通知》（财会〔</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号）</w:t>
                        </w:r>
                      </w:p>
                      <w:p>
                        <w:pPr>
                          <w:pStyle w:val="TableParagraph"/>
                          <w:spacing w:line="300" w:lineRule="auto" w:before="15"/>
                          <w:ind w:left="4" w:right="-3"/>
                          <w:jc w:val="both"/>
                          <w:rPr>
                            <w:rFonts w:ascii="宋体" w:hAnsi="宋体" w:cs="宋体" w:eastAsia="宋体" w:hint="default"/>
                            <w:sz w:val="18"/>
                            <w:szCs w:val="18"/>
                          </w:rPr>
                        </w:pPr>
                        <w:r>
                          <w:rPr>
                            <w:rFonts w:ascii="宋体" w:hAnsi="宋体" w:cs="宋体" w:eastAsia="宋体" w:hint="default"/>
                            <w:spacing w:val="-3"/>
                            <w:sz w:val="18"/>
                            <w:szCs w:val="18"/>
                          </w:rPr>
                          <w:t>（以下简称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财会〔</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6</w:t>
                        </w:r>
                        <w:r>
                          <w:rPr>
                            <w:rFonts w:ascii="Times New Roman" w:hAnsi="Times New Roman" w:cs="Times New Roman" w:eastAsia="Times New Roman" w:hint="default"/>
                            <w:spacing w:val="31"/>
                            <w:sz w:val="18"/>
                            <w:szCs w:val="18"/>
                          </w:rPr>
                          <w:t> </w:t>
                        </w:r>
                        <w:r>
                          <w:rPr>
                            <w:rFonts w:ascii="宋体" w:hAnsi="宋体" w:cs="宋体" w:eastAsia="宋体" w:hint="default"/>
                            <w:spacing w:val="-4"/>
                            <w:sz w:val="18"/>
                            <w:szCs w:val="18"/>
                          </w:rPr>
                          <w:t>号</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），要求执行企业会计准</w:t>
                        </w:r>
                        <w:r>
                          <w:rPr>
                            <w:rFonts w:ascii="宋体" w:hAnsi="宋体" w:cs="宋体" w:eastAsia="宋体" w:hint="default"/>
                            <w:sz w:val="18"/>
                            <w:szCs w:val="18"/>
                          </w:rPr>
                          <w:t> </w:t>
                        </w:r>
                        <w:r>
                          <w:rPr>
                            <w:rFonts w:ascii="宋体" w:hAnsi="宋体" w:cs="宋体" w:eastAsia="宋体" w:hint="default"/>
                            <w:spacing w:val="-2"/>
                            <w:sz w:val="18"/>
                            <w:szCs w:val="18"/>
                          </w:rPr>
                          <w:t>则的非金融企业按照企业会计准则和财会〔</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号的</w:t>
                        </w:r>
                        <w:r>
                          <w:rPr>
                            <w:rFonts w:ascii="宋体" w:hAnsi="宋体" w:cs="宋体" w:eastAsia="宋体" w:hint="default"/>
                            <w:spacing w:val="-70"/>
                            <w:sz w:val="18"/>
                            <w:szCs w:val="18"/>
                          </w:rPr>
                          <w:t> </w:t>
                        </w:r>
                        <w:r>
                          <w:rPr>
                            <w:rFonts w:ascii="宋体" w:hAnsi="宋体" w:cs="宋体" w:eastAsia="宋体" w:hint="default"/>
                            <w:sz w:val="18"/>
                            <w:szCs w:val="18"/>
                          </w:rPr>
                          <w:t>要求编制企业</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年度中期财务报表和年度财务报表及 以后期间的财务报表。</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60" w:lineRule="auto"/>
                          <w:ind w:left="86" w:right="82" w:firstLine="91"/>
                          <w:jc w:val="left"/>
                          <w:rPr>
                            <w:rFonts w:ascii="宋体" w:hAnsi="宋体" w:cs="宋体" w:eastAsia="宋体" w:hint="default"/>
                            <w:sz w:val="18"/>
                            <w:szCs w:val="18"/>
                          </w:rPr>
                        </w:pPr>
                        <w:r>
                          <w:rPr>
                            <w:rFonts w:ascii="宋体" w:hAnsi="宋体" w:cs="宋体" w:eastAsia="宋体" w:hint="default"/>
                            <w:sz w:val="18"/>
                            <w:szCs w:val="18"/>
                          </w:rPr>
                          <w:t>经公司第四届董事会 第十三次会议审议通过</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1"/>
                          <w:ind w:left="4" w:right="17"/>
                          <w:jc w:val="left"/>
                          <w:rPr>
                            <w:rFonts w:ascii="宋体" w:hAnsi="宋体" w:cs="宋体" w:eastAsia="宋体" w:hint="default"/>
                            <w:sz w:val="18"/>
                            <w:szCs w:val="18"/>
                          </w:rPr>
                        </w:pPr>
                        <w:r>
                          <w:rPr>
                            <w:rFonts w:ascii="宋体" w:hAnsi="宋体" w:cs="宋体" w:eastAsia="宋体" w:hint="default"/>
                            <w:sz w:val="18"/>
                            <w:szCs w:val="18"/>
                          </w:rPr>
                          <w:t>具体内容详见</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日公司指定信 息披露网站巨潮资讯网</w:t>
                        </w:r>
                      </w:p>
                      <w:p>
                        <w:pPr>
                          <w:pStyle w:val="TableParagraph"/>
                          <w:spacing w:line="300" w:lineRule="auto" w:before="33"/>
                          <w:ind w:left="4" w:right="84"/>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）的《关于会计政 </w:t>
                        </w:r>
                        <w:r>
                          <w:rPr>
                            <w:rFonts w:ascii="宋体" w:hAnsi="宋体" w:cs="宋体" w:eastAsia="宋体" w:hint="default"/>
                            <w:spacing w:val="-7"/>
                            <w:sz w:val="18"/>
                            <w:szCs w:val="18"/>
                          </w:rPr>
                          <w:t>策变更的公告》（公告编号：</w:t>
                        </w:r>
                        <w:r>
                          <w:rPr>
                            <w:rFonts w:ascii="Times New Roman" w:hAnsi="Times New Roman" w:cs="Times New Roman" w:eastAsia="Times New Roman" w:hint="default"/>
                            <w:spacing w:val="-7"/>
                            <w:sz w:val="18"/>
                            <w:szCs w:val="18"/>
                          </w:rPr>
                          <w:t>2019-054</w:t>
                        </w:r>
                        <w:r>
                          <w:rPr>
                            <w:rFonts w:ascii="宋体" w:hAnsi="宋体" w:cs="宋体" w:eastAsia="宋体" w:hint="default"/>
                            <w:spacing w:val="-7"/>
                            <w:sz w:val="18"/>
                            <w:szCs w:val="18"/>
                          </w:rPr>
                          <w:t>）</w:t>
                        </w:r>
                        <w:r>
                          <w:rPr>
                            <w:rFonts w:ascii="宋体" w:hAnsi="宋体" w:cs="宋体" w:eastAsia="宋体" w:hint="default"/>
                            <w:sz w:val="18"/>
                            <w:szCs w:val="18"/>
                          </w:rPr>
                        </w:r>
                      </w:p>
                    </w:tc>
                  </w:tr>
                </w:tbl>
                <w:p>
                  <w:pPr/>
                </w:p>
              </w:txbxContent>
            </v:textbox>
            <w10:wrap type="none"/>
          </v:shape>
        </w:pict>
      </w:r>
      <w:r>
        <w:rPr>
          <w:spacing w:val="-34"/>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b/>
          <w:bCs/>
          <w:sz w:val="18"/>
          <w:szCs w:val="18"/>
        </w:rPr>
        <w:t>会计估计：</w:t>
      </w:r>
      <w:r>
        <w:rPr>
          <w:rFonts w:ascii="宋体" w:hAnsi="宋体" w:cs="宋体" w:eastAsia="宋体" w:hint="default"/>
          <w:sz w:val="18"/>
          <w:szCs w:val="18"/>
        </w:rPr>
        <w:t>公司报告期未发生变化。</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6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公司报告期无重大会计差错更正需追溯重述的情况。</w:t>
      </w:r>
    </w:p>
    <w:p>
      <w:pPr>
        <w:spacing w:line="240" w:lineRule="auto" w:before="4"/>
        <w:rPr>
          <w:rFonts w:ascii="宋体" w:hAnsi="宋体" w:cs="宋体" w:eastAsia="宋体" w:hint="default"/>
          <w:sz w:val="19"/>
          <w:szCs w:val="19"/>
        </w:rPr>
      </w:pPr>
    </w:p>
    <w:p>
      <w:pPr>
        <w:pStyle w:val="Heading2"/>
        <w:spacing w:line="240" w:lineRule="auto"/>
        <w:ind w:right="1133"/>
        <w:jc w:val="left"/>
        <w:rPr>
          <w:b w:val="0"/>
          <w:bCs w:val="0"/>
        </w:rPr>
      </w:pPr>
      <w:r>
        <w:rPr/>
        <w:t>八、与上年度财务报告相比，合并报表范围发生变化的情况说明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415" w:lineRule="auto"/>
        <w:ind w:left="513" w:right="337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公司合并范围较上年同期增加了恒久影像、恒久丰德、闽保信息及其子公司，详情如下：</w:t>
      </w:r>
    </w:p>
    <w:p>
      <w:pPr>
        <w:pStyle w:val="BodyText"/>
        <w:spacing w:line="451" w:lineRule="auto" w:before="101"/>
        <w:ind w:right="1184" w:firstLine="36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日，公司完成设立全资子公司苏州恒久影像科技有限公司，注册资本</w:t>
      </w:r>
      <w:r>
        <w:rPr>
          <w:rFonts w:ascii="Times New Roman" w:hAnsi="Times New Roman" w:cs="Times New Roman" w:eastAsia="Times New Roman" w:hint="default"/>
        </w:rPr>
        <w:t>5,000</w:t>
      </w:r>
      <w:r>
        <w:rPr/>
        <w:t>万元人民币，报告期末尚未 缴纳出资，该子公司自设立起纳入合并范围。</w:t>
      </w:r>
    </w:p>
    <w:p>
      <w:pPr>
        <w:pStyle w:val="BodyText"/>
        <w:spacing w:line="451" w:lineRule="auto" w:before="74"/>
        <w:ind w:right="1128" w:firstLine="360"/>
        <w:jc w:val="both"/>
      </w:pP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14</w:t>
      </w:r>
      <w:r>
        <w:rPr>
          <w:spacing w:val="-1"/>
        </w:rPr>
        <w:t>日，公司完成设立全资子公司苏州恒久丰德新能源技术有限公司，注册资本</w:t>
      </w:r>
      <w:r>
        <w:rPr>
          <w:rFonts w:ascii="Times New Roman" w:hAnsi="Times New Roman" w:cs="Times New Roman" w:eastAsia="Times New Roman" w:hint="default"/>
          <w:spacing w:val="-1"/>
        </w:rPr>
        <w:t>5,000</w:t>
      </w:r>
      <w:r>
        <w:rPr>
          <w:spacing w:val="-1"/>
        </w:rPr>
        <w:t>万元人民币，报告期</w:t>
      </w:r>
      <w:r>
        <w:rPr/>
        <w:t> 末尚未缴纳出资，该子公司自设立起纳入合并范围。</w:t>
      </w:r>
    </w:p>
    <w:p>
      <w:pPr>
        <w:pStyle w:val="BodyText"/>
        <w:spacing w:line="463" w:lineRule="auto" w:before="74"/>
        <w:ind w:right="1128" w:firstLine="360"/>
        <w:jc w:val="both"/>
      </w:pP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11</w:t>
      </w:r>
      <w:r>
        <w:rPr>
          <w:spacing w:val="-1"/>
        </w:rPr>
        <w:t>月，公司收购福建省闽保信息技术有限公司</w:t>
      </w:r>
      <w:r>
        <w:rPr>
          <w:rFonts w:ascii="Times New Roman" w:hAnsi="Times New Roman" w:cs="Times New Roman" w:eastAsia="Times New Roman" w:hint="default"/>
          <w:spacing w:val="-1"/>
        </w:rPr>
        <w:t>71.26%</w:t>
      </w:r>
      <w:r>
        <w:rPr>
          <w:spacing w:val="-1"/>
        </w:rPr>
        <w:t>股权，股权交割已于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日完成。闽保信息及</w:t>
      </w:r>
      <w:r>
        <w:rPr/>
        <w:t> </w:t>
      </w:r>
      <w:r>
        <w:rPr>
          <w:spacing w:val="-2"/>
        </w:rPr>
        <w:t>其全资子公司福建闽保信安信息技术有限公司、福建闽保军安电子技术有限公司、北京宏图金信信息技术有限公司、湖南超</w:t>
      </w:r>
      <w:r>
        <w:rPr>
          <w:spacing w:val="-63"/>
        </w:rPr>
        <w:t> </w:t>
      </w:r>
      <w:r>
        <w:rPr>
          <w:spacing w:val="-63"/>
        </w:rPr>
      </w:r>
      <w:r>
        <w:rPr/>
        <w:t>互信息技术有限公司自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月纳入公司合并范围。</w:t>
      </w:r>
    </w:p>
    <w:p>
      <w:pPr>
        <w:spacing w:line="240" w:lineRule="auto" w:before="12"/>
        <w:rPr>
          <w:rFonts w:ascii="宋体" w:hAnsi="宋体" w:cs="宋体" w:eastAsia="宋体" w:hint="default"/>
          <w:sz w:val="15"/>
          <w:szCs w:val="15"/>
        </w:rPr>
      </w:pPr>
    </w:p>
    <w:p>
      <w:pPr>
        <w:pStyle w:val="Heading2"/>
        <w:spacing w:line="240" w:lineRule="auto"/>
        <w:ind w:right="1133"/>
        <w:jc w:val="left"/>
        <w:rPr>
          <w:b w:val="0"/>
          <w:bCs w:val="0"/>
        </w:rPr>
      </w:pPr>
      <w:r>
        <w:rPr/>
        <w:t>九、聘任、解聘会计师事务所情况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现聘任的会计师事务所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永拓会计师事务所（特殊普通合伙）</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50</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陈晓鸿、何瑜</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陈晓鸿（</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92"/>
                <w:sz w:val="18"/>
                <w:szCs w:val="18"/>
              </w:rPr>
              <w:t>）</w:t>
            </w:r>
            <w:r>
              <w:rPr>
                <w:rFonts w:ascii="宋体" w:hAnsi="宋体" w:cs="宋体" w:eastAsia="宋体" w:hint="default"/>
                <w:sz w:val="18"/>
                <w:szCs w:val="18"/>
              </w:rPr>
              <w:t>、何瑜（</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pStyle w:val="BodyText"/>
        <w:spacing w:line="240" w:lineRule="auto" w:before="49"/>
        <w:ind w:right="1133"/>
        <w:jc w:val="left"/>
      </w:pPr>
      <w:r>
        <w:rPr/>
        <w:t>当期是否改聘会计师事务所</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340" w:lineRule="auto" w:before="44"/>
        <w:ind w:right="80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是否在审计期间改聘会计师事务所</w:t>
      </w:r>
    </w:p>
    <w:p>
      <w:pPr>
        <w:pStyle w:val="BodyText"/>
        <w:spacing w:line="340" w:lineRule="auto" w:before="39"/>
        <w:ind w:right="78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更换会计师事务所是否履行审批程序</w:t>
      </w:r>
    </w:p>
    <w:p>
      <w:pPr>
        <w:pStyle w:val="BodyText"/>
        <w:spacing w:line="338" w:lineRule="auto" w:before="41"/>
        <w:ind w:right="73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对改聘、变更会计师事务所情况的详细说明</w:t>
      </w:r>
    </w:p>
    <w:p>
      <w:pPr>
        <w:pStyle w:val="BodyText"/>
        <w:spacing w:line="463" w:lineRule="auto" w:before="122"/>
        <w:ind w:right="1131" w:firstLine="360"/>
        <w:jc w:val="both"/>
      </w:pPr>
      <w:r>
        <w:rPr>
          <w:spacing w:val="-2"/>
        </w:rPr>
        <w:t>公司收到相关的通知函：立信会计师事务所（特殊普通合伙）（以下简称</w:t>
      </w:r>
      <w:r>
        <w:rPr>
          <w:rFonts w:ascii="Times New Roman" w:hAnsi="Times New Roman" w:cs="Times New Roman" w:eastAsia="Times New Roman" w:hint="default"/>
          <w:spacing w:val="-2"/>
        </w:rPr>
        <w:t>“</w:t>
      </w:r>
      <w:r>
        <w:rPr>
          <w:spacing w:val="-2"/>
        </w:rPr>
        <w:t>立信会计师事务所</w:t>
      </w:r>
      <w:r>
        <w:rPr>
          <w:rFonts w:ascii="Times New Roman" w:hAnsi="Times New Roman" w:cs="Times New Roman" w:eastAsia="Times New Roman" w:hint="default"/>
          <w:spacing w:val="-2"/>
        </w:rPr>
        <w:t>”</w:t>
      </w:r>
      <w:r>
        <w:rPr>
          <w:spacing w:val="-2"/>
        </w:rPr>
        <w:t>）原负责本公司审计业务</w:t>
      </w:r>
      <w:r>
        <w:rPr/>
        <w:t> </w:t>
      </w:r>
      <w:r>
        <w:rPr>
          <w:spacing w:val="-2"/>
        </w:rPr>
        <w:t>的团队已整体转入其他会计师事务所。公司综合考虑审计业务的独立性和未来业务发展的需求，决定解除与立信会计师事务</w:t>
      </w:r>
      <w:r>
        <w:rPr>
          <w:spacing w:val="-64"/>
        </w:rPr>
        <w:t> </w:t>
      </w:r>
      <w:r>
        <w:rPr>
          <w:spacing w:val="-64"/>
        </w:rPr>
      </w:r>
      <w:r>
        <w:rPr/>
        <w:t>所的</w:t>
      </w:r>
      <w:r>
        <w:rPr>
          <w:rFonts w:ascii="Times New Roman" w:hAnsi="Times New Roman" w:cs="Times New Roman" w:eastAsia="Times New Roman" w:hint="default"/>
        </w:rPr>
        <w:t>2019</w:t>
      </w:r>
      <w:r>
        <w:rPr/>
        <w:t>年度财务报告和内部控制的外部审计合作。</w:t>
      </w:r>
    </w:p>
    <w:p>
      <w:pPr>
        <w:pStyle w:val="BodyText"/>
        <w:spacing w:line="460" w:lineRule="auto" w:before="33"/>
        <w:ind w:right="1133" w:firstLine="360"/>
        <w:jc w:val="both"/>
      </w:pPr>
      <w:r>
        <w:rPr>
          <w:spacing w:val="-2"/>
        </w:rPr>
        <w:t>经谨慎研究，董事会审计委员会提议，第四届董事会第十七次会议、第四届监事会第十四次会议审议通过，公司聘请永</w:t>
      </w:r>
      <w:r>
        <w:rPr/>
        <w:t> </w:t>
      </w:r>
      <w:r>
        <w:rPr>
          <w:spacing w:val="-2"/>
        </w:rPr>
        <w:t>拓会计师事务所（具有证券、期货相关业务资质，军工涉密资质，信息安全服务资质）为公司</w:t>
      </w:r>
      <w:r>
        <w:rPr>
          <w:rFonts w:ascii="Times New Roman" w:hAnsi="Times New Roman" w:cs="Times New Roman" w:eastAsia="Times New Roman" w:hint="default"/>
          <w:spacing w:val="-2"/>
        </w:rPr>
        <w:t>2019</w:t>
      </w:r>
      <w:r>
        <w:rPr>
          <w:spacing w:val="-2"/>
        </w:rPr>
        <w:t>年度财务报告和内部控制</w:t>
      </w:r>
      <w:r>
        <w:rPr>
          <w:spacing w:val="-64"/>
        </w:rPr>
        <w:t> </w:t>
      </w:r>
      <w:r>
        <w:rPr>
          <w:spacing w:val="-64"/>
        </w:rPr>
      </w:r>
      <w:r>
        <w:rPr/>
        <w:t>的外部审计机构，审计费用为人民币</w:t>
      </w:r>
      <w:r>
        <w:rPr>
          <w:rFonts w:ascii="Times New Roman" w:hAnsi="Times New Roman" w:cs="Times New Roman" w:eastAsia="Times New Roman" w:hint="default"/>
        </w:rPr>
        <w:t>50.00</w:t>
      </w:r>
      <w:r>
        <w:rPr/>
        <w:t>万元，聘期为一年。此次变更会计师事务所已经过</w:t>
      </w:r>
      <w:r>
        <w:rPr>
          <w:rFonts w:ascii="Times New Roman" w:hAnsi="Times New Roman" w:cs="Times New Roman" w:eastAsia="Times New Roman" w:hint="default"/>
        </w:rPr>
        <w:t>2020</w:t>
      </w:r>
      <w:r>
        <w:rPr/>
        <w:t>年第一次临时股东大会审 议通过。</w:t>
      </w:r>
    </w:p>
    <w:p>
      <w:pPr>
        <w:pStyle w:val="BodyText"/>
        <w:spacing w:line="240" w:lineRule="auto" w:before="28"/>
        <w:ind w:right="1133"/>
        <w:jc w:val="left"/>
      </w:pPr>
      <w:r>
        <w:rPr/>
        <w:t>聘请内部控制审计会计师事务所、财务顾问或保荐人情况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十、年度报告披露后面临暂停上市和终止上市情况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十一、破产重整相关事项</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1133"/>
        <w:jc w:val="left"/>
        <w:rPr>
          <w:b w:val="0"/>
          <w:bCs w:val="0"/>
        </w:rPr>
      </w:pPr>
      <w:r>
        <w:rPr/>
        <w:t>十二、重大诉讼、仲裁事项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60"/>
        <w:gridCol w:w="1070"/>
        <w:gridCol w:w="1249"/>
        <w:gridCol w:w="941"/>
        <w:gridCol w:w="1373"/>
        <w:gridCol w:w="1248"/>
        <w:gridCol w:w="1064"/>
        <w:gridCol w:w="1066"/>
      </w:tblGrid>
      <w:tr>
        <w:trPr>
          <w:trHeight w:val="715"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686" w:right="83" w:hanging="60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0" w:right="19" w:hanging="327"/>
              <w:jc w:val="left"/>
              <w:rPr>
                <w:rFonts w:ascii="宋体" w:hAnsi="宋体" w:cs="宋体" w:eastAsia="宋体" w:hint="default"/>
                <w:sz w:val="18"/>
                <w:szCs w:val="18"/>
              </w:rPr>
            </w:pPr>
            <w:r>
              <w:rPr>
                <w:rFonts w:ascii="宋体" w:hAnsi="宋体" w:cs="宋体" w:eastAsia="宋体" w:hint="default"/>
                <w:spacing w:val="-11"/>
                <w:sz w:val="18"/>
                <w:szCs w:val="18"/>
              </w:rPr>
              <w:t>涉案金额（万</w:t>
            </w:r>
            <w:r>
              <w:rPr>
                <w:rFonts w:ascii="宋体" w:hAnsi="宋体" w:cs="宋体" w:eastAsia="宋体" w:hint="default"/>
                <w:sz w:val="18"/>
                <w:szCs w:val="18"/>
              </w:rPr>
              <w:t> 元）</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9" w:right="77" w:hanging="360"/>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85" w:right="43"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2" w:right="79" w:hanging="152"/>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70" w:right="107" w:hanging="6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 决执行情况</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58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
              <w:jc w:val="both"/>
              <w:rPr>
                <w:rFonts w:ascii="宋体" w:hAnsi="宋体" w:cs="宋体" w:eastAsia="宋体" w:hint="default"/>
                <w:sz w:val="18"/>
                <w:szCs w:val="18"/>
              </w:rPr>
            </w:pPr>
            <w:r>
              <w:rPr>
                <w:rFonts w:ascii="宋体" w:hAnsi="宋体" w:cs="宋体" w:eastAsia="宋体" w:hint="default"/>
                <w:sz w:val="18"/>
                <w:szCs w:val="18"/>
              </w:rPr>
              <w:t>南威软件股份有限 公司诉闽保信息买 卖合同纠纷一案， 要求闽保支付合同 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1,754,710 </w:t>
            </w:r>
            <w:r>
              <w:rPr>
                <w:rFonts w:ascii="宋体" w:hAnsi="宋体" w:cs="宋体" w:eastAsia="宋体" w:hint="default"/>
                <w:spacing w:val="-9"/>
                <w:sz w:val="18"/>
                <w:szCs w:val="18"/>
              </w:rPr>
              <w:t>元，违</w:t>
            </w:r>
          </w:p>
          <w:p>
            <w:pPr>
              <w:pStyle w:val="TableParagraph"/>
              <w:spacing w:line="309" w:lineRule="auto"/>
              <w:ind w:left="24" w:right="19"/>
              <w:jc w:val="left"/>
              <w:rPr>
                <w:rFonts w:ascii="宋体" w:hAnsi="宋体" w:cs="宋体" w:eastAsia="宋体" w:hint="default"/>
                <w:sz w:val="18"/>
                <w:szCs w:val="18"/>
              </w:rPr>
            </w:pPr>
            <w:r>
              <w:rPr>
                <w:rFonts w:ascii="宋体" w:hAnsi="宋体" w:cs="宋体" w:eastAsia="宋体" w:hint="default"/>
                <w:sz w:val="18"/>
                <w:szCs w:val="18"/>
              </w:rPr>
              <w:t>约金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736,978 </w:t>
            </w:r>
            <w:r>
              <w:rPr>
                <w:rFonts w:ascii="宋体" w:hAnsi="宋体" w:cs="宋体" w:eastAsia="宋体" w:hint="default"/>
                <w:spacing w:val="-24"/>
                <w:sz w:val="18"/>
                <w:szCs w:val="18"/>
              </w:rPr>
              <w:t>元。审</w:t>
            </w:r>
            <w:r>
              <w:rPr>
                <w:rFonts w:ascii="宋体" w:hAnsi="宋体" w:cs="宋体" w:eastAsia="宋体" w:hint="default"/>
                <w:sz w:val="18"/>
                <w:szCs w:val="18"/>
              </w:rPr>
              <w:t> 理法院：泉州市丰 泽区人民法院</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249.17</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3" w:right="185"/>
              <w:jc w:val="left"/>
              <w:rPr>
                <w:rFonts w:ascii="宋体" w:hAnsi="宋体" w:cs="宋体" w:eastAsia="宋体" w:hint="default"/>
                <w:sz w:val="18"/>
                <w:szCs w:val="18"/>
              </w:rPr>
            </w:pPr>
            <w:r>
              <w:rPr>
                <w:rFonts w:ascii="宋体" w:hAnsi="宋体" w:cs="宋体" w:eastAsia="宋体" w:hint="default"/>
                <w:sz w:val="18"/>
                <w:szCs w:val="18"/>
              </w:rPr>
              <w:t>一审已判 决生效</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3" w:right="-10"/>
              <w:jc w:val="both"/>
              <w:rPr>
                <w:rFonts w:ascii="宋体" w:hAnsi="宋体" w:cs="宋体" w:eastAsia="宋体" w:hint="default"/>
                <w:sz w:val="18"/>
                <w:szCs w:val="18"/>
              </w:rPr>
            </w:pPr>
            <w:r>
              <w:rPr>
                <w:rFonts w:ascii="宋体" w:hAnsi="宋体" w:cs="宋体" w:eastAsia="宋体" w:hint="default"/>
                <w:sz w:val="18"/>
                <w:szCs w:val="18"/>
              </w:rPr>
              <w:t>判决闽保公司向 南威公司支付货 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1,206,750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w:t>
            </w:r>
            <w:r>
              <w:rPr>
                <w:rFonts w:ascii="宋体" w:hAnsi="宋体" w:cs="宋体" w:eastAsia="宋体" w:hint="default"/>
                <w:sz w:val="18"/>
                <w:szCs w:val="18"/>
              </w:rPr>
            </w:r>
          </w:p>
          <w:p>
            <w:pPr>
              <w:pStyle w:val="TableParagraph"/>
              <w:spacing w:line="316" w:lineRule="auto"/>
              <w:ind w:left="23" w:right="77"/>
              <w:jc w:val="both"/>
              <w:rPr>
                <w:rFonts w:ascii="宋体" w:hAnsi="宋体" w:cs="宋体" w:eastAsia="宋体" w:hint="default"/>
                <w:sz w:val="18"/>
                <w:szCs w:val="18"/>
              </w:rPr>
            </w:pPr>
            <w:r>
              <w:rPr>
                <w:rFonts w:ascii="宋体" w:hAnsi="宋体" w:cs="宋体" w:eastAsia="宋体" w:hint="default"/>
                <w:sz w:val="18"/>
                <w:szCs w:val="18"/>
              </w:rPr>
              <w:t>驳回南威公司其 他诉讼请求。</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正在执行中</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其他诉讼累计</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174.94</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1133"/>
        <w:jc w:val="left"/>
        <w:rPr>
          <w:b w:val="0"/>
          <w:bCs w:val="0"/>
        </w:rPr>
      </w:pPr>
      <w:r>
        <w:rPr/>
        <w:t>十三、处罚及整改情况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r>
        <w:rPr/>
        <w:t>十四、公司及其控股股东、实际控制人的诚信状况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十五、公司股权激励计划、员工持股计划或其他员工激励措施的实施情况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44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公司报告期无股权激励计划、员工持股计划或其他员工激励措施及其实施情况。</w:t>
      </w:r>
    </w:p>
    <w:p>
      <w:pPr>
        <w:spacing w:line="240" w:lineRule="auto" w:before="7"/>
        <w:rPr>
          <w:rFonts w:ascii="宋体" w:hAnsi="宋体" w:cs="宋体" w:eastAsia="宋体" w:hint="default"/>
          <w:sz w:val="19"/>
          <w:szCs w:val="19"/>
        </w:rPr>
      </w:pPr>
    </w:p>
    <w:p>
      <w:pPr>
        <w:pStyle w:val="Heading2"/>
        <w:spacing w:line="240" w:lineRule="auto"/>
        <w:ind w:right="1133"/>
        <w:jc w:val="left"/>
        <w:rPr>
          <w:b w:val="0"/>
          <w:bCs w:val="0"/>
        </w:rPr>
      </w:pPr>
      <w:r>
        <w:rPr/>
        <w:t>十六、重大关联交易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before="0"/>
        <w:ind w:right="1133"/>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4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公司报告期未发生与日常经营相关的关联交易。</w:t>
      </w:r>
    </w:p>
    <w:p>
      <w:pPr>
        <w:spacing w:line="240" w:lineRule="auto" w:before="3"/>
        <w:rPr>
          <w:rFonts w:ascii="宋体" w:hAnsi="宋体" w:cs="宋体" w:eastAsia="宋体" w:hint="default"/>
          <w:sz w:val="21"/>
          <w:szCs w:val="21"/>
        </w:rPr>
      </w:pPr>
    </w:p>
    <w:p>
      <w:pPr>
        <w:pStyle w:val="Heading3"/>
        <w:spacing w:line="240" w:lineRule="auto" w:before="0"/>
        <w:ind w:right="1133"/>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6"/>
        <w:rPr>
          <w:rFonts w:ascii="宋体" w:hAnsi="宋体" w:cs="宋体" w:eastAsia="宋体" w:hint="default"/>
          <w:sz w:val="21"/>
          <w:szCs w:val="21"/>
        </w:rPr>
      </w:pPr>
    </w:p>
    <w:p>
      <w:pPr>
        <w:pStyle w:val="Heading3"/>
        <w:spacing w:line="240" w:lineRule="auto" w:before="0"/>
        <w:ind w:right="1133"/>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5"/>
        <w:rPr>
          <w:rFonts w:ascii="宋体" w:hAnsi="宋体" w:cs="宋体" w:eastAsia="宋体" w:hint="default"/>
          <w:sz w:val="21"/>
          <w:szCs w:val="21"/>
        </w:rPr>
      </w:pPr>
    </w:p>
    <w:p>
      <w:pPr>
        <w:pStyle w:val="Heading3"/>
        <w:spacing w:line="240" w:lineRule="auto" w:before="0"/>
        <w:ind w:right="1133"/>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line="240" w:lineRule="auto" w:before="7"/>
        <w:rPr>
          <w:rFonts w:ascii="宋体" w:hAnsi="宋体" w:cs="宋体" w:eastAsia="宋体" w:hint="default"/>
          <w:sz w:val="21"/>
          <w:szCs w:val="21"/>
        </w:rPr>
      </w:pPr>
    </w:p>
    <w:p>
      <w:pPr>
        <w:pStyle w:val="Heading3"/>
        <w:spacing w:line="240" w:lineRule="auto" w:before="0"/>
        <w:ind w:right="1133"/>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5"/>
        <w:rPr>
          <w:rFonts w:ascii="宋体" w:hAnsi="宋体" w:cs="宋体" w:eastAsia="宋体" w:hint="default"/>
          <w:b/>
          <w:bCs/>
          <w:sz w:val="26"/>
          <w:szCs w:val="26"/>
        </w:rPr>
      </w:pPr>
    </w:p>
    <w:p>
      <w:pPr>
        <w:pStyle w:val="BodyText"/>
        <w:spacing w:line="340"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公司报告期无其他重大关联交易。</w:t>
      </w:r>
    </w:p>
    <w:p>
      <w:pPr>
        <w:spacing w:after="0" w:line="340" w:lineRule="auto"/>
        <w:jc w:val="left"/>
        <w:sectPr>
          <w:pgSz w:w="11910" w:h="16840"/>
          <w:pgMar w:header="877" w:footer="980"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1133"/>
        <w:jc w:val="left"/>
        <w:rPr>
          <w:b w:val="0"/>
          <w:bCs w:val="0"/>
        </w:rPr>
      </w:pPr>
      <w:r>
        <w:rPr/>
        <w:t>十七、重大合同及其履行情况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before="0"/>
        <w:ind w:right="1133"/>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before="0"/>
        <w:ind w:right="1133"/>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7"/>
        <w:rPr>
          <w:rFonts w:ascii="宋体" w:hAnsi="宋体" w:cs="宋体" w:eastAsia="宋体" w:hint="default"/>
          <w:sz w:val="21"/>
          <w:szCs w:val="21"/>
        </w:rPr>
      </w:pPr>
    </w:p>
    <w:p>
      <w:pPr>
        <w:pStyle w:val="Heading3"/>
        <w:spacing w:line="240" w:lineRule="auto" w:before="0"/>
        <w:ind w:right="1133"/>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8"/>
        <w:rPr>
          <w:rFonts w:ascii="宋体" w:hAnsi="宋体" w:cs="宋体" w:eastAsia="宋体" w:hint="default"/>
          <w:sz w:val="21"/>
          <w:szCs w:val="21"/>
        </w:rPr>
      </w:pPr>
    </w:p>
    <w:p>
      <w:pPr>
        <w:pStyle w:val="Heading3"/>
        <w:spacing w:line="240" w:lineRule="auto" w:before="0"/>
        <w:ind w:right="1133"/>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公司报告期不存在租赁情况。</w:t>
      </w:r>
    </w:p>
    <w:p>
      <w:pPr>
        <w:spacing w:line="240" w:lineRule="auto" w:before="3"/>
        <w:rPr>
          <w:rFonts w:ascii="宋体" w:hAnsi="宋体" w:cs="宋体" w:eastAsia="宋体" w:hint="default"/>
          <w:sz w:val="21"/>
          <w:szCs w:val="21"/>
        </w:rPr>
      </w:pPr>
    </w:p>
    <w:p>
      <w:pPr>
        <w:pStyle w:val="Heading3"/>
        <w:spacing w:line="240" w:lineRule="auto" w:before="0"/>
        <w:ind w:right="1133"/>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3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公司报告期不存在担保情况。</w:t>
      </w:r>
    </w:p>
    <w:p>
      <w:pPr>
        <w:spacing w:line="240" w:lineRule="auto" w:before="5"/>
        <w:rPr>
          <w:rFonts w:ascii="宋体" w:hAnsi="宋体" w:cs="宋体" w:eastAsia="宋体" w:hint="default"/>
          <w:sz w:val="21"/>
          <w:szCs w:val="21"/>
        </w:rPr>
      </w:pPr>
    </w:p>
    <w:p>
      <w:pPr>
        <w:pStyle w:val="Heading3"/>
        <w:spacing w:line="240" w:lineRule="auto" w:before="0"/>
        <w:ind w:right="1133"/>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right="1133"/>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100" w:bottom="1160" w:left="980" w:right="0"/>
        </w:sectPr>
      </w:pPr>
    </w:p>
    <w:p>
      <w:pPr>
        <w:pStyle w:val="BodyText"/>
        <w:spacing w:line="3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0"/>
          <w:cols w:num="2" w:equalWidth="0">
            <w:col w:w="1954" w:space="6787"/>
            <w:col w:w="2189"/>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8"/>
        <w:gridCol w:w="1964"/>
        <w:gridCol w:w="1980"/>
        <w:gridCol w:w="1910"/>
        <w:gridCol w:w="1846"/>
      </w:tblGrid>
      <w:tr>
        <w:trPr>
          <w:trHeight w:val="401"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3,869</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3,360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募集资金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4,785</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4,194</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8,654</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7,554</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1133"/>
        <w:jc w:val="left"/>
      </w:pPr>
      <w:r>
        <w:rPr/>
        <w:t>单项金额重大或安全性较低、流动性较差、不保本的高风险委托理财具体情况</w:t>
      </w:r>
    </w:p>
    <w:p>
      <w:pPr>
        <w:pStyle w:val="BodyText"/>
        <w:spacing w:line="340" w:lineRule="auto" w:before="115"/>
        <w:ind w:right="5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委托理财出现预期无法收回本金或存在其他可能导致减值的情形</w:t>
      </w:r>
    </w:p>
    <w:p>
      <w:pPr>
        <w:pStyle w:val="BodyText"/>
        <w:spacing w:line="240" w:lineRule="auto" w:before="41"/>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type w:val="continuous"/>
          <w:pgSz w:w="11910" w:h="16840"/>
          <w:pgMar w:top="1060" w:bottom="1160" w:left="980" w:right="0"/>
        </w:sectPr>
      </w:pPr>
    </w:p>
    <w:p>
      <w:pPr>
        <w:spacing w:line="240" w:lineRule="auto" w:before="11"/>
        <w:rPr>
          <w:rFonts w:ascii="宋体" w:hAnsi="宋体" w:cs="宋体" w:eastAsia="宋体" w:hint="default"/>
          <w:sz w:val="20"/>
          <w:szCs w:val="20"/>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7"/>
        <w:rPr>
          <w:rFonts w:ascii="宋体" w:hAnsi="宋体" w:cs="宋体" w:eastAsia="宋体" w:hint="default"/>
          <w:sz w:val="21"/>
          <w:szCs w:val="21"/>
        </w:rPr>
      </w:pPr>
    </w:p>
    <w:p>
      <w:pPr>
        <w:pStyle w:val="Heading3"/>
        <w:spacing w:line="240" w:lineRule="auto" w:before="0"/>
        <w:ind w:right="1133"/>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r>
        <w:rPr/>
        <w:t>十八、社会责任情况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before="0"/>
        <w:ind w:right="1133"/>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3"/>
        <w:rPr>
          <w:rFonts w:ascii="宋体" w:hAnsi="宋体" w:cs="宋体" w:eastAsia="宋体" w:hint="default"/>
          <w:b/>
          <w:bCs/>
          <w:sz w:val="32"/>
          <w:szCs w:val="32"/>
        </w:rPr>
      </w:pPr>
    </w:p>
    <w:p>
      <w:pPr>
        <w:pStyle w:val="BodyText"/>
        <w:spacing w:line="463" w:lineRule="auto"/>
        <w:ind w:right="1128" w:firstLine="360"/>
        <w:jc w:val="both"/>
      </w:pPr>
      <w:r>
        <w:rPr>
          <w:spacing w:val="-1"/>
        </w:rPr>
        <w:t>作为上市公众公司，公司坚持</w:t>
      </w:r>
      <w:r>
        <w:rPr>
          <w:rFonts w:ascii="Times New Roman" w:hAnsi="Times New Roman" w:cs="Times New Roman" w:eastAsia="Times New Roman" w:hint="default"/>
          <w:spacing w:val="-1"/>
        </w:rPr>
        <w:t>“</w:t>
      </w:r>
      <w:r>
        <w:rPr>
          <w:spacing w:val="-1"/>
        </w:rPr>
        <w:t>以人为本、集成创新、携手共进</w:t>
      </w:r>
      <w:r>
        <w:rPr>
          <w:rFonts w:ascii="Times New Roman" w:hAnsi="Times New Roman" w:cs="Times New Roman" w:eastAsia="Times New Roman" w:hint="default"/>
          <w:spacing w:val="-1"/>
        </w:rPr>
        <w:t>”</w:t>
      </w:r>
      <w:r>
        <w:rPr>
          <w:spacing w:val="-1"/>
        </w:rPr>
        <w:t>的经营理念，奉行</w:t>
      </w:r>
      <w:r>
        <w:rPr>
          <w:rFonts w:ascii="Times New Roman" w:hAnsi="Times New Roman" w:cs="Times New Roman" w:eastAsia="Times New Roman" w:hint="default"/>
          <w:spacing w:val="-1"/>
        </w:rPr>
        <w:t>“</w:t>
      </w:r>
      <w:r>
        <w:rPr>
          <w:spacing w:val="-1"/>
        </w:rPr>
        <w:t>团结、敬业、高效、奉献</w:t>
      </w:r>
      <w:r>
        <w:rPr>
          <w:rFonts w:ascii="Times New Roman" w:hAnsi="Times New Roman" w:cs="Times New Roman" w:eastAsia="Times New Roman" w:hint="default"/>
          <w:spacing w:val="-1"/>
        </w:rPr>
        <w:t>”</w:t>
      </w:r>
      <w:r>
        <w:rPr>
          <w:spacing w:val="-1"/>
        </w:rPr>
        <w:t>的价值观</w:t>
      </w:r>
      <w:r>
        <w:rPr/>
        <w:t> </w:t>
      </w:r>
      <w:r>
        <w:rPr>
          <w:spacing w:val="-2"/>
        </w:rPr>
        <w:t>念，积极承担社会责任，根据《公司法》、《证券法》等法律、行政法规、部门规章的规定，在追求经济效益和股东利益最</w:t>
      </w:r>
      <w:r>
        <w:rPr>
          <w:spacing w:val="-71"/>
        </w:rPr>
        <w:t> </w:t>
      </w:r>
      <w:r>
        <w:rPr>
          <w:spacing w:val="-71"/>
        </w:rPr>
      </w:r>
      <w:r>
        <w:rPr/>
        <w:t>大化的同时，积极承担社会责任，以实现企业与员工、企业与社会、企业与环境的和谐发展。</w:t>
      </w:r>
    </w:p>
    <w:p>
      <w:pPr>
        <w:pStyle w:val="BodyText"/>
        <w:spacing w:line="451" w:lineRule="auto" w:before="65"/>
        <w:ind w:left="513" w:right="0"/>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）投资者权益保护</w:t>
      </w:r>
      <w:r>
        <w:rPr>
          <w:rFonts w:ascii="宋体" w:hAnsi="宋体" w:cs="宋体" w:eastAsia="宋体" w:hint="default"/>
          <w:b/>
          <w:bCs/>
          <w:w w:val="99"/>
        </w:rPr>
        <w:t> </w:t>
      </w:r>
      <w:r>
        <w:rPr>
          <w:spacing w:val="-2"/>
        </w:rPr>
        <w:t>公司建立了较为健全的内部控制治理体系，并在实际工作中不断完善该体系，保证公司所有股东及债权人能够公平、公</w:t>
      </w:r>
    </w:p>
    <w:p>
      <w:pPr>
        <w:pStyle w:val="BodyText"/>
        <w:spacing w:line="477" w:lineRule="auto" w:before="74"/>
        <w:ind w:right="1034"/>
        <w:jc w:val="left"/>
      </w:pPr>
      <w:r>
        <w:rPr>
          <w:spacing w:val="-2"/>
        </w:rPr>
        <w:t>正、公开的享有权益。信息披露方面，公司建立了《信息披露管理制度》、《内幕信息知情人登记管理制度》及《舆情管理</w:t>
      </w:r>
      <w:r>
        <w:rPr>
          <w:spacing w:val="-70"/>
        </w:rPr>
        <w:t> </w:t>
      </w:r>
      <w:r>
        <w:rPr>
          <w:spacing w:val="-70"/>
        </w:rPr>
      </w:r>
      <w:r>
        <w:rPr/>
        <w:t>制度》等系列制度以完善公司信息披露管理体系，保障公司依法规范运作，保证信息披露真实、准确、完整、及时、公平， 保障广大股东享有平等的知情权。</w:t>
      </w:r>
    </w:p>
    <w:p>
      <w:pPr>
        <w:pStyle w:val="BodyText"/>
        <w:spacing w:line="451" w:lineRule="auto" w:before="54"/>
        <w:ind w:left="513" w:right="1129"/>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）职工权益保护</w:t>
      </w:r>
      <w:r>
        <w:rPr>
          <w:rFonts w:ascii="宋体" w:hAnsi="宋体" w:cs="宋体" w:eastAsia="宋体" w:hint="default"/>
          <w:b/>
          <w:bCs/>
          <w:w w:val="99"/>
        </w:rPr>
        <w:t> </w:t>
      </w:r>
      <w:r>
        <w:rPr>
          <w:spacing w:val="-2"/>
        </w:rPr>
        <w:t>公司始终将人才建设作为企业和组织的基础。公司依法与员工签订并履行劳动合同，并创造平等发展机会，建立科学的</w:t>
      </w:r>
    </w:p>
    <w:p>
      <w:pPr>
        <w:pStyle w:val="BodyText"/>
        <w:spacing w:line="477" w:lineRule="auto" w:before="74"/>
        <w:ind w:right="1134"/>
        <w:jc w:val="both"/>
      </w:pPr>
      <w:r>
        <w:rPr>
          <w:spacing w:val="-2"/>
        </w:rPr>
        <w:t>员工薪酬制度与激励机制，使员工在公司不断的发展中实现自我价值；公司制订了《职业健康管理制度》，关爱员工身心健</w:t>
      </w:r>
      <w:r>
        <w:rPr>
          <w:spacing w:val="-67"/>
        </w:rPr>
        <w:t> </w:t>
      </w:r>
      <w:r>
        <w:rPr>
          <w:spacing w:val="-67"/>
        </w:rPr>
      </w:r>
      <w:r>
        <w:rPr>
          <w:spacing w:val="-2"/>
        </w:rPr>
        <w:t>康；公司成立了工会组织，依法维护员工的合法权益，并开展形式多样的员工活动，在生活与工作中关爱员工，为员工创造</w:t>
      </w:r>
      <w:r>
        <w:rPr>
          <w:spacing w:val="-67"/>
        </w:rPr>
        <w:t> </w:t>
      </w:r>
      <w:r>
        <w:rPr>
          <w:spacing w:val="-67"/>
        </w:rPr>
      </w:r>
      <w:r>
        <w:rPr/>
        <w:t>良好的工作环境。</w:t>
      </w:r>
    </w:p>
    <w:p>
      <w:pPr>
        <w:pStyle w:val="BodyText"/>
        <w:spacing w:line="463" w:lineRule="auto" w:before="54"/>
        <w:ind w:left="513" w:right="1133"/>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）供应商、客户权益保护</w:t>
      </w:r>
      <w:r>
        <w:rPr>
          <w:rFonts w:ascii="宋体" w:hAnsi="宋体" w:cs="宋体" w:eastAsia="宋体" w:hint="default"/>
          <w:b/>
          <w:bCs/>
          <w:w w:val="99"/>
        </w:rPr>
        <w:t> </w:t>
      </w:r>
      <w:r>
        <w:rPr/>
        <w:t>公司充分尊重供应商和客户的合法权益，诚实守信的开展经济活动，积极发展与供应商、客户的战略合作关系。 公司通过持续的技术创新，不断提升产品技术水平及产品质量，提供能满足客户需求的新产品。公司每年度开展</w:t>
      </w:r>
      <w:r>
        <w:rPr>
          <w:rFonts w:ascii="Times New Roman" w:hAnsi="Times New Roman" w:cs="Times New Roman" w:eastAsia="Times New Roman" w:hint="default"/>
        </w:rPr>
        <w:t>“</w:t>
      </w:r>
      <w:r>
        <w:rPr/>
        <w:t>客户</w:t>
      </w:r>
    </w:p>
    <w:p>
      <w:pPr>
        <w:pStyle w:val="BodyText"/>
        <w:spacing w:line="451" w:lineRule="auto" w:before="34"/>
        <w:ind w:left="513" w:right="0" w:hanging="361"/>
        <w:jc w:val="left"/>
      </w:pPr>
      <w:r>
        <w:rPr/>
        <w:t>满意度调查</w:t>
      </w:r>
      <w:r>
        <w:rPr>
          <w:rFonts w:ascii="Times New Roman" w:hAnsi="Times New Roman" w:cs="Times New Roman" w:eastAsia="Times New Roman" w:hint="default"/>
        </w:rPr>
        <w:t>”</w:t>
      </w:r>
      <w:r>
        <w:rPr/>
        <w:t>，根据反馈结果，持续优化销售模式，强化售后服务。 </w:t>
      </w:r>
      <w:r>
        <w:rPr>
          <w:spacing w:val="-2"/>
        </w:rPr>
        <w:t>公司与全体供应商友好协商，订立公平合理的交易合同，依合同约定准时付款，与信誉良好的供应商建立稳定的合作关</w:t>
      </w:r>
    </w:p>
    <w:p>
      <w:pPr>
        <w:pStyle w:val="BodyText"/>
        <w:spacing w:line="240" w:lineRule="auto" w:before="74"/>
        <w:ind w:right="1133"/>
        <w:jc w:val="left"/>
      </w:pPr>
      <w:r>
        <w:rPr/>
        <w:t>系，通过加强与供应商的沟通合作，实现互惠共赢。</w:t>
      </w:r>
    </w:p>
    <w:p>
      <w:pPr>
        <w:spacing w:line="240" w:lineRule="auto" w:before="10"/>
        <w:rPr>
          <w:rFonts w:ascii="宋体" w:hAnsi="宋体" w:cs="宋体" w:eastAsia="宋体" w:hint="default"/>
          <w:sz w:val="17"/>
          <w:szCs w:val="17"/>
        </w:rPr>
      </w:pPr>
    </w:p>
    <w:p>
      <w:pPr>
        <w:pStyle w:val="Heading4"/>
        <w:spacing w:line="240" w:lineRule="auto"/>
        <w:ind w:right="1133"/>
        <w:jc w:val="left"/>
        <w:rPr>
          <w:b w:val="0"/>
          <w:bCs w:val="0"/>
        </w:rPr>
      </w:pPr>
      <w:r>
        <w:rPr/>
        <w:t>（</w:t>
      </w:r>
      <w:r>
        <w:rPr>
          <w:rFonts w:ascii="Times New Roman" w:hAnsi="Times New Roman" w:cs="Times New Roman" w:eastAsia="Times New Roman" w:hint="default"/>
        </w:rPr>
        <w:t>4</w:t>
      </w:r>
      <w:r>
        <w:rPr/>
        <w:t>）环境保护与可持续发展</w:t>
      </w:r>
      <w:r>
        <w:rPr>
          <w:b w:val="0"/>
          <w:bCs w:val="0"/>
        </w:rPr>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b/>
          <w:bCs/>
          <w:sz w:val="27"/>
          <w:szCs w:val="27"/>
        </w:rPr>
      </w:pPr>
    </w:p>
    <w:p>
      <w:pPr>
        <w:pStyle w:val="BodyText"/>
        <w:spacing w:line="463" w:lineRule="auto" w:before="44"/>
        <w:ind w:right="0" w:firstLine="360"/>
        <w:jc w:val="left"/>
      </w:pPr>
      <w:r>
        <w:rPr>
          <w:spacing w:val="-1"/>
        </w:rPr>
        <w:t>公司重视环境保护工作，致力于打造环境友好型企业。公司通过了</w:t>
      </w:r>
      <w:r>
        <w:rPr>
          <w:rFonts w:ascii="Times New Roman" w:hAnsi="Times New Roman" w:cs="Times New Roman" w:eastAsia="Times New Roman" w:hint="default"/>
          <w:spacing w:val="-1"/>
        </w:rPr>
        <w:t>ISO14001</w:t>
      </w:r>
      <w:r>
        <w:rPr>
          <w:spacing w:val="-1"/>
        </w:rPr>
        <w:t>：</w:t>
      </w:r>
      <w:r>
        <w:rPr>
          <w:rFonts w:ascii="Times New Roman" w:hAnsi="Times New Roman" w:cs="Times New Roman" w:eastAsia="Times New Roman" w:hint="default"/>
          <w:spacing w:val="-1"/>
        </w:rPr>
        <w:t>2015</w:t>
      </w:r>
      <w:r>
        <w:rPr>
          <w:spacing w:val="-1"/>
        </w:rPr>
        <w:t>环境管理体系认证，高度重视绿色、</w:t>
      </w:r>
      <w:r>
        <w:rPr/>
        <w:t> </w:t>
      </w:r>
      <w:r>
        <w:rPr>
          <w:spacing w:val="-2"/>
        </w:rPr>
        <w:t>清洁生产，制定了《环境监测和测量管理程序》、《废弃物管理程序》、《污水管理程序》等一系列内部控制制度，以减少</w:t>
      </w:r>
      <w:r>
        <w:rPr>
          <w:spacing w:val="-72"/>
        </w:rPr>
        <w:t> </w:t>
      </w:r>
      <w:r>
        <w:rPr>
          <w:spacing w:val="-72"/>
        </w:rPr>
      </w:r>
      <w:r>
        <w:rPr/>
        <w:t>对环境污染和资源浪费。</w:t>
      </w:r>
    </w:p>
    <w:p>
      <w:pPr>
        <w:spacing w:line="240" w:lineRule="auto" w:before="3"/>
        <w:rPr>
          <w:rFonts w:ascii="宋体" w:hAnsi="宋体" w:cs="宋体" w:eastAsia="宋体" w:hint="default"/>
          <w:sz w:val="20"/>
          <w:szCs w:val="20"/>
        </w:rPr>
      </w:pPr>
    </w:p>
    <w:p>
      <w:pPr>
        <w:pStyle w:val="Heading3"/>
        <w:spacing w:line="240" w:lineRule="auto" w:before="0"/>
        <w:ind w:right="1133"/>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公司报告年度暂未开展精准扶贫工作，也暂无后续精准扶贫计划。</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5714"/>
        <w:jc w:val="left"/>
      </w:pPr>
      <w:r>
        <w:rPr/>
        <w:t>上市公司及其子公司是否属于环境保护部门公布的重点排污单位 否</w:t>
      </w:r>
    </w:p>
    <w:p>
      <w:pPr>
        <w:pStyle w:val="BodyText"/>
        <w:spacing w:line="477" w:lineRule="auto" w:before="104"/>
        <w:ind w:left="513" w:right="1133"/>
        <w:jc w:val="left"/>
      </w:pPr>
      <w:r>
        <w:rPr/>
        <w:t>经公司核查，公司及子公司均不属于环境保护部门公布的重点排污单位。 </w:t>
      </w:r>
      <w:r>
        <w:rPr>
          <w:spacing w:val="-2"/>
        </w:rPr>
        <w:t>公司及子公司在日常生产经营中认真执行《中华人民共和国环境保护法》、《中华人民共和国水污染防治法》、《中华</w:t>
      </w:r>
    </w:p>
    <w:p>
      <w:pPr>
        <w:pStyle w:val="BodyText"/>
        <w:spacing w:line="477" w:lineRule="auto" w:before="54"/>
        <w:ind w:right="1129"/>
        <w:jc w:val="left"/>
      </w:pPr>
      <w:r>
        <w:rPr>
          <w:spacing w:val="-2"/>
        </w:rPr>
        <w:t>人民共和国大气污染防治法》、《中华人民共和国固体废物污染防治法》等环保方面的法律法规，落实环保措施，实现生产</w:t>
      </w:r>
      <w:r>
        <w:rPr>
          <w:spacing w:val="-67"/>
        </w:rPr>
        <w:t> </w:t>
      </w:r>
      <w:r>
        <w:rPr>
          <w:spacing w:val="-67"/>
        </w:rPr>
      </w:r>
      <w:r>
        <w:rPr/>
        <w:t>经营与环境保护的协调发展。报告期，公司未发生环保事故和纠纷，也不存在因违反环境保护法律法规受到处罚的情形。</w:t>
      </w:r>
    </w:p>
    <w:p>
      <w:pPr>
        <w:spacing w:line="240" w:lineRule="auto" w:before="7"/>
        <w:rPr>
          <w:rFonts w:ascii="宋体" w:hAnsi="宋体" w:cs="宋体" w:eastAsia="宋体" w:hint="default"/>
          <w:sz w:val="17"/>
          <w:szCs w:val="17"/>
        </w:rPr>
      </w:pPr>
    </w:p>
    <w:p>
      <w:pPr>
        <w:pStyle w:val="Heading2"/>
        <w:spacing w:line="240" w:lineRule="auto"/>
        <w:ind w:right="1133"/>
        <w:jc w:val="left"/>
        <w:rPr>
          <w:b w:val="0"/>
          <w:bCs w:val="0"/>
        </w:rPr>
      </w:pPr>
      <w:r>
        <w:rPr/>
        <w:t>十九、其他重大事项的说明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3"/>
        <w:rPr>
          <w:rFonts w:ascii="宋体" w:hAnsi="宋体" w:cs="宋体" w:eastAsia="宋体" w:hint="default"/>
          <w:sz w:val="13"/>
          <w:szCs w:val="13"/>
        </w:rPr>
      </w:pPr>
    </w:p>
    <w:p>
      <w:pPr>
        <w:pStyle w:val="BodyText"/>
        <w:spacing w:line="451" w:lineRule="auto"/>
        <w:ind w:right="1078" w:firstLine="432"/>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29</w:t>
      </w:r>
      <w:r>
        <w:rPr/>
        <w:t>日，公司与林章威先生签署了《股权收购框架协议》，公司有意以支付现金的方式购买林章威所持有 </w:t>
      </w:r>
      <w:r>
        <w:rPr>
          <w:spacing w:val="-4"/>
        </w:rPr>
        <w:t>的福建闽保信息技术股份有限公司（简称</w:t>
      </w:r>
      <w:r>
        <w:rPr>
          <w:rFonts w:ascii="Times New Roman" w:hAnsi="Times New Roman" w:cs="Times New Roman" w:eastAsia="Times New Roman" w:hint="default"/>
          <w:spacing w:val="-4"/>
        </w:rPr>
        <w:t>“</w:t>
      </w:r>
      <w:r>
        <w:rPr>
          <w:spacing w:val="-4"/>
        </w:rPr>
        <w:t>标的公司</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22,897,000</w:t>
      </w:r>
      <w:r>
        <w:rPr>
          <w:spacing w:val="-4"/>
        </w:rPr>
        <w:t>股股份，对应的股权比例为</w:t>
      </w:r>
      <w:r>
        <w:rPr>
          <w:rFonts w:ascii="Times New Roman" w:hAnsi="Times New Roman" w:cs="Times New Roman" w:eastAsia="Times New Roman" w:hint="default"/>
          <w:spacing w:val="-4"/>
        </w:rPr>
        <w:t>71.26%</w:t>
      </w:r>
      <w:r>
        <w:rPr>
          <w:spacing w:val="-4"/>
        </w:rPr>
        <w:t>（公告编号：</w:t>
      </w:r>
      <w:r>
        <w:rPr>
          <w:rFonts w:ascii="Times New Roman" w:hAnsi="Times New Roman" w:cs="Times New Roman" w:eastAsia="Times New Roman" w:hint="default"/>
          <w:spacing w:val="-4"/>
        </w:rPr>
        <w:t>2019-028</w:t>
      </w:r>
      <w:r>
        <w:rPr>
          <w:spacing w:val="-4"/>
        </w:rPr>
        <w:t>）。</w:t>
      </w:r>
      <w:r>
        <w:rPr/>
      </w:r>
    </w:p>
    <w:p>
      <w:pPr>
        <w:pStyle w:val="BodyText"/>
        <w:spacing w:line="451" w:lineRule="auto" w:before="43"/>
        <w:ind w:right="1132" w:firstLine="432"/>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日，公司与林章威先生签署了《股权收购框架协议之补充协议》。根据约定，林章威应将其所持标的 </w:t>
      </w:r>
      <w:r>
        <w:rPr>
          <w:spacing w:val="-1"/>
        </w:rPr>
        <w:t>公司</w:t>
      </w:r>
      <w:r>
        <w:rPr>
          <w:rFonts w:ascii="Times New Roman" w:hAnsi="Times New Roman" w:cs="Times New Roman" w:eastAsia="Times New Roman" w:hint="default"/>
          <w:spacing w:val="-1"/>
        </w:rPr>
        <w:t>22,897,000</w:t>
      </w:r>
      <w:r>
        <w:rPr>
          <w:spacing w:val="-1"/>
        </w:rPr>
        <w:t>股股份（占标的公司总股本的</w:t>
      </w:r>
      <w:r>
        <w:rPr>
          <w:rFonts w:ascii="Times New Roman" w:hAnsi="Times New Roman" w:cs="Times New Roman" w:eastAsia="Times New Roman" w:hint="default"/>
          <w:spacing w:val="-1"/>
        </w:rPr>
        <w:t>71.26%</w:t>
      </w:r>
      <w:r>
        <w:rPr>
          <w:spacing w:val="-1"/>
        </w:rPr>
        <w:t>）质押给公司，在股权质押登记手续办理完成之后五个工作日内，公司</w:t>
      </w:r>
      <w:r>
        <w:rPr>
          <w:spacing w:val="-41"/>
        </w:rPr>
        <w:t> </w:t>
      </w:r>
      <w:r>
        <w:rPr>
          <w:spacing w:val="-41"/>
        </w:rPr>
      </w:r>
      <w:r>
        <w:rPr/>
        <w:t>向林章威支付人民币</w:t>
      </w:r>
      <w:r>
        <w:rPr>
          <w:rFonts w:ascii="Times New Roman" w:hAnsi="Times New Roman" w:cs="Times New Roman" w:eastAsia="Times New Roman" w:hint="default"/>
        </w:rPr>
        <w:t>4,000</w:t>
      </w:r>
      <w:r>
        <w:rPr/>
        <w:t>万元作为收购林章威所持有标的公司</w:t>
      </w:r>
      <w:r>
        <w:rPr>
          <w:rFonts w:ascii="Times New Roman" w:hAnsi="Times New Roman" w:cs="Times New Roman" w:eastAsia="Times New Roman" w:hint="default"/>
        </w:rPr>
        <w:t>71.26%</w:t>
      </w:r>
      <w:r>
        <w:rPr/>
        <w:t>股权的订金。在正式股权收购协议签署并生效后，该 等订金款项可作为公司向林章威支付的股权收购价款的一部分予以抵扣（公告编号：</w:t>
      </w:r>
      <w:r>
        <w:rPr>
          <w:rFonts w:ascii="Times New Roman" w:hAnsi="Times New Roman" w:cs="Times New Roman" w:eastAsia="Times New Roman" w:hint="default"/>
        </w:rPr>
        <w:t>2019-034</w:t>
      </w:r>
      <w:r>
        <w:rPr/>
        <w:t>）。</w:t>
      </w:r>
    </w:p>
    <w:p>
      <w:pPr>
        <w:pStyle w:val="BodyText"/>
        <w:spacing w:line="451" w:lineRule="auto" w:before="43"/>
        <w:ind w:right="1039" w:firstLine="432"/>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日，公司召开</w:t>
      </w:r>
      <w:r>
        <w:rPr>
          <w:rFonts w:ascii="Times New Roman" w:hAnsi="Times New Roman" w:cs="Times New Roman" w:eastAsia="Times New Roman" w:hint="default"/>
        </w:rPr>
        <w:t>2018</w:t>
      </w:r>
      <w:r>
        <w:rPr/>
        <w:t>年度股东大会，审议通过了《关于公司</w:t>
      </w:r>
      <w:r>
        <w:rPr>
          <w:rFonts w:ascii="Times New Roman" w:hAnsi="Times New Roman" w:cs="Times New Roman" w:eastAsia="Times New Roman" w:hint="default"/>
        </w:rPr>
        <w:t>2018</w:t>
      </w:r>
      <w:r>
        <w:rPr/>
        <w:t>年度利润分配及资本公积转增股本预案 的议案》：以公司总股本</w:t>
      </w:r>
      <w:r>
        <w:rPr>
          <w:rFonts w:ascii="Times New Roman" w:hAnsi="Times New Roman" w:cs="Times New Roman" w:eastAsia="Times New Roman" w:hint="default"/>
        </w:rPr>
        <w:t>192,000,000</w:t>
      </w:r>
      <w:r>
        <w:rPr/>
        <w:t>股作为股本基数，向全体股东每十股派发现金股利人民币</w:t>
      </w:r>
      <w:r>
        <w:rPr>
          <w:rFonts w:ascii="Times New Roman" w:hAnsi="Times New Roman" w:cs="Times New Roman" w:eastAsia="Times New Roman" w:hint="default"/>
        </w:rPr>
        <w:t>0.5</w:t>
      </w:r>
      <w:r>
        <w:rPr/>
        <w:t>元（含税）；同时以资本 </w:t>
      </w:r>
      <w:r>
        <w:rPr>
          <w:spacing w:val="-2"/>
        </w:rPr>
        <w:t>公积向全体股东每十股转增</w:t>
      </w:r>
      <w:r>
        <w:rPr>
          <w:rFonts w:ascii="Times New Roman" w:hAnsi="Times New Roman" w:cs="Times New Roman" w:eastAsia="Times New Roman" w:hint="default"/>
          <w:spacing w:val="-2"/>
        </w:rPr>
        <w:t>4</w:t>
      </w:r>
      <w:r>
        <w:rPr>
          <w:spacing w:val="-2"/>
        </w:rPr>
        <w:t>股。本次权益分派股权登记日为：</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27</w:t>
      </w:r>
      <w:r>
        <w:rPr>
          <w:spacing w:val="-2"/>
        </w:rPr>
        <w:t>日，除权除息日为：</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28</w:t>
      </w:r>
      <w:r>
        <w:rPr>
          <w:spacing w:val="-2"/>
        </w:rPr>
        <w:t>日（公告编号：</w:t>
      </w:r>
      <w:r>
        <w:rPr>
          <w:spacing w:val="-53"/>
        </w:rPr>
        <w:t> </w:t>
      </w:r>
      <w:r>
        <w:rPr>
          <w:spacing w:val="-53"/>
        </w:rPr>
      </w:r>
      <w:r>
        <w:rPr>
          <w:rFonts w:ascii="Times New Roman" w:hAnsi="Times New Roman" w:cs="Times New Roman" w:eastAsia="Times New Roman" w:hint="default"/>
        </w:rPr>
        <w:t>2019-038</w:t>
      </w:r>
      <w:r>
        <w:rPr/>
        <w:t>）。</w:t>
      </w:r>
    </w:p>
    <w:p>
      <w:pPr>
        <w:pStyle w:val="BodyText"/>
        <w:spacing w:line="240" w:lineRule="auto" w:before="43"/>
        <w:ind w:left="513" w:right="1133"/>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12</w:t>
      </w:r>
      <w:r>
        <w:rPr/>
        <w:t>日，股东余荣清、兰山英、苏州恒久荣盛科技投资有限公司、余仲清、孙忠良解除首发前限售股份</w:t>
      </w:r>
    </w:p>
    <w:p>
      <w:pPr>
        <w:spacing w:line="240" w:lineRule="auto" w:before="9"/>
        <w:rPr>
          <w:rFonts w:ascii="宋体" w:hAnsi="宋体" w:cs="宋体" w:eastAsia="宋体" w:hint="default"/>
          <w:sz w:val="16"/>
          <w:szCs w:val="16"/>
        </w:rPr>
      </w:pPr>
    </w:p>
    <w:p>
      <w:pPr>
        <w:pStyle w:val="BodyText"/>
        <w:spacing w:line="451" w:lineRule="auto"/>
        <w:ind w:right="1133"/>
        <w:jc w:val="left"/>
      </w:pPr>
      <w:r>
        <w:rPr>
          <w:rFonts w:ascii="Times New Roman" w:hAnsi="Times New Roman" w:cs="Times New Roman" w:eastAsia="Times New Roman" w:hint="default"/>
        </w:rPr>
        <w:t>143,764,992</w:t>
      </w:r>
      <w:r>
        <w:rPr/>
        <w:t>股；其中余荣清先生解除首发前限售股</w:t>
      </w:r>
      <w:r>
        <w:rPr>
          <w:rFonts w:ascii="Times New Roman" w:hAnsi="Times New Roman" w:cs="Times New Roman" w:eastAsia="Times New Roman" w:hint="default"/>
        </w:rPr>
        <w:t>106,240,512</w:t>
      </w:r>
      <w:r>
        <w:rPr/>
        <w:t>股、兰山英女士解除首发前限售股</w:t>
      </w:r>
      <w:r>
        <w:rPr>
          <w:rFonts w:ascii="Times New Roman" w:hAnsi="Times New Roman" w:cs="Times New Roman" w:eastAsia="Times New Roman" w:hint="default"/>
        </w:rPr>
        <w:t>19,592,534</w:t>
      </w:r>
      <w:r>
        <w:rPr/>
        <w:t>股、余仲清先生 解除首发前限售股</w:t>
      </w:r>
      <w:r>
        <w:rPr>
          <w:rFonts w:ascii="Times New Roman" w:hAnsi="Times New Roman" w:cs="Times New Roman" w:eastAsia="Times New Roman" w:hint="default"/>
        </w:rPr>
        <w:t>2,938,880</w:t>
      </w:r>
      <w:r>
        <w:rPr/>
        <w:t>股）（公告编号：</w:t>
      </w:r>
      <w:r>
        <w:rPr>
          <w:rFonts w:ascii="Times New Roman" w:hAnsi="Times New Roman" w:cs="Times New Roman" w:eastAsia="Times New Roman" w:hint="default"/>
        </w:rPr>
        <w:t>2019-045</w:t>
      </w:r>
      <w:r>
        <w:rPr/>
        <w:t>）。</w:t>
      </w:r>
    </w:p>
    <w:p>
      <w:pPr>
        <w:pStyle w:val="BodyText"/>
        <w:spacing w:line="240" w:lineRule="auto" w:before="43"/>
        <w:ind w:left="513" w:right="1133"/>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w:t>
      </w:r>
      <w:r>
        <w:rPr/>
        <w:t>日，苏州恒久光电科技股份有限公司指定信息披露媒体变更为《证券时报》和巨潮资讯网</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7"/>
          <w:szCs w:val="27"/>
        </w:rPr>
      </w:pPr>
    </w:p>
    <w:p>
      <w:pPr>
        <w:pStyle w:val="BodyText"/>
        <w:spacing w:line="240" w:lineRule="auto" w:before="44"/>
        <w:ind w:right="1133"/>
        <w:jc w:val="left"/>
      </w:pPr>
      <w:r>
        <w:rPr/>
        <w:t>（</w:t>
      </w:r>
      <w:hyperlink r:id="rId11">
        <w:r>
          <w:rPr>
            <w:rFonts w:ascii="Times New Roman" w:hAnsi="Times New Roman" w:cs="Times New Roman" w:eastAsia="Times New Roman" w:hint="default"/>
          </w:rPr>
          <w:t>www.cninfo.com.cn</w:t>
        </w:r>
      </w:hyperlink>
      <w:r>
        <w:rPr/>
        <w:t>）（公告编号：</w:t>
      </w:r>
      <w:r>
        <w:rPr>
          <w:rFonts w:ascii="Times New Roman" w:hAnsi="Times New Roman" w:cs="Times New Roman" w:eastAsia="Times New Roman" w:hint="default"/>
        </w:rPr>
        <w:t>2019-055</w:t>
      </w:r>
      <w:r>
        <w:rPr/>
        <w:t>）。</w:t>
      </w:r>
    </w:p>
    <w:p>
      <w:pPr>
        <w:spacing w:line="240" w:lineRule="auto" w:before="10"/>
        <w:rPr>
          <w:rFonts w:ascii="宋体" w:hAnsi="宋体" w:cs="宋体" w:eastAsia="宋体" w:hint="default"/>
          <w:sz w:val="16"/>
          <w:szCs w:val="16"/>
        </w:rPr>
      </w:pPr>
    </w:p>
    <w:p>
      <w:pPr>
        <w:pStyle w:val="BodyText"/>
        <w:spacing w:line="463" w:lineRule="auto"/>
        <w:ind w:right="1131" w:firstLine="360"/>
        <w:jc w:val="both"/>
      </w:pPr>
      <w:r>
        <w:rPr>
          <w:rFonts w:ascii="Times New Roman" w:hAnsi="Times New Roman" w:cs="Times New Roman" w:eastAsia="Times New Roman" w:hint="default"/>
        </w:rPr>
        <w:t>6</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28</w:t>
      </w:r>
      <w:r>
        <w:rPr/>
        <w:t>日，公司召开了第四届董事会第十五次会议，会议审议通过了《关于变更公司财务负责人的议案》， </w:t>
      </w:r>
      <w:r>
        <w:rPr>
          <w:spacing w:val="-2"/>
        </w:rPr>
        <w:t>经公司董事长、总经理余荣清先生提名，公司董事会提名委员会资格审核通过，同意聘任冯芬兰女士为公司财务总监（财务</w:t>
      </w:r>
      <w:r>
        <w:rPr>
          <w:spacing w:val="-65"/>
        </w:rPr>
        <w:t> </w:t>
      </w:r>
      <w:r>
        <w:rPr>
          <w:spacing w:val="-65"/>
        </w:rPr>
      </w:r>
      <w:r>
        <w:rPr/>
        <w:t>负责人），任期自本次董事会审议通过之日起至本届董事会届满之日止（公告编号：</w:t>
      </w:r>
      <w:r>
        <w:rPr>
          <w:rFonts w:ascii="Times New Roman" w:hAnsi="Times New Roman" w:cs="Times New Roman" w:eastAsia="Times New Roman" w:hint="default"/>
        </w:rPr>
        <w:t>2019-067</w:t>
      </w:r>
      <w:r>
        <w:rPr/>
        <w:t>）。</w:t>
      </w:r>
    </w:p>
    <w:p>
      <w:pPr>
        <w:pStyle w:val="BodyText"/>
        <w:spacing w:line="451" w:lineRule="auto" w:before="33"/>
        <w:ind w:right="1139" w:firstLine="360"/>
        <w:jc w:val="both"/>
      </w:pPr>
      <w:r>
        <w:rPr>
          <w:rFonts w:ascii="Times New Roman" w:hAnsi="Times New Roman" w:cs="Times New Roman" w:eastAsia="Times New Roman" w:hint="default"/>
        </w:rPr>
        <w:t>7</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日，公司董事会近日收到公司副总经理、董事会秘书孙仕杰女士提交的书面辞职报告，孙仕杰女士因 个人原因，申请辞去公司副总经理、董事会秘书职务，辞职后不再担任公司任何职务（公告编号：</w:t>
      </w:r>
      <w:r>
        <w:rPr>
          <w:rFonts w:ascii="Times New Roman" w:hAnsi="Times New Roman" w:cs="Times New Roman" w:eastAsia="Times New Roman" w:hint="default"/>
        </w:rPr>
        <w:t>2019-068</w:t>
      </w:r>
      <w:r>
        <w:rPr/>
        <w:t>）。</w:t>
      </w:r>
    </w:p>
    <w:p>
      <w:pPr>
        <w:pStyle w:val="BodyText"/>
        <w:spacing w:line="460" w:lineRule="auto" w:before="43"/>
        <w:ind w:right="1128" w:firstLine="360"/>
        <w:jc w:val="both"/>
      </w:pPr>
      <w:r>
        <w:rPr>
          <w:rFonts w:ascii="Times New Roman" w:hAnsi="Times New Roman" w:cs="Times New Roman" w:eastAsia="Times New Roman" w:hint="default"/>
        </w:rPr>
        <w:t>8</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w:t>
      </w:r>
      <w:r>
        <w:rPr/>
        <w:t>日，公司与林章威先生签署了《股权收购协议》，公司以支付现金</w:t>
      </w:r>
      <w:r>
        <w:rPr>
          <w:rFonts w:ascii="Times New Roman" w:hAnsi="Times New Roman" w:cs="Times New Roman" w:eastAsia="Times New Roman" w:hint="default"/>
        </w:rPr>
        <w:t>139,664,517.25</w:t>
      </w:r>
      <w:r>
        <w:rPr/>
        <w:t>元的方式购买林章威 </w:t>
      </w:r>
      <w:r>
        <w:rPr>
          <w:spacing w:val="-2"/>
        </w:rPr>
        <w:t>所持有的标的公司</w:t>
      </w:r>
      <w:r>
        <w:rPr>
          <w:rFonts w:ascii="Times New Roman" w:hAnsi="Times New Roman" w:cs="Times New Roman" w:eastAsia="Times New Roman" w:hint="default"/>
          <w:spacing w:val="-2"/>
        </w:rPr>
        <w:t>22,897,000</w:t>
      </w:r>
      <w:r>
        <w:rPr>
          <w:spacing w:val="-2"/>
        </w:rPr>
        <w:t>股股份（占标的公司总股本的</w:t>
      </w:r>
      <w:r>
        <w:rPr>
          <w:rFonts w:ascii="Times New Roman" w:hAnsi="Times New Roman" w:cs="Times New Roman" w:eastAsia="Times New Roman" w:hint="default"/>
          <w:spacing w:val="-2"/>
        </w:rPr>
        <w:t>71.26%</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日，林章威先生已将标的公司</w:t>
      </w:r>
      <w:r>
        <w:rPr>
          <w:rFonts w:ascii="Times New Roman" w:hAnsi="Times New Roman" w:cs="Times New Roman" w:eastAsia="Times New Roman" w:hint="default"/>
          <w:spacing w:val="-2"/>
        </w:rPr>
        <w:t>22,897,000</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6"/>
        </w:rPr>
      </w:r>
      <w:r>
        <w:rPr>
          <w:spacing w:val="-2"/>
        </w:rPr>
        <w:t>股股权过户至公司。福建省闽保信息技术股份有限公司变更为福建省闽保信息技术有限公司，成为公司的控股子公司，公司</w:t>
      </w:r>
      <w:r>
        <w:rPr>
          <w:spacing w:val="-65"/>
        </w:rPr>
        <w:t> </w:t>
      </w:r>
      <w:r>
        <w:rPr>
          <w:spacing w:val="-65"/>
        </w:rPr>
      </w:r>
      <w:r>
        <w:rPr/>
        <w:t>持股比例为</w:t>
      </w:r>
      <w:r>
        <w:rPr>
          <w:rFonts w:ascii="Times New Roman" w:hAnsi="Times New Roman" w:cs="Times New Roman" w:eastAsia="Times New Roman" w:hint="default"/>
        </w:rPr>
        <w:t>71.26%</w:t>
      </w:r>
      <w:r>
        <w:rPr/>
        <w:t>（公告编号：</w:t>
      </w:r>
      <w:r>
        <w:rPr>
          <w:rFonts w:ascii="Times New Roman" w:hAnsi="Times New Roman" w:cs="Times New Roman" w:eastAsia="Times New Roman" w:hint="default"/>
        </w:rPr>
        <w:t>2019-070</w:t>
      </w:r>
      <w:r>
        <w:rPr/>
        <w:t>、</w:t>
      </w:r>
      <w:r>
        <w:rPr>
          <w:rFonts w:ascii="Times New Roman" w:hAnsi="Times New Roman" w:cs="Times New Roman" w:eastAsia="Times New Roman" w:hint="default"/>
        </w:rPr>
        <w:t>2019-073</w:t>
      </w:r>
      <w:r>
        <w:rPr/>
        <w:t>、</w:t>
      </w:r>
      <w:r>
        <w:rPr>
          <w:rFonts w:ascii="Times New Roman" w:hAnsi="Times New Roman" w:cs="Times New Roman" w:eastAsia="Times New Roman" w:hint="default"/>
        </w:rPr>
        <w:t>2019-081</w:t>
      </w:r>
      <w:r>
        <w:rPr/>
        <w:t>、</w:t>
      </w:r>
      <w:r>
        <w:rPr>
          <w:rFonts w:ascii="Times New Roman" w:hAnsi="Times New Roman" w:cs="Times New Roman" w:eastAsia="Times New Roman" w:hint="default"/>
        </w:rPr>
        <w:t>2020-001</w:t>
      </w:r>
      <w:r>
        <w:rPr/>
        <w:t>）。</w:t>
      </w:r>
    </w:p>
    <w:p>
      <w:pPr>
        <w:pStyle w:val="BodyText"/>
        <w:spacing w:line="451" w:lineRule="auto" w:before="35"/>
        <w:ind w:right="1129" w:firstLine="360"/>
        <w:jc w:val="both"/>
      </w:pPr>
      <w:r>
        <w:rPr>
          <w:rFonts w:ascii="Times New Roman" w:hAnsi="Times New Roman" w:cs="Times New Roman" w:eastAsia="Times New Roman" w:hint="default"/>
        </w:rPr>
        <w:t>9</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w:t>
      </w:r>
      <w:r>
        <w:rPr/>
        <w:t>日，公司召开第四届董事会第十七次会议和第四届监事会第十四次会议，审议通过了《关于变更会计 </w:t>
      </w:r>
      <w:r>
        <w:rPr>
          <w:spacing w:val="-2"/>
        </w:rPr>
        <w:t>师事务所的议案》，拟将公司</w:t>
      </w:r>
      <w:r>
        <w:rPr>
          <w:rFonts w:ascii="Times New Roman" w:hAnsi="Times New Roman" w:cs="Times New Roman" w:eastAsia="Times New Roman" w:hint="default"/>
          <w:spacing w:val="-2"/>
        </w:rPr>
        <w:t>2019</w:t>
      </w:r>
      <w:r>
        <w:rPr>
          <w:spacing w:val="-2"/>
        </w:rPr>
        <w:t>年度财务报告和内部控制的外部审计机构变更为永拓会计师事务所（特殊普通合伙），审</w:t>
      </w:r>
      <w:r>
        <w:rPr>
          <w:spacing w:val="-60"/>
        </w:rPr>
        <w:t> </w:t>
      </w:r>
      <w:r>
        <w:rPr>
          <w:spacing w:val="-60"/>
        </w:rPr>
      </w:r>
      <w:r>
        <w:rPr/>
        <w:t>计费用为人民币</w:t>
      </w:r>
      <w:r>
        <w:rPr>
          <w:rFonts w:ascii="Times New Roman" w:hAnsi="Times New Roman" w:cs="Times New Roman" w:eastAsia="Times New Roman" w:hint="default"/>
        </w:rPr>
        <w:t>50.00</w:t>
      </w:r>
      <w:r>
        <w:rPr/>
        <w:t>万元，聘期为一年（公告编号：</w:t>
      </w:r>
      <w:r>
        <w:rPr>
          <w:rFonts w:ascii="Times New Roman" w:hAnsi="Times New Roman" w:cs="Times New Roman" w:eastAsia="Times New Roman" w:hint="default"/>
        </w:rPr>
        <w:t>2019-078</w:t>
      </w:r>
      <w:r>
        <w:rPr/>
        <w:t>）。</w:t>
      </w:r>
    </w:p>
    <w:p>
      <w:pPr>
        <w:pStyle w:val="BodyText"/>
        <w:spacing w:line="451" w:lineRule="auto" w:before="43"/>
        <w:ind w:right="1133" w:firstLine="360"/>
        <w:jc w:val="both"/>
      </w:pPr>
      <w:r>
        <w:rPr>
          <w:rFonts w:ascii="Times New Roman" w:hAnsi="Times New Roman" w:cs="Times New Roman" w:eastAsia="Times New Roman" w:hint="default"/>
          <w:spacing w:val="-2"/>
        </w:rPr>
        <w:t>10</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26</w:t>
      </w:r>
      <w:r>
        <w:rPr>
          <w:spacing w:val="-2"/>
        </w:rPr>
        <w:t>日，公司召开第四届董事会第十七次会议，审议通过了《关于转让参股公司部分股权的议案》。公司</w:t>
      </w:r>
      <w:r>
        <w:rPr/>
        <w:t> </w:t>
      </w:r>
      <w:r>
        <w:rPr>
          <w:spacing w:val="-1"/>
        </w:rPr>
        <w:t>本次合计转让深圳市壹办公科技股份有限公司</w:t>
      </w:r>
      <w:r>
        <w:rPr>
          <w:rFonts w:ascii="Times New Roman" w:hAnsi="Times New Roman" w:cs="Times New Roman" w:eastAsia="Times New Roman" w:hint="default"/>
          <w:spacing w:val="-1"/>
        </w:rPr>
        <w:t>3,364,000</w:t>
      </w:r>
      <w:r>
        <w:rPr>
          <w:spacing w:val="-1"/>
        </w:rPr>
        <w:t>股，占壹办公总股本的</w:t>
      </w:r>
      <w:r>
        <w:rPr>
          <w:rFonts w:ascii="Times New Roman" w:hAnsi="Times New Roman" w:cs="Times New Roman" w:eastAsia="Times New Roman" w:hint="default"/>
          <w:spacing w:val="-1"/>
        </w:rPr>
        <w:t>8.732%</w:t>
      </w:r>
      <w:r>
        <w:rPr>
          <w:spacing w:val="-1"/>
        </w:rPr>
        <w:t>，转让金额总计</w:t>
      </w:r>
      <w:r>
        <w:rPr>
          <w:rFonts w:ascii="Times New Roman" w:hAnsi="Times New Roman" w:cs="Times New Roman" w:eastAsia="Times New Roman" w:hint="default"/>
          <w:spacing w:val="-1"/>
        </w:rPr>
        <w:t>14,667,040</w:t>
      </w:r>
      <w:r>
        <w:rPr>
          <w:spacing w:val="-1"/>
        </w:rPr>
        <w:t>元；本次转</w:t>
      </w:r>
      <w:r>
        <w:rPr>
          <w:spacing w:val="-42"/>
        </w:rPr>
        <w:t> </w:t>
      </w:r>
      <w:r>
        <w:rPr>
          <w:spacing w:val="-42"/>
        </w:rPr>
      </w:r>
      <w:r>
        <w:rPr/>
        <w:t>让后公司仍持有壹办公</w:t>
      </w:r>
      <w:r>
        <w:rPr>
          <w:rFonts w:ascii="Times New Roman" w:hAnsi="Times New Roman" w:cs="Times New Roman" w:eastAsia="Times New Roman" w:hint="default"/>
        </w:rPr>
        <w:t>7,229,792</w:t>
      </w:r>
      <w:r>
        <w:rPr/>
        <w:t>股，占壹办公总股本的</w:t>
      </w:r>
      <w:r>
        <w:rPr>
          <w:rFonts w:ascii="Times New Roman" w:hAnsi="Times New Roman" w:cs="Times New Roman" w:eastAsia="Times New Roman" w:hint="default"/>
        </w:rPr>
        <w:t>18.768%</w:t>
      </w:r>
      <w:r>
        <w:rPr/>
        <w:t>（公告编号：</w:t>
      </w:r>
      <w:r>
        <w:rPr>
          <w:rFonts w:ascii="Times New Roman" w:hAnsi="Times New Roman" w:cs="Times New Roman" w:eastAsia="Times New Roman" w:hint="default"/>
        </w:rPr>
        <w:t>2019-079</w:t>
      </w:r>
      <w:r>
        <w:rPr/>
        <w:t>）。</w:t>
      </w:r>
    </w:p>
    <w:p>
      <w:pPr>
        <w:spacing w:line="240" w:lineRule="auto" w:before="9"/>
        <w:rPr>
          <w:rFonts w:ascii="宋体" w:hAnsi="宋体" w:cs="宋体" w:eastAsia="宋体" w:hint="default"/>
          <w:sz w:val="16"/>
          <w:szCs w:val="16"/>
        </w:rPr>
      </w:pPr>
    </w:p>
    <w:p>
      <w:pPr>
        <w:pStyle w:val="Heading2"/>
        <w:spacing w:line="240" w:lineRule="auto"/>
        <w:ind w:right="1133"/>
        <w:jc w:val="left"/>
        <w:rPr>
          <w:b w:val="0"/>
          <w:bCs w:val="0"/>
        </w:rPr>
      </w:pPr>
      <w:r>
        <w:rPr/>
        <w:t>二十、公司子公司重大事项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3"/>
        <w:rPr>
          <w:rFonts w:ascii="宋体" w:hAnsi="宋体" w:cs="宋体" w:eastAsia="宋体" w:hint="default"/>
          <w:sz w:val="13"/>
          <w:szCs w:val="13"/>
        </w:rPr>
      </w:pPr>
    </w:p>
    <w:p>
      <w:pPr>
        <w:pStyle w:val="BodyText"/>
        <w:spacing w:line="451" w:lineRule="auto"/>
        <w:ind w:right="1184" w:firstLine="36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日，公司设立全资子公司苏州恒久影像科技有限公司，注册资本</w:t>
      </w:r>
      <w:r>
        <w:rPr>
          <w:rFonts w:ascii="Times New Roman" w:hAnsi="Times New Roman" w:cs="Times New Roman" w:eastAsia="Times New Roman" w:hint="default"/>
        </w:rPr>
        <w:t>5,000</w:t>
      </w:r>
      <w:r>
        <w:rPr/>
        <w:t>万元。公司已完成登记并取得营 业执照（公告编号：</w:t>
      </w:r>
      <w:r>
        <w:rPr>
          <w:rFonts w:ascii="Times New Roman" w:hAnsi="Times New Roman" w:cs="Times New Roman" w:eastAsia="Times New Roman" w:hint="default"/>
        </w:rPr>
        <w:t>2019-037</w:t>
      </w:r>
      <w:r>
        <w:rPr/>
        <w:t>）。</w:t>
      </w:r>
    </w:p>
    <w:p>
      <w:pPr>
        <w:pStyle w:val="BodyText"/>
        <w:spacing w:line="451" w:lineRule="auto" w:before="43"/>
        <w:ind w:right="1131" w:firstLine="360"/>
        <w:jc w:val="both"/>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20</w:t>
      </w:r>
      <w:r>
        <w:rPr>
          <w:spacing w:val="-2"/>
        </w:rPr>
        <w:t>日，公司召开的第四届董事会第十四次会议审议通过了《关于对全资子公司苏州恒久商业保理有限公司</w:t>
      </w:r>
      <w:r>
        <w:rPr/>
        <w:t> </w:t>
      </w:r>
      <w:r>
        <w:rPr>
          <w:spacing w:val="-1"/>
        </w:rPr>
        <w:t>减资的议案》，同意对全资子公司苏州恒久商业保理有限公司进行减资，本次减资完成后，恒久保理注册资本将由</w:t>
      </w:r>
      <w:r>
        <w:rPr>
          <w:rFonts w:ascii="Times New Roman" w:hAnsi="Times New Roman" w:cs="Times New Roman" w:eastAsia="Times New Roman" w:hint="default"/>
          <w:spacing w:val="-1"/>
        </w:rPr>
        <w:t>10,000</w:t>
      </w:r>
      <w:r>
        <w:rPr>
          <w:spacing w:val="-1"/>
        </w:rPr>
        <w:t>万</w:t>
      </w:r>
      <w:r>
        <w:rPr>
          <w:spacing w:val="-72"/>
        </w:rPr>
        <w:t> </w:t>
      </w:r>
      <w:r>
        <w:rPr/>
        <w:t>元变更为</w:t>
      </w:r>
      <w:r>
        <w:rPr>
          <w:rFonts w:ascii="Times New Roman" w:hAnsi="Times New Roman" w:cs="Times New Roman" w:eastAsia="Times New Roman" w:hint="default"/>
        </w:rPr>
        <w:t>5,000</w:t>
      </w:r>
      <w:r>
        <w:rPr/>
        <w:t>万元，公司仍持有其</w:t>
      </w:r>
      <w:r>
        <w:rPr>
          <w:rFonts w:ascii="Times New Roman" w:hAnsi="Times New Roman" w:cs="Times New Roman" w:eastAsia="Times New Roman" w:hint="default"/>
        </w:rPr>
        <w:t>100%</w:t>
      </w:r>
      <w:r>
        <w:rPr/>
        <w:t>股权（公告编号：</w:t>
      </w:r>
      <w:r>
        <w:rPr>
          <w:rFonts w:ascii="Times New Roman" w:hAnsi="Times New Roman" w:cs="Times New Roman" w:eastAsia="Times New Roman" w:hint="default"/>
        </w:rPr>
        <w:t>2019-060</w:t>
      </w:r>
      <w:r>
        <w:rPr/>
        <w:t>）。</w:t>
      </w:r>
    </w:p>
    <w:p>
      <w:pPr>
        <w:pStyle w:val="BodyText"/>
        <w:spacing w:line="451" w:lineRule="auto" w:before="43"/>
        <w:ind w:right="1129" w:firstLine="360"/>
        <w:jc w:val="both"/>
      </w:pP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14</w:t>
      </w:r>
      <w:r>
        <w:rPr>
          <w:spacing w:val="-1"/>
        </w:rPr>
        <w:t>日，公司设立全资子公司苏州恒久丰德新能源技术有限公司，注册资本</w:t>
      </w:r>
      <w:r>
        <w:rPr>
          <w:rFonts w:ascii="Times New Roman" w:hAnsi="Times New Roman" w:cs="Times New Roman" w:eastAsia="Times New Roman" w:hint="default"/>
          <w:spacing w:val="-1"/>
        </w:rPr>
        <w:t>5,000</w:t>
      </w:r>
      <w:r>
        <w:rPr>
          <w:spacing w:val="-1"/>
        </w:rPr>
        <w:t>万元，公司已完成登记并</w:t>
      </w:r>
      <w:r>
        <w:rPr/>
        <w:t> 取得营业执照（公告编号：</w:t>
      </w:r>
      <w:r>
        <w:rPr>
          <w:rFonts w:ascii="Times New Roman" w:hAnsi="Times New Roman" w:cs="Times New Roman" w:eastAsia="Times New Roman" w:hint="default"/>
        </w:rPr>
        <w:t>2019-063</w:t>
      </w:r>
      <w:r>
        <w:rPr/>
        <w:t>）。</w:t>
      </w:r>
    </w:p>
    <w:p>
      <w:pPr>
        <w:spacing w:after="0" w:line="451" w:lineRule="auto"/>
        <w:jc w:val="both"/>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1"/>
        <w:spacing w:line="240" w:lineRule="auto"/>
        <w:ind w:left="3045" w:right="1133"/>
        <w:jc w:val="left"/>
        <w:rPr>
          <w:b w:val="0"/>
          <w:bCs w:val="0"/>
        </w:rPr>
      </w:pPr>
      <w:bookmarkStart w:name="_bookmark5" w:id="6"/>
      <w:bookmarkEnd w:id="6"/>
      <w:r>
        <w:rPr>
          <w:b w:val="0"/>
          <w:bCs w:val="0"/>
        </w:rPr>
      </w:r>
      <w:r>
        <w:rPr/>
        <w:t>第六节股份变动及股东情况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133"/>
        <w:jc w:val="left"/>
        <w:rPr>
          <w:b w:val="0"/>
          <w:bCs w:val="0"/>
        </w:rPr>
      </w:pPr>
      <w:r>
        <w:rPr/>
        <w:t>一、股份变动情况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before="0"/>
        <w:ind w:right="1133"/>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单位：股</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4"/>
        <w:gridCol w:w="823"/>
        <w:gridCol w:w="823"/>
        <w:gridCol w:w="821"/>
        <w:gridCol w:w="823"/>
        <w:gridCol w:w="821"/>
        <w:gridCol w:w="824"/>
        <w:gridCol w:w="794"/>
        <w:gridCol w:w="792"/>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316" w:right="47"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tcBorders>
              <w:left w:val="single" w:sz="4" w:space="0" w:color="000000"/>
              <w:right w:val="single" w:sz="4" w:space="0" w:color="000000"/>
            </w:tcBorders>
            <w:shd w:val="clear" w:color="auto" w:fill="D2D2D2"/>
          </w:tcPr>
          <w:p>
            <w:pP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103,295,4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53.80%</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41,318,17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-47,186,0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48</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-5,867,87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97,427,55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36.25%</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3"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103,295,4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53.80%</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41,318,17</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2</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-47,186,0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48</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-5,867,87</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97,427,55</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4</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36.25%</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9,397,333</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4.89%</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3,758,933</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-13,156,2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-9,397,33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3"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93,898,09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48.91%</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37,559,23</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9</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-34,029,7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82</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3,529,457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97,427,55</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4</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36.25%</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88,704,57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46.20%</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35,481,82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47,186,04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82,667,87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171,372,4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46</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63.75%</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3"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88,704,57</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46.20%</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35,481,82</w:t>
            </w:r>
          </w:p>
          <w:p>
            <w:pPr>
              <w:pStyle w:val="TableParagraph"/>
              <w:spacing w:line="240" w:lineRule="auto" w:before="103"/>
              <w:ind w:right="23"/>
              <w:jc w:val="right"/>
              <w:rPr>
                <w:rFonts w:ascii="Times New Roman" w:hAnsi="Times New Roman" w:cs="Times New Roman" w:eastAsia="Times New Roman" w:hint="default"/>
                <w:sz w:val="18"/>
                <w:szCs w:val="18"/>
              </w:rPr>
            </w:pPr>
            <w:r>
              <w:rPr>
                <w:rFonts w:ascii="Times New Roman"/>
                <w:sz w:val="18"/>
              </w:rPr>
              <w:t>8</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47,186,04</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8</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82,667,87</w:t>
            </w:r>
          </w:p>
          <w:p>
            <w:pPr>
              <w:pStyle w:val="TableParagraph"/>
              <w:spacing w:line="240" w:lineRule="auto" w:before="103"/>
              <w:ind w:right="23"/>
              <w:jc w:val="right"/>
              <w:rPr>
                <w:rFonts w:ascii="Times New Roman" w:hAnsi="Times New Roman" w:cs="Times New Roman" w:eastAsia="Times New Roman" w:hint="default"/>
                <w:sz w:val="18"/>
                <w:szCs w:val="18"/>
              </w:rPr>
            </w:pPr>
            <w:r>
              <w:rPr>
                <w:rFonts w:ascii="Times New Roman"/>
                <w:sz w:val="18"/>
              </w:rPr>
              <w:t>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171,372,4</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46</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63.75%</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76,800,00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76,800,00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268,800,0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3"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股份变动的原因</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3"/>
        <w:rPr>
          <w:rFonts w:ascii="宋体" w:hAnsi="宋体" w:cs="宋体" w:eastAsia="宋体" w:hint="default"/>
          <w:sz w:val="13"/>
          <w:szCs w:val="13"/>
        </w:rPr>
      </w:pPr>
    </w:p>
    <w:p>
      <w:pPr>
        <w:pStyle w:val="BodyText"/>
        <w:spacing w:line="451" w:lineRule="auto"/>
        <w:ind w:right="1131" w:firstLine="360"/>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25</w:t>
      </w:r>
      <w:r>
        <w:rPr>
          <w:spacing w:val="-2"/>
        </w:rPr>
        <w:t>日，公司第四届董事会第九次会议审议通过了《关于公司</w:t>
      </w:r>
      <w:r>
        <w:rPr>
          <w:rFonts w:ascii="Times New Roman" w:hAnsi="Times New Roman" w:cs="Times New Roman" w:eastAsia="Times New Roman" w:hint="default"/>
          <w:spacing w:val="-2"/>
        </w:rPr>
        <w:t>2018</w:t>
      </w:r>
      <w:r>
        <w:rPr>
          <w:spacing w:val="-2"/>
        </w:rPr>
        <w:t>年度利润分配及资本公积转增股本预案的</w:t>
      </w:r>
      <w:r>
        <w:rPr/>
        <w:t> 议案》，以截止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192,000,000</w:t>
      </w:r>
      <w:r>
        <w:rPr/>
        <w:t>股为基数，向全体股东每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0.5</w:t>
      </w:r>
      <w:r>
        <w:rPr/>
        <w:t>元（含税），共计 </w:t>
      </w:r>
      <w:r>
        <w:rPr>
          <w:spacing w:val="-2"/>
        </w:rPr>
        <w:t>派发现金股利人民币</w:t>
      </w:r>
      <w:r>
        <w:rPr>
          <w:rFonts w:ascii="Times New Roman" w:hAnsi="Times New Roman" w:cs="Times New Roman" w:eastAsia="Times New Roman" w:hint="default"/>
          <w:spacing w:val="-2"/>
        </w:rPr>
        <w:t>9,600,000</w:t>
      </w:r>
      <w:r>
        <w:rPr>
          <w:spacing w:val="-2"/>
        </w:rPr>
        <w:t>元；同时以资本公积向全体股东每十股转增</w:t>
      </w:r>
      <w:r>
        <w:rPr>
          <w:rFonts w:ascii="Times New Roman" w:hAnsi="Times New Roman" w:cs="Times New Roman" w:eastAsia="Times New Roman" w:hint="default"/>
          <w:spacing w:val="-2"/>
        </w:rPr>
        <w:t>4</w:t>
      </w:r>
      <w:r>
        <w:rPr>
          <w:spacing w:val="-2"/>
        </w:rPr>
        <w:t>股，合计转增</w:t>
      </w:r>
      <w:r>
        <w:rPr>
          <w:rFonts w:ascii="Times New Roman" w:hAnsi="Times New Roman" w:cs="Times New Roman" w:eastAsia="Times New Roman" w:hint="default"/>
          <w:spacing w:val="-2"/>
        </w:rPr>
        <w:t>76,800,000</w:t>
      </w:r>
      <w:r>
        <w:rPr>
          <w:spacing w:val="-2"/>
        </w:rPr>
        <w:t>股，转增后公司总股本将</w:t>
      </w:r>
      <w:r>
        <w:rPr>
          <w:spacing w:val="-50"/>
        </w:rPr>
        <w:t> </w:t>
      </w:r>
      <w:r>
        <w:rPr>
          <w:spacing w:val="-50"/>
        </w:rPr>
      </w:r>
      <w:r>
        <w:rPr/>
        <w:t>增至</w:t>
      </w:r>
      <w:r>
        <w:rPr>
          <w:rFonts w:ascii="Times New Roman" w:hAnsi="Times New Roman" w:cs="Times New Roman" w:eastAsia="Times New Roman" w:hint="default"/>
        </w:rPr>
        <w:t>268,800,000</w:t>
      </w:r>
      <w:r>
        <w:rPr/>
        <w:t>股。该利润分配议案于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日经公司</w:t>
      </w:r>
      <w:r>
        <w:rPr>
          <w:rFonts w:ascii="Times New Roman" w:hAnsi="Times New Roman" w:cs="Times New Roman" w:eastAsia="Times New Roman" w:hint="default"/>
        </w:rPr>
        <w:t>2018</w:t>
      </w:r>
      <w:r>
        <w:rPr/>
        <w:t>年度股东大会审议通过。该利润分配方案已实施完毕。</w:t>
      </w:r>
    </w:p>
    <w:p>
      <w:pPr>
        <w:pStyle w:val="BodyText"/>
        <w:spacing w:line="240" w:lineRule="auto" w:before="44"/>
        <w:ind w:left="513" w:right="1133"/>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12</w:t>
      </w:r>
      <w:r>
        <w:rPr/>
        <w:t>日，股东余荣清、兰山英、苏州恒久荣盛科技投资有限公司、余仲清、孙忠良解除首发前限售股份</w:t>
      </w:r>
    </w:p>
    <w:p>
      <w:pPr>
        <w:spacing w:line="240" w:lineRule="auto" w:before="9"/>
        <w:rPr>
          <w:rFonts w:ascii="宋体" w:hAnsi="宋体" w:cs="宋体" w:eastAsia="宋体" w:hint="default"/>
          <w:sz w:val="16"/>
          <w:szCs w:val="16"/>
        </w:rPr>
      </w:pPr>
    </w:p>
    <w:p>
      <w:pPr>
        <w:pStyle w:val="BodyText"/>
        <w:spacing w:line="451" w:lineRule="auto"/>
        <w:ind w:right="1124"/>
        <w:jc w:val="left"/>
      </w:pPr>
      <w:r>
        <w:rPr>
          <w:rFonts w:ascii="Times New Roman" w:hAnsi="Times New Roman" w:cs="Times New Roman" w:eastAsia="Times New Roman" w:hint="default"/>
        </w:rPr>
        <w:t>143,764,992</w:t>
      </w:r>
      <w:r>
        <w:rPr/>
        <w:t>股；其中余荣清先生解除首发前限售股</w:t>
      </w:r>
      <w:r>
        <w:rPr>
          <w:rFonts w:ascii="Times New Roman" w:hAnsi="Times New Roman" w:cs="Times New Roman" w:eastAsia="Times New Roman" w:hint="default"/>
        </w:rPr>
        <w:t>106,240,512</w:t>
      </w:r>
      <w:r>
        <w:rPr/>
        <w:t>股、兰山英女士解除首发前限售股</w:t>
      </w:r>
      <w:r>
        <w:rPr>
          <w:rFonts w:ascii="Times New Roman" w:hAnsi="Times New Roman" w:cs="Times New Roman" w:eastAsia="Times New Roman" w:hint="default"/>
        </w:rPr>
        <w:t>19,592,534</w:t>
      </w:r>
      <w:r>
        <w:rPr/>
        <w:t>股、余仲清先生 解除首发前限售股</w:t>
      </w:r>
      <w:r>
        <w:rPr>
          <w:rFonts w:ascii="Times New Roman" w:hAnsi="Times New Roman" w:cs="Times New Roman" w:eastAsia="Times New Roman" w:hint="default"/>
        </w:rPr>
        <w:t>2,938,880</w:t>
      </w:r>
      <w:r>
        <w:rPr/>
        <w:t>股。</w:t>
      </w:r>
    </w:p>
    <w:p>
      <w:pPr>
        <w:pStyle w:val="BodyText"/>
        <w:spacing w:line="240" w:lineRule="auto" w:before="43"/>
        <w:ind w:left="513" w:right="0"/>
        <w:jc w:val="left"/>
      </w:pPr>
      <w:r>
        <w:rPr>
          <w:rFonts w:ascii="Times New Roman" w:hAnsi="Times New Roman" w:cs="Times New Roman" w:eastAsia="Times New Roman" w:hint="default"/>
        </w:rPr>
        <w:t>3</w:t>
      </w:r>
      <w:r>
        <w:rPr/>
        <w:t>、因余荣清先生、兰山英女士、余仲清先生为本公司董监高成员，增加余荣清先生高管锁定股</w:t>
      </w:r>
      <w:r>
        <w:rPr>
          <w:rFonts w:ascii="Times New Roman" w:hAnsi="Times New Roman" w:cs="Times New Roman" w:eastAsia="Times New Roman" w:hint="default"/>
        </w:rPr>
        <w:t>79,680,384</w:t>
      </w:r>
      <w:r>
        <w:rPr/>
        <w:t>股、兰山英女</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7"/>
          <w:szCs w:val="27"/>
        </w:rPr>
      </w:pPr>
    </w:p>
    <w:p>
      <w:pPr>
        <w:pStyle w:val="BodyText"/>
        <w:spacing w:line="489" w:lineRule="auto" w:before="44"/>
        <w:ind w:left="513" w:right="5624" w:hanging="361"/>
        <w:jc w:val="left"/>
      </w:pPr>
      <w:r>
        <w:rPr/>
        <w:t>士高管锁定股</w:t>
      </w:r>
      <w:r>
        <w:rPr>
          <w:rFonts w:ascii="Times New Roman" w:hAnsi="Times New Roman" w:cs="Times New Roman" w:eastAsia="Times New Roman" w:hint="default"/>
        </w:rPr>
        <w:t>14,694,400</w:t>
      </w:r>
      <w:r>
        <w:rPr/>
        <w:t>股、余仲清先生高管锁定股</w:t>
      </w:r>
      <w:r>
        <w:rPr>
          <w:rFonts w:ascii="Times New Roman" w:hAnsi="Times New Roman" w:cs="Times New Roman" w:eastAsia="Times New Roman" w:hint="default"/>
        </w:rPr>
        <w:t>2,204,160</w:t>
      </w:r>
      <w:r>
        <w:rPr/>
        <w:t>股。 股份变动的批准情况</w:t>
      </w:r>
    </w:p>
    <w:p>
      <w:pPr>
        <w:pStyle w:val="BodyText"/>
        <w:spacing w:line="240" w:lineRule="auto" w:before="83"/>
        <w:ind w:left="513"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6"/>
          <w:szCs w:val="26"/>
        </w:rPr>
      </w:pPr>
    </w:p>
    <w:p>
      <w:pPr>
        <w:pStyle w:val="BodyText"/>
        <w:spacing w:line="451" w:lineRule="auto"/>
        <w:ind w:right="1131" w:firstLine="360"/>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21</w:t>
      </w:r>
      <w:r>
        <w:rPr>
          <w:spacing w:val="-2"/>
        </w:rPr>
        <w:t>日，公司召开</w:t>
      </w:r>
      <w:r>
        <w:rPr>
          <w:rFonts w:ascii="Times New Roman" w:hAnsi="Times New Roman" w:cs="Times New Roman" w:eastAsia="Times New Roman" w:hint="default"/>
          <w:spacing w:val="-2"/>
        </w:rPr>
        <w:t>2018</w:t>
      </w:r>
      <w:r>
        <w:rPr>
          <w:spacing w:val="-2"/>
        </w:rPr>
        <w:t>年度股东大会，审议通过了《关于公司</w:t>
      </w:r>
      <w:r>
        <w:rPr>
          <w:rFonts w:ascii="Times New Roman" w:hAnsi="Times New Roman" w:cs="Times New Roman" w:eastAsia="Times New Roman" w:hint="default"/>
          <w:spacing w:val="-2"/>
        </w:rPr>
        <w:t>2018</w:t>
      </w:r>
      <w:r>
        <w:rPr>
          <w:spacing w:val="-2"/>
        </w:rPr>
        <w:t>年度利润分配及资本公积转增股本预案的</w:t>
      </w:r>
      <w:r>
        <w:rPr/>
        <w:t> </w:t>
      </w:r>
      <w:r>
        <w:rPr>
          <w:spacing w:val="-7"/>
        </w:rPr>
        <w:t>议案》，以总股本</w:t>
      </w:r>
      <w:r>
        <w:rPr>
          <w:rFonts w:ascii="Times New Roman" w:hAnsi="Times New Roman" w:cs="Times New Roman" w:eastAsia="Times New Roman" w:hint="default"/>
          <w:spacing w:val="-7"/>
        </w:rPr>
        <w:t>19,200</w:t>
      </w:r>
      <w:r>
        <w:rPr>
          <w:spacing w:val="-7"/>
        </w:rPr>
        <w:t>万股作为股本基数，向全体股东每</w:t>
      </w:r>
      <w:r>
        <w:rPr>
          <w:rFonts w:ascii="Times New Roman" w:hAnsi="Times New Roman" w:cs="Times New Roman" w:eastAsia="Times New Roman" w:hint="default"/>
          <w:spacing w:val="-7"/>
        </w:rPr>
        <w:t>10</w:t>
      </w:r>
      <w:r>
        <w:rPr>
          <w:spacing w:val="-7"/>
        </w:rPr>
        <w:t>股派发现金股利人民币</w:t>
      </w:r>
      <w:r>
        <w:rPr>
          <w:rFonts w:ascii="Times New Roman" w:hAnsi="Times New Roman" w:cs="Times New Roman" w:eastAsia="Times New Roman" w:hint="default"/>
          <w:spacing w:val="-7"/>
        </w:rPr>
        <w:t>0.5</w:t>
      </w:r>
      <w:r>
        <w:rPr>
          <w:spacing w:val="-7"/>
        </w:rPr>
        <w:t>元（含税），合计派发现金股利</w:t>
      </w:r>
      <w:r>
        <w:rPr>
          <w:rFonts w:ascii="Times New Roman" w:hAnsi="Times New Roman" w:cs="Times New Roman" w:eastAsia="Times New Roman" w:hint="default"/>
          <w:spacing w:val="-7"/>
        </w:rPr>
        <w:t>9,600,000</w:t>
      </w:r>
      <w:r>
        <w:rPr>
          <w:rFonts w:ascii="Times New Roman" w:hAnsi="Times New Roman" w:cs="Times New Roman" w:eastAsia="Times New Roman" w:hint="default"/>
          <w:spacing w:val="-29"/>
        </w:rPr>
        <w:t> </w:t>
      </w:r>
      <w:r>
        <w:rPr>
          <w:rFonts w:ascii="Times New Roman" w:hAnsi="Times New Roman" w:cs="Times New Roman" w:eastAsia="Times New Roman" w:hint="default"/>
          <w:spacing w:val="-29"/>
        </w:rPr>
      </w:r>
      <w:r>
        <w:rPr/>
        <w:t>元；同时以资本公积向全体股东每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4</w:t>
      </w:r>
      <w:r>
        <w:rPr/>
        <w:t>股，合计转增</w:t>
      </w:r>
      <w:r>
        <w:rPr>
          <w:rFonts w:ascii="Times New Roman" w:hAnsi="Times New Roman" w:cs="Times New Roman" w:eastAsia="Times New Roman" w:hint="default"/>
        </w:rPr>
        <w:t>7,680</w:t>
      </w:r>
      <w:r>
        <w:rPr/>
        <w:t>万股，转增后公司总股本增至</w:t>
      </w:r>
      <w:r>
        <w:rPr>
          <w:rFonts w:ascii="Times New Roman" w:hAnsi="Times New Roman" w:cs="Times New Roman" w:eastAsia="Times New Roman" w:hint="default"/>
        </w:rPr>
        <w:t>26,880</w:t>
      </w:r>
      <w:r>
        <w:rPr/>
        <w:t>万股。具体内容见</w:t>
      </w:r>
      <w:r>
        <w:rPr>
          <w:rFonts w:ascii="Times New Roman" w:hAnsi="Times New Roman" w:cs="Times New Roman" w:eastAsia="Times New Roman" w:hint="default"/>
        </w:rPr>
        <w:t>2019 </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22</w:t>
      </w:r>
      <w:r>
        <w:rPr/>
        <w:t>日的《证券时报》、《证券日报》、《中国证券报》、《上海证券报》以及公司指定信息披露网站巨潮资讯网</w:t>
      </w:r>
    </w:p>
    <w:p>
      <w:pPr>
        <w:pStyle w:val="BodyText"/>
        <w:spacing w:line="240" w:lineRule="auto" w:before="43"/>
        <w:ind w:right="1133"/>
        <w:jc w:val="left"/>
      </w:pPr>
      <w:r>
        <w:rPr/>
        <w:t>（</w:t>
      </w:r>
      <w:hyperlink r:id="rId11">
        <w:r>
          <w:rPr>
            <w:rFonts w:ascii="Times New Roman" w:hAnsi="Times New Roman" w:cs="Times New Roman" w:eastAsia="Times New Roman" w:hint="default"/>
          </w:rPr>
          <w:t>www.cninfo.com.cn</w:t>
        </w:r>
      </w:hyperlink>
      <w:r>
        <w:rPr/>
        <w:t>）的《苏州恒久光电科技股份有限公司</w:t>
      </w:r>
      <w:r>
        <w:rPr>
          <w:rFonts w:ascii="Times New Roman" w:hAnsi="Times New Roman" w:cs="Times New Roman" w:eastAsia="Times New Roman" w:hint="default"/>
        </w:rPr>
        <w:t>2018</w:t>
      </w:r>
      <w:r>
        <w:rPr/>
        <w:t>年年度权益分派实施公告》（公告编号：</w:t>
      </w:r>
      <w:r>
        <w:rPr>
          <w:rFonts w:ascii="Times New Roman" w:hAnsi="Times New Roman" w:cs="Times New Roman" w:eastAsia="Times New Roman" w:hint="default"/>
        </w:rPr>
        <w:t>2019-038</w:t>
      </w:r>
      <w:r>
        <w:rPr/>
        <w:t>）；</w:t>
      </w:r>
    </w:p>
    <w:p>
      <w:pPr>
        <w:spacing w:line="240" w:lineRule="auto" w:before="12"/>
        <w:rPr>
          <w:rFonts w:ascii="宋体" w:hAnsi="宋体" w:cs="宋体" w:eastAsia="宋体" w:hint="default"/>
          <w:sz w:val="25"/>
          <w:szCs w:val="25"/>
        </w:rPr>
      </w:pPr>
    </w:p>
    <w:p>
      <w:pPr>
        <w:pStyle w:val="BodyText"/>
        <w:spacing w:line="458" w:lineRule="auto"/>
        <w:ind w:right="1133" w:firstLine="360"/>
        <w:jc w:val="left"/>
      </w:pPr>
      <w:r>
        <w:rPr>
          <w:rFonts w:ascii="Times New Roman" w:hAnsi="Times New Roman" w:cs="Times New Roman" w:eastAsia="Times New Roman" w:hint="default"/>
        </w:rPr>
        <w:t>2</w:t>
      </w:r>
      <w:r>
        <w:rPr/>
        <w:t>、根据余荣清、兰山英、苏州恒久荣盛科技投资有限公司（以下简称</w:t>
      </w:r>
      <w:r>
        <w:rPr>
          <w:rFonts w:ascii="Times New Roman" w:hAnsi="Times New Roman" w:cs="Times New Roman" w:eastAsia="Times New Roman" w:hint="default"/>
        </w:rPr>
        <w:t>“</w:t>
      </w:r>
      <w:r>
        <w:rPr/>
        <w:t>恒久荣盛</w:t>
      </w:r>
      <w:r>
        <w:rPr>
          <w:rFonts w:ascii="Times New Roman" w:hAnsi="Times New Roman" w:cs="Times New Roman" w:eastAsia="Times New Roman" w:hint="default"/>
        </w:rPr>
        <w:t>”</w:t>
      </w:r>
      <w:r>
        <w:rPr/>
        <w:t>）、余仲清、孙忠良在公司《首次公 </w:t>
      </w:r>
      <w:r>
        <w:rPr>
          <w:spacing w:val="-2"/>
        </w:rPr>
        <w:t>开发行股票招股说明书》及《首次公开发行股票上市公告书》中做出的承诺，上述股东于公司首次公开发行股票前取得的首</w:t>
      </w:r>
      <w:r>
        <w:rPr>
          <w:spacing w:val="-66"/>
        </w:rPr>
        <w:t> </w:t>
      </w:r>
      <w:r>
        <w:rPr>
          <w:spacing w:val="-66"/>
        </w:rPr>
      </w:r>
      <w:r>
        <w:rPr/>
        <w:t>发前限售股份的限售期届满并于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12</w:t>
      </w:r>
      <w:r>
        <w:rPr/>
        <w:t>日上市流通。具体内容见</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8</w:t>
      </w:r>
      <w:r>
        <w:rPr/>
        <w:t>日的《证券时报》、《证券日报》、《中 国证券报》、《上海证券报》以及公司指定信息披露网站巨潮资讯网（</w:t>
      </w:r>
      <w:hyperlink r:id="rId11">
        <w:r>
          <w:rPr>
            <w:rFonts w:ascii="Times New Roman" w:hAnsi="Times New Roman" w:cs="Times New Roman" w:eastAsia="Times New Roman" w:hint="default"/>
          </w:rPr>
          <w:t>www.cninfo.com.cn</w:t>
        </w:r>
      </w:hyperlink>
      <w:r>
        <w:rPr/>
        <w:t>）的《苏州恒久光电科技股份有 限公司首次公开发行前已发行股份上市流通提示性公告》（公告编号：</w:t>
      </w:r>
      <w:r>
        <w:rPr>
          <w:rFonts w:ascii="Times New Roman" w:hAnsi="Times New Roman" w:cs="Times New Roman" w:eastAsia="Times New Roman" w:hint="default"/>
        </w:rPr>
        <w:t>2019-045</w:t>
      </w:r>
      <w:r>
        <w:rPr/>
        <w:t>）。</w:t>
      </w:r>
    </w:p>
    <w:p>
      <w:pPr>
        <w:pStyle w:val="BodyText"/>
        <w:spacing w:line="240" w:lineRule="auto" w:before="78"/>
        <w:ind w:right="1133"/>
        <w:jc w:val="left"/>
      </w:pPr>
      <w:r>
        <w:rPr/>
        <w:t>股份变动的过户情况</w:t>
      </w:r>
    </w:p>
    <w:p>
      <w:pPr>
        <w:pStyle w:val="BodyText"/>
        <w:spacing w:line="340" w:lineRule="auto" w:before="117"/>
        <w:ind w:right="87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股份回购的实施进展情况</w:t>
      </w:r>
    </w:p>
    <w:p>
      <w:pPr>
        <w:pStyle w:val="BodyText"/>
        <w:spacing w:line="340" w:lineRule="auto" w:before="39"/>
        <w:ind w:right="69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采用集中竞价方式减持回购股份的实施进展情况</w:t>
      </w:r>
    </w:p>
    <w:p>
      <w:pPr>
        <w:pStyle w:val="BodyText"/>
        <w:spacing w:line="338" w:lineRule="auto" w:before="41"/>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股份变动对最近一年和最近一期基本每股收益和稀释每股收益、归属于公司普通股股东的每股净资产等财务指标的影响</w:t>
      </w:r>
    </w:p>
    <w:p>
      <w:pPr>
        <w:pStyle w:val="BodyText"/>
        <w:spacing w:line="240" w:lineRule="auto" w:before="43"/>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3"/>
        <w:rPr>
          <w:rFonts w:ascii="宋体" w:hAnsi="宋体" w:cs="宋体" w:eastAsia="宋体" w:hint="default"/>
          <w:sz w:val="13"/>
          <w:szCs w:val="13"/>
        </w:rPr>
      </w:pPr>
    </w:p>
    <w:p>
      <w:pPr>
        <w:pStyle w:val="BodyText"/>
        <w:spacing w:line="451" w:lineRule="auto"/>
        <w:ind w:right="1182" w:firstLine="360"/>
        <w:jc w:val="both"/>
      </w:pPr>
      <w:r>
        <w:rPr>
          <w:rFonts w:ascii="Times New Roman" w:hAnsi="Times New Roman" w:cs="Times New Roman" w:eastAsia="Times New Roman" w:hint="default"/>
        </w:rPr>
        <w:t>1</w:t>
      </w:r>
      <w:r>
        <w:rPr/>
        <w:t>、基本每股收益：</w:t>
      </w:r>
      <w:r>
        <w:rPr>
          <w:rFonts w:ascii="Times New Roman" w:hAnsi="Times New Roman" w:cs="Times New Roman" w:eastAsia="Times New Roman" w:hint="default"/>
        </w:rPr>
        <w:t>2018</w:t>
      </w:r>
      <w:r>
        <w:rPr/>
        <w:t>年度，公司原基本每股收益</w:t>
      </w:r>
      <w:r>
        <w:rPr>
          <w:rFonts w:ascii="Times New Roman" w:hAnsi="Times New Roman" w:cs="Times New Roman" w:eastAsia="Times New Roman" w:hint="default"/>
        </w:rPr>
        <w:t>0.181</w:t>
      </w:r>
      <w:r>
        <w:rPr/>
        <w:t>元，报告期内实施每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4</w:t>
      </w:r>
      <w:r>
        <w:rPr/>
        <w:t>股的权益分派方案后，基本每 股收益调整为</w:t>
      </w:r>
      <w:r>
        <w:rPr>
          <w:rFonts w:ascii="Times New Roman" w:hAnsi="Times New Roman" w:cs="Times New Roman" w:eastAsia="Times New Roman" w:hint="default"/>
        </w:rPr>
        <w:t>0.129</w:t>
      </w:r>
      <w:r>
        <w:rPr/>
        <w:t>元，下降了</w:t>
      </w:r>
      <w:r>
        <w:rPr>
          <w:rFonts w:ascii="Times New Roman" w:hAnsi="Times New Roman" w:cs="Times New Roman" w:eastAsia="Times New Roman" w:hint="default"/>
        </w:rPr>
        <w:t>28.73%</w:t>
      </w:r>
      <w:r>
        <w:rPr/>
        <w:t>；</w:t>
      </w:r>
      <w:r>
        <w:rPr>
          <w:rFonts w:ascii="Times New Roman" w:hAnsi="Times New Roman" w:cs="Times New Roman" w:eastAsia="Times New Roman" w:hint="default"/>
        </w:rPr>
        <w:t>2019</w:t>
      </w:r>
      <w:r>
        <w:rPr/>
        <w:t>年度，按报告期期初股本计算，基本每股收益为</w:t>
      </w:r>
      <w:r>
        <w:rPr>
          <w:rFonts w:ascii="Times New Roman" w:hAnsi="Times New Roman" w:cs="Times New Roman" w:eastAsia="Times New Roman" w:hint="default"/>
        </w:rPr>
        <w:t>0.109</w:t>
      </w:r>
      <w:r>
        <w:rPr/>
        <w:t>元，实施每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4</w:t>
      </w:r>
      <w:r>
        <w:rPr/>
        <w:t>股 的权益分派方案后，基本每股收益为</w:t>
      </w:r>
      <w:r>
        <w:rPr>
          <w:rFonts w:ascii="Times New Roman" w:hAnsi="Times New Roman" w:cs="Times New Roman" w:eastAsia="Times New Roman" w:hint="default"/>
        </w:rPr>
        <w:t>0.078</w:t>
      </w:r>
      <w:r>
        <w:rPr/>
        <w:t>元，下降了</w:t>
      </w:r>
      <w:r>
        <w:rPr>
          <w:rFonts w:ascii="Times New Roman" w:hAnsi="Times New Roman" w:cs="Times New Roman" w:eastAsia="Times New Roman" w:hint="default"/>
        </w:rPr>
        <w:t>28.44%</w:t>
      </w:r>
      <w:r>
        <w:rPr/>
        <w:t>。</w:t>
      </w:r>
    </w:p>
    <w:p>
      <w:pPr>
        <w:pStyle w:val="BodyText"/>
        <w:spacing w:line="451" w:lineRule="auto" w:before="82"/>
        <w:ind w:right="1132" w:firstLine="360"/>
        <w:jc w:val="both"/>
      </w:pPr>
      <w:r>
        <w:rPr>
          <w:rFonts w:ascii="Times New Roman" w:hAnsi="Times New Roman" w:cs="Times New Roman" w:eastAsia="Times New Roman" w:hint="default"/>
        </w:rPr>
        <w:t>2</w:t>
      </w:r>
      <w:r>
        <w:rPr/>
        <w:t>、归属于公司普通股股东的每股净资产：</w:t>
      </w:r>
      <w:r>
        <w:rPr>
          <w:rFonts w:ascii="Times New Roman" w:hAnsi="Times New Roman" w:cs="Times New Roman" w:eastAsia="Times New Roman" w:hint="default"/>
        </w:rPr>
        <w:t>2018</w:t>
      </w:r>
      <w:r>
        <w:rPr/>
        <w:t>年末，按公司原股本</w:t>
      </w:r>
      <w:r>
        <w:rPr>
          <w:rFonts w:ascii="Times New Roman" w:hAnsi="Times New Roman" w:cs="Times New Roman" w:eastAsia="Times New Roman" w:hint="default"/>
        </w:rPr>
        <w:t>19,200</w:t>
      </w:r>
      <w:r>
        <w:rPr/>
        <w:t>万股计算，归属于公司普通股股东的每股净 </w:t>
      </w:r>
      <w:r>
        <w:rPr>
          <w:spacing w:val="-2"/>
        </w:rPr>
        <w:t>资产为</w:t>
      </w:r>
      <w:r>
        <w:rPr>
          <w:rFonts w:ascii="Times New Roman" w:hAnsi="Times New Roman" w:cs="Times New Roman" w:eastAsia="Times New Roman" w:hint="default"/>
          <w:spacing w:val="-2"/>
        </w:rPr>
        <w:t>2.95</w:t>
      </w:r>
      <w:r>
        <w:rPr>
          <w:spacing w:val="-2"/>
        </w:rPr>
        <w:t>元，实施每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4</w:t>
      </w:r>
      <w:r>
        <w:rPr>
          <w:spacing w:val="-2"/>
        </w:rPr>
        <w:t>股的权益分派方案后，归属于公司普通股股东的每股净资产为</w:t>
      </w:r>
      <w:r>
        <w:rPr>
          <w:rFonts w:ascii="Times New Roman" w:hAnsi="Times New Roman" w:cs="Times New Roman" w:eastAsia="Times New Roman" w:hint="default"/>
          <w:spacing w:val="-2"/>
        </w:rPr>
        <w:t>2.11</w:t>
      </w:r>
      <w:r>
        <w:rPr>
          <w:spacing w:val="-2"/>
        </w:rPr>
        <w:t>元，下降了</w:t>
      </w:r>
      <w:r>
        <w:rPr>
          <w:rFonts w:ascii="Times New Roman" w:hAnsi="Times New Roman" w:cs="Times New Roman" w:eastAsia="Times New Roman" w:hint="default"/>
          <w:spacing w:val="-2"/>
        </w:rPr>
        <w:t>28.47%</w:t>
      </w:r>
      <w:r>
        <w:rPr>
          <w:spacing w:val="-2"/>
        </w:rPr>
        <w:t>；</w:t>
      </w:r>
      <w:r>
        <w:rPr>
          <w:rFonts w:ascii="Times New Roman" w:hAnsi="Times New Roman" w:cs="Times New Roman" w:eastAsia="Times New Roman" w:hint="default"/>
          <w:spacing w:val="-2"/>
        </w:rPr>
        <w:t>2019</w:t>
      </w:r>
      <w:r>
        <w:rPr>
          <w:rFonts w:ascii="Times New Roman" w:hAnsi="Times New Roman" w:cs="Times New Roman" w:eastAsia="Times New Roman" w:hint="default"/>
          <w:spacing w:val="-23"/>
        </w:rPr>
        <w:t> </w:t>
      </w:r>
      <w:r>
        <w:rPr>
          <w:rFonts w:ascii="Times New Roman" w:hAnsi="Times New Roman" w:cs="Times New Roman" w:eastAsia="Times New Roman" w:hint="default"/>
          <w:spacing w:val="-23"/>
        </w:rPr>
      </w:r>
      <w:r>
        <w:rPr/>
        <w:t>年末，按报告期期初股本计算，归属于公司普通股股东的每股净资产为</w:t>
      </w:r>
      <w:r>
        <w:rPr>
          <w:rFonts w:ascii="Times New Roman" w:hAnsi="Times New Roman" w:cs="Times New Roman" w:eastAsia="Times New Roman" w:hint="default"/>
        </w:rPr>
        <w:t>3.01</w:t>
      </w:r>
      <w:r>
        <w:rPr/>
        <w:t>元，实施每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4</w:t>
      </w:r>
      <w:r>
        <w:rPr/>
        <w:t>股的权益分派方案后，归 属于公司普通股股东的每股净资产为</w:t>
      </w:r>
      <w:r>
        <w:rPr>
          <w:rFonts w:ascii="Times New Roman" w:hAnsi="Times New Roman" w:cs="Times New Roman" w:eastAsia="Times New Roman" w:hint="default"/>
        </w:rPr>
        <w:t>2.15</w:t>
      </w:r>
      <w:r>
        <w:rPr/>
        <w:t>元，下降了</w:t>
      </w:r>
      <w:r>
        <w:rPr>
          <w:rFonts w:ascii="Times New Roman" w:hAnsi="Times New Roman" w:cs="Times New Roman" w:eastAsia="Times New Roman" w:hint="default"/>
        </w:rPr>
        <w:t>28.57%</w:t>
      </w:r>
      <w:r>
        <w:rPr/>
        <w:t>。</w:t>
      </w:r>
    </w:p>
    <w:p>
      <w:pPr>
        <w:pStyle w:val="BodyText"/>
        <w:spacing w:line="240" w:lineRule="auto" w:before="84"/>
        <w:ind w:left="513" w:right="1133"/>
        <w:jc w:val="left"/>
      </w:pPr>
      <w:r>
        <w:rPr/>
        <w:t>公司认为必要或证券监管机构要求披露的其他内容</w:t>
      </w:r>
    </w:p>
    <w:p>
      <w:pPr>
        <w:spacing w:line="240" w:lineRule="auto" w:before="11"/>
        <w:rPr>
          <w:rFonts w:ascii="宋体" w:hAnsi="宋体" w:cs="宋体" w:eastAsia="宋体" w:hint="default"/>
          <w:sz w:val="20"/>
          <w:szCs w:val="20"/>
        </w:rPr>
      </w:pPr>
    </w:p>
    <w:p>
      <w:pPr>
        <w:pStyle w:val="BodyText"/>
        <w:spacing w:line="240" w:lineRule="auto"/>
        <w:ind w:left="513"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7" w:right="4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8" w:right="46"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余荣清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75,886,080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110,034,816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106,240,512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79,680,384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高管锁定股份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日解除首发限售</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106,240,512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兰山英</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13,994,667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20,292,267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19,592,534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14,694,400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高管锁定股份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日解除首发限售</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19,592,534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r>
        <w:trPr>
          <w:trHeight w:val="102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50" w:right="46"/>
              <w:jc w:val="left"/>
              <w:rPr>
                <w:rFonts w:ascii="宋体" w:hAnsi="宋体" w:cs="宋体" w:eastAsia="宋体" w:hint="default"/>
                <w:sz w:val="18"/>
                <w:szCs w:val="18"/>
              </w:rPr>
            </w:pPr>
            <w:r>
              <w:rPr>
                <w:rFonts w:ascii="宋体" w:hAnsi="宋体" w:cs="宋体" w:eastAsia="宋体" w:hint="default"/>
                <w:sz w:val="18"/>
                <w:szCs w:val="18"/>
              </w:rPr>
              <w:t>苏州恒久荣盛科 技投资有限公司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9,397,333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3,758,933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13,156,266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日解除首发限售</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13,156,266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余仲清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2,099,200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3,043,840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2,938,880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2,204,160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高管锁定股份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日解除首发限售</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2,938,880 </w:t>
            </w:r>
            <w:r>
              <w:rPr>
                <w:rFonts w:ascii="宋体" w:hAnsi="宋体" w:cs="宋体" w:eastAsia="宋体" w:hint="default"/>
                <w:sz w:val="18"/>
                <w:szCs w:val="18"/>
              </w:rPr>
              <w:t>股</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孙忠良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1,312,000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524,800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1,836,800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日解除首发限售</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1,836,800 </w:t>
            </w:r>
            <w:r>
              <w:rPr>
                <w:rFonts w:ascii="宋体" w:hAnsi="宋体" w:cs="宋体" w:eastAsia="宋体" w:hint="default"/>
                <w:sz w:val="18"/>
                <w:szCs w:val="18"/>
              </w:rPr>
              <w:t>股</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张培兴</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606,150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242,460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848,610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高管锁定股份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103,295,430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137,897,116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143,764,992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97,427,554</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before="0"/>
        <w:ind w:right="1133"/>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before="0"/>
        <w:ind w:right="1133"/>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0"/>
        <w:rPr>
          <w:rFonts w:ascii="宋体" w:hAnsi="宋体" w:cs="宋体" w:eastAsia="宋体" w:hint="default"/>
          <w:sz w:val="13"/>
          <w:szCs w:val="13"/>
        </w:rPr>
      </w:pPr>
    </w:p>
    <w:p>
      <w:pPr>
        <w:pStyle w:val="BodyText"/>
        <w:spacing w:line="451" w:lineRule="auto"/>
        <w:ind w:right="1131" w:firstLine="360"/>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21</w:t>
      </w:r>
      <w:r>
        <w:rPr>
          <w:spacing w:val="-2"/>
        </w:rPr>
        <w:t>日，公司召开</w:t>
      </w:r>
      <w:r>
        <w:rPr>
          <w:rFonts w:ascii="Times New Roman" w:hAnsi="Times New Roman" w:cs="Times New Roman" w:eastAsia="Times New Roman" w:hint="default"/>
          <w:spacing w:val="-2"/>
        </w:rPr>
        <w:t>2018</w:t>
      </w:r>
      <w:r>
        <w:rPr>
          <w:spacing w:val="-2"/>
        </w:rPr>
        <w:t>年度股东大会，审议通过了《关于公司</w:t>
      </w:r>
      <w:r>
        <w:rPr>
          <w:rFonts w:ascii="Times New Roman" w:hAnsi="Times New Roman" w:cs="Times New Roman" w:eastAsia="Times New Roman" w:hint="default"/>
          <w:spacing w:val="-2"/>
        </w:rPr>
        <w:t>2018</w:t>
      </w:r>
      <w:r>
        <w:rPr>
          <w:spacing w:val="-2"/>
        </w:rPr>
        <w:t>年度利润分配及资本公积转增股本预案的</w:t>
      </w:r>
      <w:r>
        <w:rPr/>
        <w:t> </w:t>
      </w:r>
      <w:r>
        <w:rPr>
          <w:spacing w:val="-7"/>
        </w:rPr>
        <w:t>议案》，以总股本</w:t>
      </w:r>
      <w:r>
        <w:rPr>
          <w:rFonts w:ascii="Times New Roman" w:hAnsi="Times New Roman" w:cs="Times New Roman" w:eastAsia="Times New Roman" w:hint="default"/>
          <w:spacing w:val="-7"/>
        </w:rPr>
        <w:t>19,200</w:t>
      </w:r>
      <w:r>
        <w:rPr>
          <w:spacing w:val="-7"/>
        </w:rPr>
        <w:t>万股作为股本基数，向全体股东每</w:t>
      </w:r>
      <w:r>
        <w:rPr>
          <w:rFonts w:ascii="Times New Roman" w:hAnsi="Times New Roman" w:cs="Times New Roman" w:eastAsia="Times New Roman" w:hint="default"/>
          <w:spacing w:val="-7"/>
        </w:rPr>
        <w:t>10</w:t>
      </w:r>
      <w:r>
        <w:rPr>
          <w:spacing w:val="-7"/>
        </w:rPr>
        <w:t>股派发现金股利人民币</w:t>
      </w:r>
      <w:r>
        <w:rPr>
          <w:rFonts w:ascii="Times New Roman" w:hAnsi="Times New Roman" w:cs="Times New Roman" w:eastAsia="Times New Roman" w:hint="default"/>
          <w:spacing w:val="-7"/>
        </w:rPr>
        <w:t>0.5</w:t>
      </w:r>
      <w:r>
        <w:rPr>
          <w:spacing w:val="-7"/>
        </w:rPr>
        <w:t>元（含税），合计派发现金股利</w:t>
      </w:r>
      <w:r>
        <w:rPr>
          <w:rFonts w:ascii="Times New Roman" w:hAnsi="Times New Roman" w:cs="Times New Roman" w:eastAsia="Times New Roman" w:hint="default"/>
          <w:spacing w:val="-7"/>
        </w:rPr>
        <w:t>9,600,000</w:t>
      </w:r>
      <w:r>
        <w:rPr>
          <w:rFonts w:ascii="Times New Roman" w:hAnsi="Times New Roman" w:cs="Times New Roman" w:eastAsia="Times New Roman" w:hint="default"/>
          <w:spacing w:val="-29"/>
        </w:rPr>
        <w:t> </w:t>
      </w:r>
      <w:r>
        <w:rPr>
          <w:rFonts w:ascii="Times New Roman" w:hAnsi="Times New Roman" w:cs="Times New Roman" w:eastAsia="Times New Roman" w:hint="default"/>
          <w:spacing w:val="-29"/>
        </w:rPr>
      </w:r>
      <w:r>
        <w:rPr/>
        <w:t>元；同时以资本公积向全体股东每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4</w:t>
      </w:r>
      <w:r>
        <w:rPr/>
        <w:t>股，合计转增</w:t>
      </w:r>
      <w:r>
        <w:rPr>
          <w:rFonts w:ascii="Times New Roman" w:hAnsi="Times New Roman" w:cs="Times New Roman" w:eastAsia="Times New Roman" w:hint="default"/>
        </w:rPr>
        <w:t>7,680</w:t>
      </w:r>
      <w:r>
        <w:rPr/>
        <w:t>万股，转增后公司总股本增至</w:t>
      </w:r>
      <w:r>
        <w:rPr>
          <w:rFonts w:ascii="Times New Roman" w:hAnsi="Times New Roman" w:cs="Times New Roman" w:eastAsia="Times New Roman" w:hint="default"/>
        </w:rPr>
        <w:t>26,880</w:t>
      </w:r>
      <w:r>
        <w:rPr/>
        <w:t>万股。具体内容见</w:t>
      </w:r>
      <w:r>
        <w:rPr>
          <w:rFonts w:ascii="Times New Roman" w:hAnsi="Times New Roman" w:cs="Times New Roman" w:eastAsia="Times New Roman" w:hint="default"/>
        </w:rPr>
        <w:t>2019 </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22</w:t>
      </w:r>
      <w:r>
        <w:rPr/>
        <w:t>日的《证券时报》、《证券日报》、《中国证券报》、《上海证券报》以及公司指定信息披露网站巨潮资讯网</w:t>
      </w:r>
    </w:p>
    <w:p>
      <w:pPr>
        <w:pStyle w:val="BodyText"/>
        <w:spacing w:line="240" w:lineRule="auto" w:before="43"/>
        <w:ind w:right="1133"/>
        <w:jc w:val="left"/>
      </w:pPr>
      <w:r>
        <w:rPr/>
        <w:t>（</w:t>
      </w:r>
      <w:hyperlink r:id="rId11">
        <w:r>
          <w:rPr>
            <w:rFonts w:ascii="Times New Roman" w:hAnsi="Times New Roman" w:cs="Times New Roman" w:eastAsia="Times New Roman" w:hint="default"/>
          </w:rPr>
          <w:t>www.cninfo.com.cn</w:t>
        </w:r>
      </w:hyperlink>
      <w:r>
        <w:rPr/>
        <w:t>）的《苏州恒久光电科技股份有限公司</w:t>
      </w:r>
      <w:r>
        <w:rPr>
          <w:rFonts w:ascii="Times New Roman" w:hAnsi="Times New Roman" w:cs="Times New Roman" w:eastAsia="Times New Roman" w:hint="default"/>
        </w:rPr>
        <w:t>2018</w:t>
      </w:r>
      <w:r>
        <w:rPr/>
        <w:t>年年度权益分派实施公告》（公告编号：</w:t>
      </w:r>
      <w:r>
        <w:rPr>
          <w:rFonts w:ascii="Times New Roman" w:hAnsi="Times New Roman" w:cs="Times New Roman" w:eastAsia="Times New Roman" w:hint="default"/>
        </w:rPr>
        <w:t>2019-038</w:t>
      </w:r>
      <w:r>
        <w:rPr/>
        <w:t>）。</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before="0"/>
        <w:ind w:right="1133"/>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BodyText"/>
        <w:spacing w:line="240" w:lineRule="auto" w:before="63"/>
        <w:ind w:left="0" w:right="1139"/>
        <w:jc w:val="right"/>
      </w:pPr>
      <w:r>
        <w:rPr/>
        <w:pict>
          <v:shape style="position:absolute;margin-left:56.400002pt;margin-top:-531.81427pt;width:479.3pt;height:551.75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96"/>
                    <w:gridCol w:w="274"/>
                    <w:gridCol w:w="934"/>
                    <w:gridCol w:w="478"/>
                    <w:gridCol w:w="697"/>
                    <w:gridCol w:w="92"/>
                    <w:gridCol w:w="785"/>
                    <w:gridCol w:w="341"/>
                    <w:gridCol w:w="449"/>
                    <w:gridCol w:w="755"/>
                    <w:gridCol w:w="872"/>
                    <w:gridCol w:w="317"/>
                    <w:gridCol w:w="1033"/>
                    <w:gridCol w:w="140"/>
                    <w:gridCol w:w="1208"/>
                  </w:tblGrid>
                  <w:tr>
                    <w:trPr>
                      <w:trHeight w:val="161"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63" w:right="0"/>
                          <w:jc w:val="left"/>
                          <w:rPr>
                            <w:rFonts w:ascii="Times New Roman" w:hAnsi="Times New Roman" w:cs="Times New Roman" w:eastAsia="Times New Roman" w:hint="default"/>
                            <w:sz w:val="18"/>
                            <w:szCs w:val="18"/>
                          </w:rPr>
                        </w:pPr>
                        <w:r>
                          <w:rPr>
                            <w:rFonts w:ascii="Times New Roman"/>
                            <w:sz w:val="18"/>
                          </w:rPr>
                          <w:t>23,330</w:t>
                        </w:r>
                      </w:p>
                    </w:tc>
                    <w:tc>
                      <w:tcPr>
                        <w:tcW w:w="1175" w:type="dxa"/>
                        <w:gridSpan w:val="2"/>
                        <w:vMerge w:val="restart"/>
                        <w:tcBorders>
                          <w:top w:val="single" w:sz="4" w:space="0" w:color="000000"/>
                          <w:left w:val="single" w:sz="4" w:space="0" w:color="000000"/>
                          <w:right w:val="single" w:sz="4" w:space="0" w:color="000000"/>
                        </w:tcBorders>
                        <w:shd w:val="clear" w:color="auto" w:fill="D2D2D2"/>
                      </w:tcPr>
                      <w:p>
                        <w:pPr/>
                      </w:p>
                    </w:tc>
                    <w:tc>
                      <w:tcPr>
                        <w:tcW w:w="1218" w:type="dxa"/>
                        <w:gridSpan w:val="3"/>
                        <w:vMerge w:val="restart"/>
                        <w:tcBorders>
                          <w:top w:val="single" w:sz="4" w:space="0" w:color="000000"/>
                          <w:left w:val="single" w:sz="9"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74" w:right="0"/>
                          <w:jc w:val="left"/>
                          <w:rPr>
                            <w:rFonts w:ascii="Times New Roman" w:hAnsi="Times New Roman" w:cs="Times New Roman" w:eastAsia="Times New Roman" w:hint="default"/>
                            <w:sz w:val="18"/>
                            <w:szCs w:val="18"/>
                          </w:rPr>
                        </w:pPr>
                        <w:r>
                          <w:rPr>
                            <w:rFonts w:ascii="Times New Roman"/>
                            <w:sz w:val="18"/>
                          </w:rPr>
                          <w:t>19,709</w:t>
                        </w:r>
                      </w:p>
                    </w:tc>
                    <w:tc>
                      <w:tcPr>
                        <w:tcW w:w="12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89"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1" w:right="9"/>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8"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75"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10" w:space="0" w:color="D2D2D2"/>
                        </w:tcBorders>
                      </w:tcPr>
                      <w:p>
                        <w:pPr/>
                      </w:p>
                    </w:tc>
                    <w:tc>
                      <w:tcPr>
                        <w:tcW w:w="12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 w:right="102"/>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9" w:lineRule="auto" w:before="19"/>
                          <w:ind w:left="11" w:right="43"/>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89"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vMerge/>
                        <w:tcBorders>
                          <w:left w:val="single" w:sz="10" w:space="0" w:color="D2D2D2"/>
                          <w:right w:val="single" w:sz="4" w:space="0" w:color="000000"/>
                        </w:tcBorders>
                      </w:tcPr>
                      <w:p>
                        <w:pPr/>
                      </w:p>
                    </w:tc>
                  </w:tr>
                  <w:tr>
                    <w:trPr>
                      <w:trHeight w:val="31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7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11" w:right="71"/>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8" w:type="dxa"/>
                        <w:gridSpan w:val="3"/>
                        <w:vMerge/>
                        <w:tcBorders>
                          <w:left w:val="single" w:sz="9" w:space="0" w:color="D2D2D2"/>
                          <w:right w:val="single" w:sz="10"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9"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vMerge/>
                        <w:tcBorders>
                          <w:left w:val="single" w:sz="10" w:space="0" w:color="D2D2D2"/>
                          <w:right w:val="single" w:sz="4" w:space="0" w:color="000000"/>
                        </w:tcBorders>
                      </w:tcPr>
                      <w:p>
                        <w:pPr/>
                      </w:p>
                    </w:tc>
                  </w:tr>
                  <w:tr>
                    <w:trPr>
                      <w:trHeight w:val="706"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7" w:type="dxa"/>
                        <w:gridSpan w:val="2"/>
                        <w:vMerge/>
                        <w:tcBorders>
                          <w:left w:val="single" w:sz="9" w:space="0" w:color="D2D2D2"/>
                          <w:right w:val="single" w:sz="9" w:space="0" w:color="D2D2D2"/>
                        </w:tcBorders>
                      </w:tcPr>
                      <w:p>
                        <w:pPr/>
                      </w:p>
                    </w:tc>
                    <w:tc>
                      <w:tcPr>
                        <w:tcW w:w="1175" w:type="dxa"/>
                        <w:gridSpan w:val="2"/>
                        <w:vMerge/>
                        <w:tcBorders>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10"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9"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vMerge/>
                        <w:tcBorders>
                          <w:left w:val="single" w:sz="10" w:space="0" w:color="D2D2D2"/>
                          <w:right w:val="single" w:sz="4" w:space="0" w:color="000000"/>
                        </w:tcBorders>
                      </w:tcPr>
                      <w:p>
                        <w:pPr/>
                      </w:p>
                    </w:tc>
                  </w:tr>
                  <w:tr>
                    <w:trPr>
                      <w:trHeight w:val="313"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75"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10"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9"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vMerge/>
                        <w:tcBorders>
                          <w:left w:val="single" w:sz="10" w:space="0" w:color="D2D2D2"/>
                          <w:right w:val="single" w:sz="4" w:space="0" w:color="000000"/>
                        </w:tcBorders>
                      </w:tcPr>
                      <w:p>
                        <w:pP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75" w:type="dxa"/>
                        <w:gridSpan w:val="2"/>
                        <w:vMerge w:val="restart"/>
                        <w:tcBorders>
                          <w:top w:val="nil" w:sz="6" w:space="0" w:color="auto"/>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10" w:space="0" w:color="D2D2D2"/>
                        </w:tcBorders>
                      </w:tcPr>
                      <w:p>
                        <w:pPr/>
                      </w:p>
                    </w:tc>
                    <w:tc>
                      <w:tcPr>
                        <w:tcW w:w="1205" w:type="dxa"/>
                        <w:gridSpan w:val="2"/>
                        <w:vMerge/>
                        <w:tcBorders>
                          <w:left w:val="single" w:sz="4" w:space="0" w:color="000000"/>
                          <w:bottom w:val="nil" w:sz="6" w:space="0" w:color="auto"/>
                          <w:right w:val="single" w:sz="4" w:space="0" w:color="000000"/>
                        </w:tcBorders>
                        <w:shd w:val="clear" w:color="auto" w:fill="D2D2D2"/>
                      </w:tcPr>
                      <w:p>
                        <w:pPr/>
                      </w:p>
                    </w:tc>
                    <w:tc>
                      <w:tcPr>
                        <w:tcW w:w="1189"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vMerge/>
                        <w:tcBorders>
                          <w:left w:val="single" w:sz="10" w:space="0" w:color="D2D2D2"/>
                          <w:right w:val="single" w:sz="4" w:space="0" w:color="000000"/>
                        </w:tcBorders>
                      </w:tcPr>
                      <w:p>
                        <w:pPr/>
                      </w:p>
                    </w:tc>
                  </w:tr>
                  <w:tr>
                    <w:trPr>
                      <w:trHeight w:val="166"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7" w:type="dxa"/>
                        <w:gridSpan w:val="2"/>
                        <w:vMerge/>
                        <w:tcBorders>
                          <w:left w:val="single" w:sz="9" w:space="0" w:color="D2D2D2"/>
                          <w:bottom w:val="single" w:sz="4" w:space="0" w:color="000000"/>
                          <w:right w:val="single" w:sz="9" w:space="0" w:color="D2D2D2"/>
                        </w:tcBorders>
                      </w:tcPr>
                      <w:p>
                        <w:pPr/>
                      </w:p>
                    </w:tc>
                    <w:tc>
                      <w:tcPr>
                        <w:tcW w:w="1175" w:type="dxa"/>
                        <w:gridSpan w:val="2"/>
                        <w:vMerge/>
                        <w:tcBorders>
                          <w:left w:val="single" w:sz="4" w:space="0" w:color="000000"/>
                          <w:bottom w:val="single" w:sz="4" w:space="0" w:color="000000"/>
                          <w:right w:val="single" w:sz="4" w:space="0" w:color="000000"/>
                        </w:tcBorders>
                        <w:shd w:val="clear" w:color="auto" w:fill="D2D2D2"/>
                      </w:tcPr>
                      <w:p>
                        <w:pPr/>
                      </w:p>
                    </w:tc>
                    <w:tc>
                      <w:tcPr>
                        <w:tcW w:w="1218" w:type="dxa"/>
                        <w:gridSpan w:val="3"/>
                        <w:vMerge/>
                        <w:tcBorders>
                          <w:left w:val="single" w:sz="9" w:space="0" w:color="D2D2D2"/>
                          <w:bottom w:val="single" w:sz="4" w:space="0" w:color="000000"/>
                          <w:right w:val="single" w:sz="10" w:space="0" w:color="D2D2D2"/>
                        </w:tcBorders>
                      </w:tcPr>
                      <w:p>
                        <w:pPr/>
                      </w:p>
                    </w:tc>
                    <w:tc>
                      <w:tcPr>
                        <w:tcW w:w="12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89" w:type="dxa"/>
                        <w:gridSpan w:val="2"/>
                        <w:vMerge/>
                        <w:tcBorders>
                          <w:left w:val="single" w:sz="10" w:space="0" w:color="D2D2D2"/>
                          <w:bottom w:val="single" w:sz="4" w:space="0" w:color="000000"/>
                          <w:right w:val="single" w:sz="13"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208" w:type="dxa"/>
                        <w:vMerge/>
                        <w:tcBorders>
                          <w:left w:val="single" w:sz="10" w:space="0" w:color="D2D2D2"/>
                          <w:bottom w:val="single" w:sz="4" w:space="0" w:color="000000"/>
                          <w:right w:val="single" w:sz="4" w:space="0" w:color="000000"/>
                        </w:tcBorders>
                      </w:tcPr>
                      <w:p>
                        <w:pPr/>
                      </w:p>
                    </w:tc>
                  </w:tr>
                  <w:tr>
                    <w:trPr>
                      <w:trHeight w:val="391" w:hRule="exact"/>
                    </w:trPr>
                    <w:tc>
                      <w:tcPr>
                        <w:tcW w:w="9571"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90" w:type="dxa"/>
                        <w:gridSpan w:val="2"/>
                        <w:vMerge w:val="restart"/>
                        <w:tcBorders>
                          <w:top w:val="single" w:sz="4" w:space="0" w:color="000000"/>
                          <w:left w:val="single" w:sz="4" w:space="0" w:color="000000"/>
                          <w:right w:val="single" w:sz="4" w:space="0" w:color="FFFFFF"/>
                        </w:tcBorders>
                        <w:shd w:val="clear" w:color="auto" w:fill="D2D2D2"/>
                      </w:tcPr>
                      <w:p>
                        <w:pPr/>
                      </w:p>
                    </w:tc>
                    <w:tc>
                      <w:tcPr>
                        <w:tcW w:w="785" w:type="dxa"/>
                        <w:tcBorders>
                          <w:top w:val="single" w:sz="4" w:space="0" w:color="000000"/>
                          <w:left w:val="single" w:sz="4" w:space="0" w:color="FFFFFF"/>
                          <w:bottom w:val="nil" w:sz="6" w:space="0" w:color="auto"/>
                          <w:right w:val="single" w:sz="4" w:space="0" w:color="000000"/>
                        </w:tcBorders>
                        <w:shd w:val="clear" w:color="auto" w:fill="D2D2D2"/>
                      </w:tcPr>
                      <w:p>
                        <w:pPr/>
                      </w:p>
                    </w:tc>
                    <w:tc>
                      <w:tcPr>
                        <w:tcW w:w="7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5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8" w:right="-3"/>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87" w:right="53"/>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8"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1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90" w:type="dxa"/>
                        <w:gridSpan w:val="2"/>
                        <w:vMerge/>
                        <w:tcBorders>
                          <w:left w:val="single" w:sz="4" w:space="0" w:color="000000"/>
                          <w:bottom w:val="nil" w:sz="6" w:space="0" w:color="auto"/>
                          <w:right w:val="single" w:sz="4" w:space="0" w:color="FFFFFF"/>
                        </w:tcBorders>
                        <w:shd w:val="clear" w:color="auto" w:fill="D2D2D2"/>
                      </w:tcPr>
                      <w:p>
                        <w:pPr/>
                      </w:p>
                    </w:tc>
                    <w:tc>
                      <w:tcPr>
                        <w:tcW w:w="785" w:type="dxa"/>
                        <w:vMerge w:val="restart"/>
                        <w:tcBorders>
                          <w:top w:val="nil" w:sz="6" w:space="0" w:color="auto"/>
                          <w:left w:val="single" w:sz="4" w:space="0" w:color="FFFFFF"/>
                          <w:right w:val="single" w:sz="4" w:space="0" w:color="000000"/>
                        </w:tcBorders>
                        <w:shd w:val="clear" w:color="auto" w:fill="D2D2D2"/>
                      </w:tcPr>
                      <w:p>
                        <w:pPr>
                          <w:pStyle w:val="TableParagraph"/>
                          <w:spacing w:line="316" w:lineRule="auto" w:before="49"/>
                          <w:ind w:left="28" w:right="24"/>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0"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8" w:type="dxa"/>
                        <w:gridSpan w:val="4"/>
                        <w:vMerge/>
                        <w:tcBorders>
                          <w:left w:val="single" w:sz="4" w:space="0" w:color="000000"/>
                          <w:right w:val="single" w:sz="4" w:space="0" w:color="000000"/>
                        </w:tcBorders>
                        <w:shd w:val="clear" w:color="auto" w:fill="D2D2D2"/>
                      </w:tcPr>
                      <w:p>
                        <w:pPr/>
                      </w:p>
                    </w:tc>
                  </w:tr>
                  <w:tr>
                    <w:trPr>
                      <w:trHeight w:val="142"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7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90" w:type="dxa"/>
                        <w:gridSpan w:val="2"/>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85" w:type="dxa"/>
                        <w:vMerge/>
                        <w:tcBorders>
                          <w:left w:val="single" w:sz="4" w:space="0" w:color="FFFFFF"/>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8" w:type="dxa"/>
                        <w:gridSpan w:val="4"/>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90" w:type="dxa"/>
                        <w:gridSpan w:val="2"/>
                        <w:vMerge/>
                        <w:tcBorders>
                          <w:left w:val="single" w:sz="4" w:space="0" w:color="000000"/>
                          <w:bottom w:val="nil" w:sz="6" w:space="0" w:color="auto"/>
                          <w:right w:val="single" w:sz="4" w:space="0" w:color="FFFFFF"/>
                        </w:tcBorders>
                        <w:shd w:val="clear" w:color="auto" w:fill="D2D2D2"/>
                      </w:tcPr>
                      <w:p>
                        <w:pPr/>
                      </w:p>
                    </w:tc>
                    <w:tc>
                      <w:tcPr>
                        <w:tcW w:w="785" w:type="dxa"/>
                        <w:vMerge/>
                        <w:tcBorders>
                          <w:left w:val="single" w:sz="4" w:space="0" w:color="FFFFFF"/>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30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90" w:type="dxa"/>
                        <w:gridSpan w:val="2"/>
                        <w:vMerge w:val="restart"/>
                        <w:tcBorders>
                          <w:top w:val="nil" w:sz="6" w:space="0" w:color="auto"/>
                          <w:left w:val="single" w:sz="4" w:space="0" w:color="000000"/>
                          <w:right w:val="single" w:sz="4" w:space="0" w:color="FFFFFF"/>
                        </w:tcBorders>
                        <w:shd w:val="clear" w:color="auto" w:fill="D2D2D2"/>
                      </w:tcPr>
                      <w:p>
                        <w:pPr/>
                      </w:p>
                    </w:tc>
                    <w:tc>
                      <w:tcPr>
                        <w:tcW w:w="785" w:type="dxa"/>
                        <w:vMerge/>
                        <w:tcBorders>
                          <w:left w:val="single" w:sz="4" w:space="0" w:color="FFFFFF"/>
                          <w:bottom w:val="nil" w:sz="6" w:space="0" w:color="auto"/>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90" w:type="dxa"/>
                        <w:gridSpan w:val="2"/>
                        <w:vMerge/>
                        <w:tcBorders>
                          <w:left w:val="single" w:sz="4" w:space="0" w:color="000000"/>
                          <w:bottom w:val="single" w:sz="4" w:space="0" w:color="000000"/>
                          <w:right w:val="single" w:sz="4" w:space="0" w:color="FFFFFF"/>
                        </w:tcBorders>
                        <w:shd w:val="clear" w:color="auto" w:fill="D2D2D2"/>
                      </w:tcPr>
                      <w:p>
                        <w:pPr/>
                      </w:p>
                    </w:tc>
                    <w:tc>
                      <w:tcPr>
                        <w:tcW w:w="785" w:type="dxa"/>
                        <w:tcBorders>
                          <w:top w:val="nil" w:sz="6" w:space="0" w:color="auto"/>
                          <w:left w:val="single" w:sz="4" w:space="0" w:color="FFFFFF"/>
                          <w:bottom w:val="single" w:sz="4" w:space="0" w:color="000000"/>
                          <w:right w:val="single" w:sz="4" w:space="0" w:color="000000"/>
                        </w:tcBorders>
                        <w:shd w:val="clear" w:color="auto" w:fill="D2D2D2"/>
                      </w:tcPr>
                      <w:p>
                        <w:pPr/>
                      </w:p>
                    </w:tc>
                    <w:tc>
                      <w:tcPr>
                        <w:tcW w:w="790" w:type="dxa"/>
                        <w:gridSpan w:val="2"/>
                        <w:vMerge/>
                        <w:tcBorders>
                          <w:left w:val="single" w:sz="4" w:space="0" w:color="000000"/>
                          <w:bottom w:val="single" w:sz="4" w:space="0" w:color="000000"/>
                          <w:right w:val="single" w:sz="4" w:space="0" w:color="000000"/>
                        </w:tcBorders>
                        <w:shd w:val="clear" w:color="auto" w:fill="D2D2D2"/>
                      </w:tcPr>
                      <w:p>
                        <w:pPr/>
                      </w:p>
                    </w:tc>
                    <w:tc>
                      <w:tcPr>
                        <w:tcW w:w="755" w:type="dxa"/>
                        <w:vMerge/>
                        <w:tcBorders>
                          <w:left w:val="single" w:sz="4" w:space="0" w:color="000000"/>
                          <w:bottom w:val="single" w:sz="4" w:space="0" w:color="000000"/>
                          <w:right w:val="single" w:sz="4" w:space="0" w:color="000000"/>
                        </w:tcBorders>
                        <w:shd w:val="clear" w:color="auto" w:fill="D2D2D2"/>
                      </w:tcPr>
                      <w:p>
                        <w:pPr/>
                      </w:p>
                    </w:tc>
                    <w:tc>
                      <w:tcPr>
                        <w:tcW w:w="87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余荣清</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39.52%</w:t>
                        </w:r>
                      </w:p>
                    </w:tc>
                    <w:tc>
                      <w:tcPr>
                        <w:tcW w:w="78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106,240,5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12</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30,354,43</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79,680,38</w:t>
                        </w:r>
                      </w:p>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z w:val="18"/>
                          </w:rPr>
                          <w:t>4</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26,560,12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349" w:type="dxa"/>
                        <w:gridSpan w:val="2"/>
                        <w:tcBorders>
                          <w:top w:val="single" w:sz="44" w:space="0" w:color="D2D2D2"/>
                          <w:left w:val="single" w:sz="4" w:space="0" w:color="000000"/>
                          <w:bottom w:val="single" w:sz="4" w:space="0" w:color="000000"/>
                          <w:right w:val="single" w:sz="4" w:space="0" w:color="000000"/>
                        </w:tcBorders>
                      </w:tcPr>
                      <w:p>
                        <w:pPr/>
                      </w:p>
                    </w:tc>
                    <w:tc>
                      <w:tcPr>
                        <w:tcW w:w="1349" w:type="dxa"/>
                        <w:gridSpan w:val="2"/>
                        <w:tcBorders>
                          <w:top w:val="single" w:sz="44" w:space="0" w:color="D2D2D2"/>
                          <w:left w:val="single" w:sz="4" w:space="0" w:color="000000"/>
                          <w:bottom w:val="single" w:sz="4" w:space="0" w:color="000000"/>
                          <w:right w:val="single" w:sz="4" w:space="0" w:color="000000"/>
                        </w:tcBorders>
                      </w:tcPr>
                      <w:p>
                        <w:pP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兰山英</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7.29%</w:t>
                        </w:r>
                      </w:p>
                    </w:tc>
                    <w:tc>
                      <w:tcPr>
                        <w:tcW w:w="78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19,592,53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5,597,867</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14,694,40</w:t>
                        </w:r>
                      </w:p>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4,898,134</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苏州恒久荣盛科 技投资有限公司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0"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4.89%</w:t>
                        </w:r>
                      </w:p>
                    </w:tc>
                    <w:tc>
                      <w:tcPr>
                        <w:tcW w:w="78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13,156,26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3,758,933</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13,156,26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余仲清</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left="292" w:right="0"/>
                          <w:jc w:val="left"/>
                          <w:rPr>
                            <w:rFonts w:ascii="Times New Roman" w:hAnsi="Times New Roman" w:cs="Times New Roman" w:eastAsia="Times New Roman" w:hint="default"/>
                            <w:sz w:val="18"/>
                            <w:szCs w:val="18"/>
                          </w:rPr>
                        </w:pPr>
                        <w:r>
                          <w:rPr>
                            <w:rFonts w:ascii="Times New Roman"/>
                            <w:sz w:val="18"/>
                          </w:rPr>
                          <w:t>1.09%</w:t>
                        </w:r>
                      </w:p>
                    </w:tc>
                    <w:tc>
                      <w:tcPr>
                        <w:tcW w:w="78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2,938,880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839,680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2,204,160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734,720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黄解平</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left="292" w:right="0"/>
                          <w:jc w:val="left"/>
                          <w:rPr>
                            <w:rFonts w:ascii="Times New Roman" w:hAnsi="Times New Roman" w:cs="Times New Roman" w:eastAsia="Times New Roman" w:hint="default"/>
                            <w:sz w:val="18"/>
                            <w:szCs w:val="18"/>
                          </w:rPr>
                        </w:pPr>
                        <w:r>
                          <w:rPr>
                            <w:rFonts w:ascii="Times New Roman"/>
                            <w:sz w:val="18"/>
                          </w:rPr>
                          <w:t>0.75%</w:t>
                        </w:r>
                      </w:p>
                    </w:tc>
                    <w:tc>
                      <w:tcPr>
                        <w:tcW w:w="78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2,023,412</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-938,562</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2,023,412</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孙忠良</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left="292" w:right="0"/>
                          <w:jc w:val="left"/>
                          <w:rPr>
                            <w:rFonts w:ascii="Times New Roman" w:hAnsi="Times New Roman" w:cs="Times New Roman" w:eastAsia="Times New Roman" w:hint="default"/>
                            <w:sz w:val="18"/>
                            <w:szCs w:val="18"/>
                          </w:rPr>
                        </w:pPr>
                        <w:r>
                          <w:rPr>
                            <w:rFonts w:ascii="Times New Roman"/>
                            <w:sz w:val="18"/>
                          </w:rPr>
                          <w:t>0.68%</w:t>
                        </w:r>
                      </w:p>
                    </w:tc>
                    <w:tc>
                      <w:tcPr>
                        <w:tcW w:w="78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1,836,800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524,800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1,836,800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刘瑜</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left="292" w:right="0"/>
                          <w:jc w:val="left"/>
                          <w:rPr>
                            <w:rFonts w:ascii="Times New Roman" w:hAnsi="Times New Roman" w:cs="Times New Roman" w:eastAsia="Times New Roman" w:hint="default"/>
                            <w:sz w:val="18"/>
                            <w:szCs w:val="18"/>
                          </w:rPr>
                        </w:pPr>
                        <w:r>
                          <w:rPr>
                            <w:rFonts w:ascii="Times New Roman"/>
                            <w:sz w:val="18"/>
                          </w:rPr>
                          <w:t>0.61%</w:t>
                        </w:r>
                      </w:p>
                    </w:tc>
                    <w:tc>
                      <w:tcPr>
                        <w:tcW w:w="78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1,648,600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336,600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1,648,600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陈亮</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left="292" w:right="0"/>
                          <w:jc w:val="left"/>
                          <w:rPr>
                            <w:rFonts w:ascii="Times New Roman" w:hAnsi="Times New Roman" w:cs="Times New Roman" w:eastAsia="Times New Roman" w:hint="default"/>
                            <w:sz w:val="18"/>
                            <w:szCs w:val="18"/>
                          </w:rPr>
                        </w:pPr>
                        <w:r>
                          <w:rPr>
                            <w:rFonts w:ascii="Times New Roman"/>
                            <w:sz w:val="18"/>
                          </w:rPr>
                          <w:t>0.56%</w:t>
                        </w:r>
                      </w:p>
                    </w:tc>
                    <w:tc>
                      <w:tcPr>
                        <w:tcW w:w="78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1,502,500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276,700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1,502,500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both"/>
                          <w:rPr>
                            <w:rFonts w:ascii="宋体" w:hAnsi="宋体" w:cs="宋体" w:eastAsia="宋体" w:hint="default"/>
                            <w:sz w:val="18"/>
                            <w:szCs w:val="18"/>
                          </w:rPr>
                        </w:pPr>
                        <w:r>
                          <w:rPr>
                            <w:rFonts w:ascii="宋体" w:hAnsi="宋体" w:cs="宋体" w:eastAsia="宋体" w:hint="default"/>
                            <w:sz w:val="18"/>
                            <w:szCs w:val="18"/>
                          </w:rPr>
                          <w:t>中国农业银行股 份有限公司－诺 安高端制造股票 型证券投资基金</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0"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0.47%</w:t>
                        </w:r>
                      </w:p>
                    </w:tc>
                    <w:tc>
                      <w:tcPr>
                        <w:tcW w:w="78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1,270,100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1,270,100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1,270,100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张培兴</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left="292" w:right="0"/>
                          <w:jc w:val="left"/>
                          <w:rPr>
                            <w:rFonts w:ascii="Times New Roman" w:hAnsi="Times New Roman" w:cs="Times New Roman" w:eastAsia="Times New Roman" w:hint="default"/>
                            <w:sz w:val="18"/>
                            <w:szCs w:val="18"/>
                          </w:rPr>
                        </w:pPr>
                        <w:r>
                          <w:rPr>
                            <w:rFonts w:ascii="Times New Roman"/>
                            <w:sz w:val="18"/>
                          </w:rPr>
                          <w:t>0.42%</w:t>
                        </w:r>
                      </w:p>
                    </w:tc>
                    <w:tc>
                      <w:tcPr>
                        <w:tcW w:w="78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1,131,480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323,280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848,610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282,870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8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9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28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90" w:type="dxa"/>
                        <w:gridSpan w:val="11"/>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6" w:right="20"/>
                          <w:jc w:val="left"/>
                          <w:rPr>
                            <w:rFonts w:ascii="宋体" w:hAnsi="宋体" w:cs="宋体" w:eastAsia="宋体" w:hint="default"/>
                            <w:sz w:val="18"/>
                            <w:szCs w:val="18"/>
                          </w:rPr>
                        </w:pPr>
                        <w:r>
                          <w:rPr>
                            <w:rFonts w:ascii="宋体" w:hAnsi="宋体" w:cs="宋体" w:eastAsia="宋体" w:hint="default"/>
                            <w:spacing w:val="-1"/>
                            <w:sz w:val="18"/>
                            <w:szCs w:val="18"/>
                          </w:rPr>
                          <w:t>上述股东中，余荣清为本公司控股股东、实际控制人；余荣清与自然人股东兰山英系</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夫妻关系，余仲清为余荣清的哥哥，余荣清、兰山英、余仲清、孙忠良系一致行动人</w:t>
                        </w:r>
                      </w:p>
                    </w:tc>
                  </w:tr>
                </w:tbl>
                <w:p>
                  <w:pPr/>
                </w:p>
              </w:txbxContent>
            </v:textbox>
            <w10:wrap type="none"/>
          </v:shape>
        </w:pict>
      </w:r>
      <w:r>
        <w:rPr/>
        <w:t>；</w:t>
      </w:r>
    </w:p>
    <w:p>
      <w:pPr>
        <w:spacing w:after="0" w:line="240" w:lineRule="auto"/>
        <w:jc w:val="righ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pStyle w:val="BodyText"/>
        <w:spacing w:line="240" w:lineRule="auto" w:before="44"/>
        <w:ind w:left="0" w:right="1139"/>
        <w:jc w:val="right"/>
      </w:pPr>
      <w:r>
        <w:rPr/>
        <w:pict>
          <v:shape style="position:absolute;margin-left:56.400002pt;margin-top:-342.538269pt;width:479.3pt;height:444.95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81"/>
                    <w:gridCol w:w="3992"/>
                    <w:gridCol w:w="1349"/>
                    <w:gridCol w:w="1349"/>
                  </w:tblGrid>
                  <w:tr>
                    <w:trPr>
                      <w:trHeight w:val="987"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90" w:type="dxa"/>
                        <w:gridSpan w:val="3"/>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6" w:right="20"/>
                          <w:jc w:val="both"/>
                          <w:rPr>
                            <w:rFonts w:ascii="宋体" w:hAnsi="宋体" w:cs="宋体" w:eastAsia="宋体" w:hint="default"/>
                            <w:sz w:val="18"/>
                            <w:szCs w:val="18"/>
                          </w:rPr>
                        </w:pPr>
                        <w:r>
                          <w:rPr>
                            <w:rFonts w:ascii="宋体" w:hAnsi="宋体" w:cs="宋体" w:eastAsia="宋体" w:hint="default"/>
                            <w:sz w:val="18"/>
                            <w:szCs w:val="18"/>
                          </w:rPr>
                          <w:t>余荣清持有苏州恒久荣盛科技投资有限公司</w:t>
                        </w:r>
                        <w:r>
                          <w:rPr>
                            <w:rFonts w:ascii="宋体" w:hAnsi="宋体" w:cs="宋体" w:eastAsia="宋体" w:hint="default"/>
                            <w:spacing w:val="-37"/>
                            <w:sz w:val="18"/>
                            <w:szCs w:val="18"/>
                          </w:rPr>
                          <w:t> </w:t>
                        </w:r>
                        <w:r>
                          <w:rPr>
                            <w:rFonts w:ascii="Times New Roman" w:hAnsi="Times New Roman" w:cs="Times New Roman" w:eastAsia="Times New Roman" w:hint="default"/>
                            <w:spacing w:val="-3"/>
                            <w:sz w:val="18"/>
                            <w:szCs w:val="18"/>
                          </w:rPr>
                          <w:t>88%</w:t>
                        </w:r>
                        <w:r>
                          <w:rPr>
                            <w:rFonts w:ascii="宋体" w:hAnsi="宋体" w:cs="宋体" w:eastAsia="宋体" w:hint="default"/>
                            <w:spacing w:val="-3"/>
                            <w:sz w:val="18"/>
                            <w:szCs w:val="18"/>
                          </w:rPr>
                          <w:t>股权，兰山英持有苏州恒久荣盛科技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投资有限公司</w:t>
                        </w:r>
                        <w:r>
                          <w:rPr>
                            <w:rFonts w:ascii="宋体" w:hAnsi="宋体" w:cs="宋体" w:eastAsia="宋体" w:hint="default"/>
                            <w:spacing w:val="-34"/>
                            <w:sz w:val="18"/>
                            <w:szCs w:val="18"/>
                          </w:rPr>
                          <w:t> </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股权；刘瑜与陈亮系母子关系。除此之外，公司未知其他股东之间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是否存在关联关系或属于一致行动人。</w:t>
                        </w:r>
                      </w:p>
                    </w:tc>
                  </w:tr>
                  <w:tr>
                    <w:trPr>
                      <w:trHeight w:val="401"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8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69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881" w:type="dxa"/>
                        <w:vMerge/>
                        <w:tcBorders>
                          <w:left w:val="single" w:sz="4" w:space="0" w:color="000000"/>
                          <w:bottom w:val="nil" w:sz="6" w:space="0" w:color="auto"/>
                          <w:right w:val="single" w:sz="4" w:space="0" w:color="000000"/>
                        </w:tcBorders>
                        <w:shd w:val="clear" w:color="auto" w:fill="D2D2D2"/>
                      </w:tcPr>
                      <w:p>
                        <w:pPr/>
                      </w:p>
                    </w:tc>
                    <w:tc>
                      <w:tcPr>
                        <w:tcW w:w="3992" w:type="dxa"/>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2881" w:type="dxa"/>
                        <w:tcBorders>
                          <w:top w:val="nil" w:sz="6" w:space="0" w:color="auto"/>
                          <w:left w:val="single" w:sz="4" w:space="0" w:color="000000"/>
                          <w:bottom w:val="single" w:sz="4" w:space="0" w:color="000000"/>
                          <w:right w:val="single" w:sz="4" w:space="0" w:color="000000"/>
                        </w:tcBorders>
                        <w:shd w:val="clear" w:color="auto" w:fill="D2D2D2"/>
                      </w:tcPr>
                      <w:p>
                        <w:pPr/>
                      </w:p>
                    </w:tc>
                    <w:tc>
                      <w:tcPr>
                        <w:tcW w:w="3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余荣清</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26,560,128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26,560,128</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苏州恒久荣盛科技投资有限公司</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13,156,266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13,156,266</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兰山英</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4,898,134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4,898,134</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黄解平</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2,023,412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2,023,412</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孙忠良</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1,836,800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1,836,800</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刘瑜</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1,648,600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1,648,600</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陈亮</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1,502,500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1,502,500</w:t>
                        </w:r>
                      </w:p>
                    </w:tc>
                  </w:tr>
                  <w:tr>
                    <w:trPr>
                      <w:trHeight w:val="71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5"/>
                          <w:jc w:val="left"/>
                          <w:rPr>
                            <w:rFonts w:ascii="宋体" w:hAnsi="宋体" w:cs="宋体" w:eastAsia="宋体" w:hint="default"/>
                            <w:sz w:val="18"/>
                            <w:szCs w:val="18"/>
                          </w:rPr>
                        </w:pPr>
                        <w:r>
                          <w:rPr>
                            <w:rFonts w:ascii="宋体" w:hAnsi="宋体" w:cs="宋体" w:eastAsia="宋体" w:hint="default"/>
                            <w:sz w:val="18"/>
                            <w:szCs w:val="18"/>
                          </w:rPr>
                          <w:t>中国农业银行股份有限公司－诺安 高端制造股票型证券投资基金</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1,270,100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1,270,100</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陈广虹</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785,140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785,140</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余仲清</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734,720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734,720</w:t>
                        </w:r>
                      </w:p>
                    </w:tc>
                  </w:tr>
                  <w:tr>
                    <w:trPr>
                      <w:trHeight w:val="1652"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9" w:lineRule="auto" w:before="63"/>
                          <w:ind w:left="24" w:right="17"/>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6690" w:type="dxa"/>
                        <w:gridSpan w:val="3"/>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6" w:right="19"/>
                          <w:jc w:val="left"/>
                          <w:rPr>
                            <w:rFonts w:ascii="宋体" w:hAnsi="宋体" w:cs="宋体" w:eastAsia="宋体" w:hint="default"/>
                            <w:sz w:val="18"/>
                            <w:szCs w:val="18"/>
                          </w:rPr>
                        </w:pPr>
                        <w:r>
                          <w:rPr>
                            <w:rFonts w:ascii="宋体" w:hAnsi="宋体" w:cs="宋体" w:eastAsia="宋体" w:hint="default"/>
                            <w:spacing w:val="-1"/>
                            <w:sz w:val="18"/>
                            <w:szCs w:val="18"/>
                          </w:rPr>
                          <w:t>上述股东中，余荣清为本公司控股股东、实际控制人；余荣清与自然人股东兰山英系</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夫妻关系，余仲清为余荣清的哥哥，余荣清、兰山英、余仲清、孙忠良系一致行动人</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余荣清持有苏州恒久荣盛科技投资有限公司</w:t>
                        </w:r>
                        <w:r>
                          <w:rPr>
                            <w:rFonts w:ascii="宋体" w:hAnsi="宋体" w:cs="宋体" w:eastAsia="宋体" w:hint="default"/>
                            <w:spacing w:val="-37"/>
                            <w:sz w:val="18"/>
                            <w:szCs w:val="18"/>
                          </w:rPr>
                          <w:t> </w:t>
                        </w:r>
                        <w:r>
                          <w:rPr>
                            <w:rFonts w:ascii="Times New Roman" w:hAnsi="Times New Roman" w:cs="Times New Roman" w:eastAsia="Times New Roman" w:hint="default"/>
                            <w:spacing w:val="-3"/>
                            <w:sz w:val="18"/>
                            <w:szCs w:val="18"/>
                          </w:rPr>
                          <w:t>88%</w:t>
                        </w:r>
                        <w:r>
                          <w:rPr>
                            <w:rFonts w:ascii="宋体" w:hAnsi="宋体" w:cs="宋体" w:eastAsia="宋体" w:hint="default"/>
                            <w:spacing w:val="-3"/>
                            <w:sz w:val="18"/>
                            <w:szCs w:val="18"/>
                          </w:rPr>
                          <w:t>股权，兰山英持有苏州恒久荣盛科技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投资有限公司</w:t>
                        </w:r>
                        <w:r>
                          <w:rPr>
                            <w:rFonts w:ascii="宋体" w:hAnsi="宋体" w:cs="宋体" w:eastAsia="宋体" w:hint="default"/>
                            <w:spacing w:val="-34"/>
                            <w:sz w:val="18"/>
                            <w:szCs w:val="18"/>
                          </w:rPr>
                          <w:t> </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股权；刘瑜与陈亮系母子关系。除此之外，公司未知其他股东之间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是否存在关联关系或属于一致行动人。</w:t>
                        </w:r>
                      </w:p>
                    </w:tc>
                  </w:tr>
                  <w:tr>
                    <w:trPr>
                      <w:trHeight w:val="713"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名普通股股东参与融资融券业 </w:t>
                        </w:r>
                        <w:r>
                          <w:rPr>
                            <w:rFonts w:ascii="宋体" w:hAnsi="宋体" w:cs="宋体" w:eastAsia="宋体" w:hint="default"/>
                            <w:spacing w:val="-8"/>
                            <w:sz w:val="18"/>
                            <w:szCs w:val="18"/>
                          </w:rPr>
                          <w:t>务情况说明（如有）（参见注</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日，境内自然人股东黄解平通过普通证券账户持有</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9,200</w:t>
                        </w:r>
                        <w:r>
                          <w:rPr>
                            <w:rFonts w:ascii="Times New Roman" w:hAnsi="Times New Roman" w:cs="Times New Roman" w:eastAsia="Times New Roman" w:hint="default"/>
                            <w:spacing w:val="-4"/>
                            <w:sz w:val="18"/>
                            <w:szCs w:val="18"/>
                          </w:rPr>
                          <w:t> </w:t>
                        </w:r>
                        <w:r>
                          <w:rPr>
                            <w:rFonts w:ascii="宋体" w:hAnsi="宋体" w:cs="宋体" w:eastAsia="宋体" w:hint="default"/>
                            <w:spacing w:val="-12"/>
                            <w:sz w:val="18"/>
                            <w:szCs w:val="18"/>
                          </w:rPr>
                          <w:t>股，通</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过信用证券账户持有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2,014,212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股，合计持有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2,023,412 </w:t>
                        </w:r>
                        <w:r>
                          <w:rPr>
                            <w:rFonts w:ascii="宋体" w:hAnsi="宋体" w:cs="宋体" w:eastAsia="宋体" w:hint="default"/>
                            <w:sz w:val="18"/>
                            <w:szCs w:val="18"/>
                          </w:rPr>
                          <w:t>股。</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240" w:lineRule="auto" w:before="44"/>
        <w:ind w:right="113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1"/>
        <w:ind w:right="113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2"/>
        <w:rPr>
          <w:rFonts w:ascii="宋体" w:hAnsi="宋体" w:cs="宋体" w:eastAsia="宋体" w:hint="default"/>
          <w:sz w:val="26"/>
          <w:szCs w:val="26"/>
        </w:rPr>
      </w:pPr>
    </w:p>
    <w:p>
      <w:pPr>
        <w:pStyle w:val="Heading3"/>
        <w:spacing w:line="240" w:lineRule="auto" w:before="0"/>
        <w:ind w:right="1133"/>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8594"/>
        <w:jc w:val="left"/>
      </w:pPr>
      <w:r>
        <w:rPr/>
        <w:t>控股股东性质：自然人控股 控股股东类型：自然人</w:t>
      </w:r>
    </w:p>
    <w:tbl>
      <w:tblPr>
        <w:tblW w:w="0" w:type="auto"/>
        <w:jc w:val="left"/>
        <w:tblInd w:w="148" w:type="dxa"/>
        <w:tblLayout w:type="fixed"/>
        <w:tblCellMar>
          <w:top w:w="0" w:type="dxa"/>
          <w:left w:w="0" w:type="dxa"/>
          <w:bottom w:w="0" w:type="dxa"/>
          <w:right w:w="0" w:type="dxa"/>
        </w:tblCellMar>
        <w:tblLook w:val="01E0"/>
      </w:tblPr>
      <w:tblGrid>
        <w:gridCol w:w="3419"/>
        <w:gridCol w:w="2302"/>
        <w:gridCol w:w="3850"/>
      </w:tblGrid>
      <w:tr>
        <w:trPr>
          <w:trHeight w:val="403"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余荣清</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董事长、总经理</w:t>
            </w:r>
          </w:p>
        </w:tc>
      </w:tr>
      <w:tr>
        <w:trPr>
          <w:trHeight w:val="713"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7"/>
        <w:ind w:right="1133"/>
        <w:jc w:val="left"/>
      </w:pPr>
      <w:r>
        <w:rPr/>
        <w:t>控股股东报告期内变更</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340" w:lineRule="auto" w:before="44"/>
        <w:ind w:right="73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3"/>
        <w:rPr>
          <w:rFonts w:ascii="宋体" w:hAnsi="宋体" w:cs="宋体" w:eastAsia="宋体" w:hint="default"/>
          <w:sz w:val="21"/>
          <w:szCs w:val="21"/>
        </w:rPr>
      </w:pPr>
    </w:p>
    <w:p>
      <w:pPr>
        <w:pStyle w:val="Heading3"/>
        <w:spacing w:line="240" w:lineRule="auto" w:before="0"/>
        <w:ind w:right="1133"/>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8414"/>
        <w:jc w:val="left"/>
      </w:pPr>
      <w:r>
        <w:rPr/>
        <w:t>实际控制人性质：境内自然人 实际控制人类型：自然人</w:t>
      </w: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实际控制人姓名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10" w:right="111" w:hanging="901"/>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余荣清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兰山英</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一致行动（含协议、亲属、同 一控制）</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余仲清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一致行动（含协议、亲属、同 一控制）</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孙忠良</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一致行动（含协议、亲属、同 一控制）</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主要职业及职务</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pacing w:val="-3"/>
                <w:sz w:val="18"/>
                <w:szCs w:val="18"/>
              </w:rPr>
              <w:t>余荣清任公司董事长、总经理；兰山英任公司董事、副总经理；余仲清任公司董事、行政管</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理部副经理；孙忠良在公司任销售经理。</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4" w:right="103"/>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right="1133"/>
        <w:jc w:val="left"/>
      </w:pPr>
      <w:r>
        <w:rPr/>
        <w:t>实际控制人报告期内变更</w:t>
      </w:r>
    </w:p>
    <w:p>
      <w:pPr>
        <w:pStyle w:val="BodyText"/>
        <w:spacing w:line="348" w:lineRule="auto" w:before="117"/>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line="240" w:lineRule="auto" w:before="13"/>
        <w:rPr>
          <w:rFonts w:ascii="宋体" w:hAnsi="宋体" w:cs="宋体" w:eastAsia="宋体" w:hint="default"/>
          <w:sz w:val="20"/>
          <w:szCs w:val="20"/>
        </w:rPr>
      </w:pPr>
    </w:p>
    <w:p>
      <w:pPr>
        <w:spacing w:line="4815" w:lineRule="exact"/>
        <w:ind w:left="1355" w:right="0" w:firstLine="0"/>
        <w:rPr>
          <w:rFonts w:ascii="宋体" w:hAnsi="宋体" w:cs="宋体" w:eastAsia="宋体" w:hint="default"/>
          <w:sz w:val="20"/>
          <w:szCs w:val="20"/>
        </w:rPr>
      </w:pPr>
      <w:r>
        <w:rPr>
          <w:rFonts w:ascii="宋体" w:hAnsi="宋体" w:cs="宋体" w:eastAsia="宋体" w:hint="default"/>
          <w:position w:val="-95"/>
          <w:sz w:val="20"/>
          <w:szCs w:val="20"/>
        </w:rPr>
        <w:drawing>
          <wp:inline distT="0" distB="0" distL="0" distR="0">
            <wp:extent cx="4592636" cy="3057525"/>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7" cstate="print"/>
                    <a:stretch>
                      <a:fillRect/>
                    </a:stretch>
                  </pic:blipFill>
                  <pic:spPr>
                    <a:xfrm>
                      <a:off x="0" y="0"/>
                      <a:ext cx="4592636" cy="3057525"/>
                    </a:xfrm>
                    <a:prstGeom prst="rect">
                      <a:avLst/>
                    </a:prstGeom>
                  </pic:spPr>
                </pic:pic>
              </a:graphicData>
            </a:graphic>
          </wp:inline>
        </w:drawing>
      </w:r>
      <w:r>
        <w:rPr>
          <w:rFonts w:ascii="宋体" w:hAnsi="宋体" w:cs="宋体" w:eastAsia="宋体" w:hint="default"/>
          <w:position w:val="-95"/>
          <w:sz w:val="20"/>
          <w:szCs w:val="20"/>
        </w:rPr>
      </w:r>
    </w:p>
    <w:p>
      <w:pPr>
        <w:spacing w:after="0" w:line="4815" w:lineRule="exact"/>
        <w:rPr>
          <w:rFonts w:ascii="宋体" w:hAnsi="宋体" w:cs="宋体" w:eastAsia="宋体" w:hint="default"/>
          <w:sz w:val="20"/>
          <w:szCs w:val="20"/>
        </w:rPr>
        <w:sectPr>
          <w:pgSz w:w="11910" w:h="16840"/>
          <w:pgMar w:header="877" w:footer="980" w:top="1100" w:bottom="1160" w:left="980" w:right="0"/>
        </w:sectPr>
      </w:pPr>
    </w:p>
    <w:p>
      <w:pPr>
        <w:spacing w:line="240" w:lineRule="auto" w:before="13"/>
        <w:rPr>
          <w:rFonts w:ascii="宋体" w:hAnsi="宋体" w:cs="宋体" w:eastAsia="宋体" w:hint="default"/>
          <w:sz w:val="21"/>
          <w:szCs w:val="21"/>
        </w:rPr>
      </w:pPr>
    </w:p>
    <w:p>
      <w:pPr>
        <w:pStyle w:val="BodyText"/>
        <w:spacing w:line="240" w:lineRule="auto" w:before="44"/>
        <w:ind w:right="1133"/>
        <w:jc w:val="left"/>
      </w:pPr>
      <w:r>
        <w:rPr/>
        <w:t>实际控制人通过信托或其他资产管理方式控制公司</w:t>
      </w:r>
    </w:p>
    <w:p>
      <w:pPr>
        <w:spacing w:line="240" w:lineRule="auto" w:before="12"/>
        <w:rPr>
          <w:rFonts w:ascii="宋体" w:hAnsi="宋体" w:cs="宋体" w:eastAsia="宋体" w:hint="default"/>
          <w:sz w:val="20"/>
          <w:szCs w:val="20"/>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before="0"/>
        <w:ind w:right="1133"/>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before="0"/>
        <w:ind w:right="1133"/>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365" w:right="1133"/>
        <w:jc w:val="left"/>
        <w:rPr>
          <w:b w:val="0"/>
          <w:bCs w:val="0"/>
        </w:rPr>
      </w:pPr>
      <w:bookmarkStart w:name="_bookmark6" w:id="7"/>
      <w:bookmarkEnd w:id="7"/>
      <w:r>
        <w:rPr>
          <w:b w:val="0"/>
          <w:bCs w:val="0"/>
        </w:rPr>
      </w:r>
      <w:r>
        <w:rPr/>
        <w:t>第七节优先股相关情况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2723" w:right="1133"/>
        <w:jc w:val="left"/>
        <w:rPr>
          <w:b w:val="0"/>
          <w:bCs w:val="0"/>
        </w:rPr>
      </w:pPr>
      <w:bookmarkStart w:name="_bookmark7" w:id="8"/>
      <w:bookmarkEnd w:id="8"/>
      <w:r>
        <w:rPr>
          <w:b w:val="0"/>
          <w:bCs w:val="0"/>
        </w:rPr>
      </w:r>
      <w:r>
        <w:rPr/>
        <w:t>第八节可转换公司债券相关情况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38"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报告期公司不存在可转换公司债券。</w:t>
      </w:r>
    </w:p>
    <w:p>
      <w:pPr>
        <w:spacing w:after="0" w:line="338"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1758" w:right="1133"/>
        <w:jc w:val="left"/>
        <w:rPr>
          <w:b w:val="0"/>
          <w:bCs w:val="0"/>
        </w:rPr>
      </w:pPr>
      <w:bookmarkStart w:name="_bookmark8" w:id="9"/>
      <w:bookmarkEnd w:id="9"/>
      <w:r>
        <w:rPr>
          <w:b w:val="0"/>
          <w:bCs w:val="0"/>
        </w:rPr>
      </w:r>
      <w:r>
        <w:rPr/>
        <w:t>第九节董事、监事、高级管理人员和员工情况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102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4"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余荣清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124" w:right="31" w:hanging="92"/>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75,886,08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30,354,43</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106,240,5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12</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兰山英</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24" w:right="31" w:hanging="9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13,994,66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5,597,867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19,592,53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张培兴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124" w:right="31" w:hanging="9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808,200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323,280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1,131,480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余仲清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61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2,099,200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839,680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2,938,880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李建康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朱雪珍</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潘晓珍</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高钟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68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魏先锋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徐才英</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孙仕杰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 w:right="0"/>
              <w:jc w:val="center"/>
              <w:rPr>
                <w:rFonts w:ascii="宋体" w:hAnsi="宋体" w:cs="宋体" w:eastAsia="宋体" w:hint="default"/>
                <w:sz w:val="18"/>
                <w:szCs w:val="18"/>
              </w:rPr>
            </w:pPr>
            <w:r>
              <w:rPr>
                <w:rFonts w:ascii="宋体" w:hAnsi="宋体" w:cs="宋体" w:eastAsia="宋体" w:hint="default"/>
                <w:sz w:val="18"/>
                <w:szCs w:val="18"/>
              </w:rPr>
              <w:t>副总经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1299" w:hRule="exact"/>
        </w:trPr>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33" w:right="31"/>
              <w:jc w:val="center"/>
              <w:rPr>
                <w:rFonts w:ascii="宋体" w:hAnsi="宋体" w:cs="宋体" w:eastAsia="宋体" w:hint="default"/>
                <w:sz w:val="18"/>
                <w:szCs w:val="18"/>
              </w:rPr>
            </w:pPr>
            <w:r>
              <w:rPr>
                <w:rFonts w:ascii="宋体" w:hAnsi="宋体" w:cs="宋体" w:eastAsia="宋体" w:hint="default"/>
                <w:sz w:val="18"/>
                <w:szCs w:val="18"/>
              </w:rPr>
              <w:t>理、董事 会秘书、 财务负责 人</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施建豪</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冯芬兰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4" w:right="31" w:hanging="272"/>
              <w:jc w:val="left"/>
              <w:rPr>
                <w:rFonts w:ascii="宋体" w:hAnsi="宋体" w:cs="宋体" w:eastAsia="宋体" w:hint="default"/>
                <w:sz w:val="18"/>
                <w:szCs w:val="18"/>
              </w:rPr>
            </w:pPr>
            <w:r>
              <w:rPr>
                <w:rFonts w:ascii="宋体" w:hAnsi="宋体" w:cs="宋体" w:eastAsia="宋体" w:hint="default"/>
                <w:sz w:val="18"/>
                <w:szCs w:val="18"/>
              </w:rPr>
              <w:t>财务负责 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92,788,14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37,115,25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129,903,4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06</w:t>
            </w:r>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r>
        <w:rPr/>
        <w:t>二、公司董事、监事、高级管理人员变动情况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3"/>
        <w:gridCol w:w="1330"/>
        <w:gridCol w:w="4246"/>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1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孙仕杰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财务负责人</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工作重点的调整</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孙仕杰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91" w:right="26" w:hanging="360"/>
              <w:jc w:val="left"/>
              <w:rPr>
                <w:rFonts w:ascii="宋体" w:hAnsi="宋体" w:cs="宋体" w:eastAsia="宋体" w:hint="default"/>
                <w:sz w:val="18"/>
                <w:szCs w:val="18"/>
              </w:rPr>
            </w:pPr>
            <w:r>
              <w:rPr>
                <w:rFonts w:ascii="宋体" w:hAnsi="宋体" w:cs="宋体" w:eastAsia="宋体" w:hint="default"/>
                <w:sz w:val="18"/>
                <w:szCs w:val="18"/>
              </w:rPr>
              <w:t>副总经理、董事 会秘书</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个人原因辞职，辞职后不再担任公司任何职务。</w:t>
            </w:r>
          </w:p>
        </w:tc>
      </w:tr>
    </w:tbl>
    <w:p>
      <w:pPr>
        <w:spacing w:line="240" w:lineRule="auto" w:before="1"/>
        <w:rPr>
          <w:rFonts w:ascii="宋体" w:hAnsi="宋体" w:cs="宋体" w:eastAsia="宋体" w:hint="default"/>
          <w:sz w:val="18"/>
          <w:szCs w:val="18"/>
        </w:rPr>
      </w:pPr>
    </w:p>
    <w:p>
      <w:pPr>
        <w:pStyle w:val="Heading2"/>
        <w:spacing w:line="240" w:lineRule="auto" w:before="26"/>
        <w:ind w:right="0"/>
        <w:jc w:val="both"/>
        <w:rPr>
          <w:b w:val="0"/>
          <w:bCs w:val="0"/>
        </w:rPr>
      </w:pP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公司现任董事、监事、高级管理人员专业背景、主要工作经历以及目前在公司的主要职责</w:t>
      </w:r>
    </w:p>
    <w:p>
      <w:pPr>
        <w:spacing w:line="240" w:lineRule="auto" w:before="0"/>
        <w:rPr>
          <w:rFonts w:ascii="宋体" w:hAnsi="宋体" w:cs="宋体" w:eastAsia="宋体" w:hint="default"/>
          <w:sz w:val="15"/>
          <w:szCs w:val="15"/>
        </w:rPr>
      </w:pPr>
    </w:p>
    <w:p>
      <w:pPr>
        <w:spacing w:line="477" w:lineRule="auto" w:before="0"/>
        <w:ind w:left="513" w:right="0" w:hanging="361"/>
        <w:jc w:val="left"/>
        <w:rPr>
          <w:rFonts w:ascii="宋体" w:hAnsi="宋体" w:cs="宋体" w:eastAsia="宋体" w:hint="default"/>
          <w:sz w:val="18"/>
          <w:szCs w:val="18"/>
        </w:rPr>
      </w:pPr>
      <w:r>
        <w:rPr>
          <w:rFonts w:ascii="宋体" w:hAnsi="宋体" w:cs="宋体" w:eastAsia="宋体" w:hint="default"/>
          <w:b/>
          <w:bCs/>
          <w:sz w:val="18"/>
          <w:szCs w:val="18"/>
        </w:rPr>
        <w:t>（一）董事会成员简介</w:t>
      </w:r>
      <w:r>
        <w:rPr>
          <w:rFonts w:ascii="宋体" w:hAnsi="宋体" w:cs="宋体" w:eastAsia="宋体" w:hint="default"/>
          <w:b/>
          <w:bCs/>
          <w:w w:val="99"/>
          <w:sz w:val="18"/>
          <w:szCs w:val="18"/>
        </w:rPr>
        <w:t> </w:t>
      </w:r>
      <w:r>
        <w:rPr>
          <w:rFonts w:ascii="宋体" w:hAnsi="宋体" w:cs="宋体" w:eastAsia="宋体" w:hint="default"/>
          <w:b/>
          <w:bCs/>
          <w:spacing w:val="-4"/>
          <w:sz w:val="18"/>
          <w:szCs w:val="18"/>
        </w:rPr>
        <w:t>余荣清</w:t>
      </w:r>
      <w:r>
        <w:rPr>
          <w:rFonts w:ascii="宋体" w:hAnsi="宋体" w:cs="宋体" w:eastAsia="宋体" w:hint="default"/>
          <w:spacing w:val="-4"/>
          <w:sz w:val="18"/>
          <w:szCs w:val="18"/>
        </w:rPr>
        <w:t>：男，</w:t>
      </w:r>
      <w:r>
        <w:rPr>
          <w:rFonts w:ascii="Times New Roman" w:hAnsi="Times New Roman" w:cs="Times New Roman" w:eastAsia="Times New Roman" w:hint="default"/>
          <w:spacing w:val="-4"/>
          <w:sz w:val="18"/>
          <w:szCs w:val="18"/>
        </w:rPr>
        <w:t>1967</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11</w:t>
      </w:r>
      <w:r>
        <w:rPr>
          <w:rFonts w:ascii="宋体" w:hAnsi="宋体" w:cs="宋体" w:eastAsia="宋体" w:hint="default"/>
          <w:spacing w:val="-4"/>
          <w:sz w:val="18"/>
          <w:szCs w:val="18"/>
        </w:rPr>
        <w:t>月出生，中国国籍，无境外永久居留权，理学博士。余荣清先生曾在厦门大学化学系学习与工作，</w:t>
      </w:r>
    </w:p>
    <w:p>
      <w:pPr>
        <w:pStyle w:val="BodyText"/>
        <w:spacing w:line="463" w:lineRule="auto" w:before="21"/>
        <w:ind w:right="1131"/>
        <w:jc w:val="both"/>
      </w:pPr>
      <w:r>
        <w:rPr>
          <w:spacing w:val="-2"/>
        </w:rPr>
        <w:t>先后获理学学士和硕士学位，并留校任讲师从事教学和科研工作，后赴新加坡国立大学深造，并获理学博士学位。博士毕业</w:t>
      </w:r>
      <w:r>
        <w:rPr>
          <w:spacing w:val="-64"/>
        </w:rPr>
        <w:t> </w:t>
      </w:r>
      <w:r>
        <w:rPr>
          <w:spacing w:val="-64"/>
        </w:rPr>
      </w:r>
      <w:r>
        <w:rPr>
          <w:spacing w:val="-2"/>
        </w:rPr>
        <w:t>后，余荣清先生加入三菱信息电子公司，从事研发及生产制程的技术管理工作。</w:t>
      </w:r>
      <w:r>
        <w:rPr>
          <w:rFonts w:ascii="Times New Roman" w:hAnsi="Times New Roman" w:cs="Times New Roman" w:eastAsia="Times New Roman" w:hint="default"/>
          <w:spacing w:val="-2"/>
        </w:rPr>
        <w:t>2002</w:t>
      </w:r>
      <w:r>
        <w:rPr>
          <w:spacing w:val="-2"/>
        </w:rPr>
        <w:t>年，余荣清先生回国创建本公司，现任</w:t>
      </w:r>
      <w:r>
        <w:rPr>
          <w:spacing w:val="-64"/>
        </w:rPr>
        <w:t> </w:t>
      </w:r>
      <w:r>
        <w:rPr>
          <w:spacing w:val="-64"/>
        </w:rPr>
      </w:r>
      <w:r>
        <w:rPr/>
        <w:t>公司董事长兼总经理。</w:t>
      </w:r>
    </w:p>
    <w:p>
      <w:pPr>
        <w:pStyle w:val="BodyText"/>
        <w:spacing w:line="463" w:lineRule="auto" w:before="65"/>
        <w:ind w:right="1130" w:firstLine="360"/>
        <w:jc w:val="both"/>
      </w:pPr>
      <w:r>
        <w:rPr>
          <w:spacing w:val="-2"/>
        </w:rPr>
        <w:t>余荣清博士对有机光电材料、碳纳米材料深有研究，是国内较早进行此方面研究的人员之一，曾在国际重点学术刊物发</w:t>
      </w:r>
      <w:r>
        <w:rPr/>
        <w:t> 表论文，有多篇论文被</w:t>
      </w:r>
      <w:r>
        <w:rPr>
          <w:rFonts w:ascii="Times New Roman" w:hAnsi="Times New Roman" w:cs="Times New Roman" w:eastAsia="Times New Roman" w:hint="default"/>
        </w:rPr>
        <w:t>SCI</w:t>
      </w:r>
      <w:r>
        <w:rPr/>
        <w:t>收录。余荣清先生是全国复印机械标准化技术委员会副主任委员，先后参与多项国家标准与行业</w:t>
      </w:r>
      <w:r>
        <w:rPr>
          <w:w w:val="99"/>
        </w:rPr>
        <w:t> </w:t>
      </w:r>
      <w:r>
        <w:rPr/>
        <w:t>标准的制订工作。</w:t>
      </w:r>
    </w:p>
    <w:p>
      <w:pPr>
        <w:pStyle w:val="BodyText"/>
        <w:spacing w:line="451" w:lineRule="auto" w:before="65"/>
        <w:ind w:right="1129" w:firstLine="360"/>
        <w:jc w:val="left"/>
      </w:pPr>
      <w:r>
        <w:rPr>
          <w:spacing w:val="-1"/>
        </w:rPr>
        <w:t>余荣清博士先后获得</w:t>
      </w:r>
      <w:r>
        <w:rPr>
          <w:rFonts w:ascii="Times New Roman" w:hAnsi="Times New Roman" w:cs="Times New Roman" w:eastAsia="Times New Roman" w:hint="default"/>
          <w:spacing w:val="-1"/>
        </w:rPr>
        <w:t>“</w:t>
      </w:r>
      <w:r>
        <w:rPr>
          <w:spacing w:val="-1"/>
        </w:rPr>
        <w:t>国家科技创新创业人才</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江苏省新长征突击手</w:t>
      </w:r>
      <w:r>
        <w:rPr>
          <w:rFonts w:ascii="Times New Roman" w:hAnsi="Times New Roman" w:cs="Times New Roman" w:eastAsia="Times New Roman" w:hint="default"/>
          <w:spacing w:val="-1"/>
        </w:rPr>
        <w:t>”</w:t>
      </w:r>
      <w:r>
        <w:rPr>
          <w:spacing w:val="-1"/>
        </w:rPr>
        <w:t>、江苏省</w:t>
      </w:r>
      <w:r>
        <w:rPr>
          <w:rFonts w:ascii="Times New Roman" w:hAnsi="Times New Roman" w:cs="Times New Roman" w:eastAsia="Times New Roman" w:hint="default"/>
          <w:spacing w:val="-1"/>
        </w:rPr>
        <w:t>“333</w:t>
      </w:r>
      <w:r>
        <w:rPr>
          <w:spacing w:val="-1"/>
        </w:rPr>
        <w:t>高层次人才培养工程首批中青年科</w:t>
      </w:r>
      <w:r>
        <w:rPr/>
        <w:t> 学技术带头人</w:t>
      </w:r>
      <w:r>
        <w:rPr>
          <w:rFonts w:ascii="Times New Roman" w:hAnsi="Times New Roman" w:cs="Times New Roman" w:eastAsia="Times New Roman" w:hint="default"/>
        </w:rPr>
        <w:t>”</w:t>
      </w:r>
      <w:r>
        <w:rPr/>
        <w:t>、</w:t>
      </w:r>
      <w:r>
        <w:rPr>
          <w:spacing w:val="-18"/>
        </w:rPr>
        <w:t> </w:t>
      </w:r>
      <w:r>
        <w:rPr>
          <w:rFonts w:ascii="Times New Roman" w:hAnsi="Times New Roman" w:cs="Times New Roman" w:eastAsia="Times New Roman" w:hint="default"/>
        </w:rPr>
        <w:t>“</w:t>
      </w:r>
      <w:r>
        <w:rPr/>
        <w:t>十五江苏省技术进步先进工作者</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第八届江苏省优秀科技工作者</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江苏省首批高层次创新创业拨尖 人才</w:t>
      </w:r>
      <w:r>
        <w:rPr>
          <w:rFonts w:ascii="Times New Roman" w:hAnsi="Times New Roman" w:cs="Times New Roman" w:eastAsia="Times New Roman" w:hint="default"/>
        </w:rPr>
        <w:t>”</w:t>
      </w:r>
      <w:r>
        <w:rPr/>
        <w:t>等荣誉，任苏州市政协第十四届委员会委员。</w:t>
      </w:r>
    </w:p>
    <w:p>
      <w:pPr>
        <w:pStyle w:val="BodyText"/>
        <w:spacing w:line="240" w:lineRule="auto" w:before="43"/>
        <w:ind w:left="513" w:right="0"/>
        <w:jc w:val="left"/>
      </w:pPr>
      <w:r>
        <w:rPr>
          <w:rFonts w:ascii="宋体" w:hAnsi="宋体" w:cs="宋体" w:eastAsia="宋体" w:hint="default"/>
          <w:b/>
          <w:bCs/>
        </w:rPr>
        <w:t>兰山英</w:t>
      </w:r>
      <w:r>
        <w:rPr/>
        <w:t>：女，</w:t>
      </w:r>
      <w:r>
        <w:rPr>
          <w:rFonts w:ascii="Times New Roman" w:hAnsi="Times New Roman" w:cs="Times New Roman" w:eastAsia="Times New Roman" w:hint="default"/>
        </w:rPr>
        <w:t>1968</w:t>
      </w:r>
      <w:r>
        <w:rPr/>
        <w:t>年</w:t>
      </w:r>
      <w:r>
        <w:rPr>
          <w:rFonts w:ascii="Times New Roman" w:hAnsi="Times New Roman" w:cs="Times New Roman" w:eastAsia="Times New Roman" w:hint="default"/>
        </w:rPr>
        <w:t>12</w:t>
      </w:r>
      <w:r>
        <w:rPr/>
        <w:t>月出生，中国国籍，无境外永久居留权，本科学历，毕业于厦门大学中文系。曾先后在厦门和新</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7"/>
          <w:szCs w:val="27"/>
        </w:rPr>
      </w:pPr>
    </w:p>
    <w:p>
      <w:pPr>
        <w:pStyle w:val="BodyText"/>
        <w:spacing w:line="451" w:lineRule="auto" w:before="44"/>
        <w:ind w:left="513" w:right="1121" w:hanging="361"/>
        <w:jc w:val="left"/>
      </w:pPr>
      <w:r>
        <w:rPr/>
        <w:t>加坡从事行政管理、贸易及杂志出版等工作。</w:t>
      </w:r>
      <w:r>
        <w:rPr>
          <w:rFonts w:ascii="Times New Roman" w:hAnsi="Times New Roman" w:cs="Times New Roman" w:eastAsia="Times New Roman" w:hint="default"/>
        </w:rPr>
        <w:t>2002</w:t>
      </w:r>
      <w:r>
        <w:rPr/>
        <w:t>年至今任职于本公司，现为公司董事、副总经理。 </w:t>
      </w:r>
      <w:r>
        <w:rPr>
          <w:rFonts w:ascii="宋体" w:hAnsi="宋体" w:cs="宋体" w:eastAsia="宋体" w:hint="default"/>
          <w:b/>
          <w:bCs/>
        </w:rPr>
        <w:t>张培兴</w:t>
      </w:r>
      <w:r>
        <w:rPr/>
        <w:t>：男，</w:t>
      </w:r>
      <w:r>
        <w:rPr>
          <w:rFonts w:ascii="Times New Roman" w:hAnsi="Times New Roman" w:cs="Times New Roman" w:eastAsia="Times New Roman" w:hint="default"/>
        </w:rPr>
        <w:t>1963</w:t>
      </w:r>
      <w:r>
        <w:rPr/>
        <w:t>年</w:t>
      </w:r>
      <w:r>
        <w:rPr>
          <w:rFonts w:ascii="Times New Roman" w:hAnsi="Times New Roman" w:cs="Times New Roman" w:eastAsia="Times New Roman" w:hint="default"/>
        </w:rPr>
        <w:t>1</w:t>
      </w:r>
      <w:r>
        <w:rPr/>
        <w:t>月出生，中国国籍，无境外永久居留权，本科学历，毕业于四川大学化学系。曾先后在江苏泰州</w:t>
      </w:r>
    </w:p>
    <w:p>
      <w:pPr>
        <w:pStyle w:val="BodyText"/>
        <w:spacing w:line="451" w:lineRule="auto" w:before="43"/>
        <w:ind w:right="1129"/>
        <w:jc w:val="left"/>
      </w:pPr>
      <w:r>
        <w:rPr>
          <w:spacing w:val="-2"/>
        </w:rPr>
        <w:t>微生物化学制药厂、开封赵州桥生物化学厂等单位工作，担任过总工程师、副厂长、副总经理等职务。</w:t>
      </w:r>
      <w:r>
        <w:rPr>
          <w:rFonts w:ascii="Times New Roman" w:hAnsi="Times New Roman" w:cs="Times New Roman" w:eastAsia="Times New Roman" w:hint="default"/>
          <w:spacing w:val="-2"/>
        </w:rPr>
        <w:t>2002</w:t>
      </w:r>
      <w:r>
        <w:rPr>
          <w:spacing w:val="-2"/>
        </w:rPr>
        <w:t>年至今任职于本</w:t>
      </w:r>
      <w:r>
        <w:rPr>
          <w:spacing w:val="-64"/>
        </w:rPr>
        <w:t> </w:t>
      </w:r>
      <w:r>
        <w:rPr>
          <w:spacing w:val="-64"/>
        </w:rPr>
      </w:r>
      <w:r>
        <w:rPr/>
        <w:t>公司，现为公司董事、副总经理。</w:t>
      </w:r>
    </w:p>
    <w:p>
      <w:pPr>
        <w:pStyle w:val="BodyText"/>
        <w:spacing w:line="451" w:lineRule="auto" w:before="74"/>
        <w:ind w:right="1139" w:firstLine="360"/>
        <w:jc w:val="both"/>
      </w:pPr>
      <w:r>
        <w:rPr>
          <w:rFonts w:ascii="宋体" w:hAnsi="宋体" w:cs="宋体" w:eastAsia="宋体" w:hint="default"/>
          <w:b/>
          <w:bCs/>
        </w:rPr>
        <w:t>余仲清</w:t>
      </w:r>
      <w:r>
        <w:rPr/>
        <w:t>：男，</w:t>
      </w:r>
      <w:r>
        <w:rPr>
          <w:rFonts w:ascii="Times New Roman" w:hAnsi="Times New Roman" w:cs="Times New Roman" w:eastAsia="Times New Roman" w:hint="default"/>
        </w:rPr>
        <w:t>1959</w:t>
      </w:r>
      <w:r>
        <w:rPr/>
        <w:t>年</w:t>
      </w:r>
      <w:r>
        <w:rPr>
          <w:rFonts w:ascii="Times New Roman" w:hAnsi="Times New Roman" w:cs="Times New Roman" w:eastAsia="Times New Roman" w:hint="default"/>
        </w:rPr>
        <w:t>7</w:t>
      </w:r>
      <w:r>
        <w:rPr/>
        <w:t>月，中国国籍，无境外永久居留权。余仲清先生先后在张家港德丰租赁站和张家港市天铭纺织印 染有限公司从事行政后勤管理工作。</w:t>
      </w:r>
      <w:r>
        <w:rPr>
          <w:rFonts w:ascii="Times New Roman" w:hAnsi="Times New Roman" w:cs="Times New Roman" w:eastAsia="Times New Roman" w:hint="default"/>
        </w:rPr>
        <w:t>2004</w:t>
      </w:r>
      <w:r>
        <w:rPr/>
        <w:t>年至今任职于本公司，现为公司董事、行政管理部副经理。</w:t>
      </w:r>
    </w:p>
    <w:p>
      <w:pPr>
        <w:pStyle w:val="BodyText"/>
        <w:spacing w:line="451" w:lineRule="auto" w:before="43"/>
        <w:ind w:right="1043" w:firstLine="360"/>
        <w:jc w:val="both"/>
      </w:pPr>
      <w:r>
        <w:rPr>
          <w:rFonts w:ascii="宋体" w:hAnsi="宋体" w:cs="宋体" w:eastAsia="宋体" w:hint="default"/>
          <w:b/>
          <w:bCs/>
          <w:spacing w:val="-4"/>
        </w:rPr>
        <w:t>李建康</w:t>
      </w:r>
      <w:r>
        <w:rPr>
          <w:spacing w:val="-4"/>
        </w:rPr>
        <w:t>：男，</w:t>
      </w:r>
      <w:r>
        <w:rPr>
          <w:rFonts w:ascii="Times New Roman" w:hAnsi="Times New Roman" w:cs="Times New Roman" w:eastAsia="Times New Roman" w:hint="default"/>
          <w:spacing w:val="-4"/>
        </w:rPr>
        <w:t>1966</w:t>
      </w:r>
      <w:r>
        <w:rPr>
          <w:spacing w:val="-4"/>
        </w:rPr>
        <w:t>年</w:t>
      </w:r>
      <w:r>
        <w:rPr>
          <w:rFonts w:ascii="Times New Roman" w:hAnsi="Times New Roman" w:cs="Times New Roman" w:eastAsia="Times New Roman" w:hint="default"/>
          <w:spacing w:val="-4"/>
        </w:rPr>
        <w:t>10</w:t>
      </w:r>
      <w:r>
        <w:rPr>
          <w:spacing w:val="-4"/>
        </w:rPr>
        <w:t>月出生，中国国籍，无境外永久居留权，获西安交通大学微电子学与固体电子学博士学位，教授。</w:t>
      </w:r>
      <w:r>
        <w:rPr/>
        <w:t> 曾先后在太原理工大学、苏州科技学院任教；</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月至今在苏州市职业大学任教。现为公司独立董事。</w:t>
      </w:r>
    </w:p>
    <w:p>
      <w:pPr>
        <w:pStyle w:val="BodyText"/>
        <w:spacing w:line="451" w:lineRule="auto" w:before="43"/>
        <w:ind w:right="1136" w:firstLine="360"/>
        <w:jc w:val="both"/>
      </w:pPr>
      <w:r>
        <w:rPr>
          <w:rFonts w:ascii="宋体" w:hAnsi="宋体" w:cs="宋体" w:eastAsia="宋体" w:hint="default"/>
          <w:b/>
          <w:bCs/>
        </w:rPr>
        <w:t>朱雪珍</w:t>
      </w:r>
      <w:r>
        <w:rPr/>
        <w:t>：女</w:t>
      </w:r>
      <w:r>
        <w:rPr>
          <w:rFonts w:ascii="Times New Roman" w:hAnsi="Times New Roman" w:cs="Times New Roman" w:eastAsia="Times New Roman" w:hint="default"/>
        </w:rPr>
        <w:t>,1966</w:t>
      </w:r>
      <w:r>
        <w:rPr/>
        <w:t>年</w:t>
      </w:r>
      <w:r>
        <w:rPr>
          <w:rFonts w:ascii="Times New Roman" w:hAnsi="Times New Roman" w:cs="Times New Roman" w:eastAsia="Times New Roman" w:hint="default"/>
        </w:rPr>
        <w:t>5</w:t>
      </w:r>
      <w:r>
        <w:rPr/>
        <w:t>月出生，中国国籍</w:t>
      </w:r>
      <w:r>
        <w:rPr>
          <w:rFonts w:ascii="Times New Roman" w:hAnsi="Times New Roman" w:cs="Times New Roman" w:eastAsia="Times New Roman" w:hint="default"/>
        </w:rPr>
        <w:t>,</w:t>
      </w:r>
      <w:r>
        <w:rPr/>
        <w:t>无境外永久居留权</w:t>
      </w:r>
      <w:r>
        <w:rPr>
          <w:rFonts w:ascii="Times New Roman" w:hAnsi="Times New Roman" w:cs="Times New Roman" w:eastAsia="Times New Roman" w:hint="default"/>
        </w:rPr>
        <w:t>,</w:t>
      </w:r>
      <w:r>
        <w:rPr/>
        <w:t>获复旦大学经济学硕士学位</w:t>
      </w:r>
      <w:r>
        <w:rPr>
          <w:rFonts w:ascii="Times New Roman" w:hAnsi="Times New Roman" w:cs="Times New Roman" w:eastAsia="Times New Roman" w:hint="default"/>
        </w:rPr>
        <w:t>,</w:t>
      </w:r>
      <w:r>
        <w:rPr/>
        <w:t>副教授。曾任苏州丝绸工学院实 验总厂工程师、主办会计；</w:t>
      </w:r>
      <w:r>
        <w:rPr>
          <w:rFonts w:ascii="Times New Roman" w:hAnsi="Times New Roman" w:cs="Times New Roman" w:eastAsia="Times New Roman" w:hint="default"/>
        </w:rPr>
        <w:t>1998</w:t>
      </w:r>
      <w:r>
        <w:rPr/>
        <w:t>年至今于苏州大学东吴商学院任教。现为公司独立董事。</w:t>
      </w:r>
    </w:p>
    <w:p>
      <w:pPr>
        <w:pStyle w:val="BodyText"/>
        <w:spacing w:line="451" w:lineRule="auto" w:before="43"/>
        <w:ind w:right="1041" w:firstLine="360"/>
        <w:jc w:val="both"/>
      </w:pPr>
      <w:r>
        <w:rPr>
          <w:rFonts w:ascii="宋体" w:hAnsi="宋体" w:cs="宋体" w:eastAsia="宋体" w:hint="default"/>
          <w:b/>
          <w:bCs/>
          <w:spacing w:val="-4"/>
        </w:rPr>
        <w:t>潘晓珍</w:t>
      </w:r>
      <w:r>
        <w:rPr>
          <w:spacing w:val="-4"/>
        </w:rPr>
        <w:t>：女，</w:t>
      </w:r>
      <w:r>
        <w:rPr>
          <w:rFonts w:ascii="Times New Roman" w:hAnsi="Times New Roman" w:cs="Times New Roman" w:eastAsia="Times New Roman" w:hint="default"/>
          <w:spacing w:val="-4"/>
        </w:rPr>
        <w:t>1964</w:t>
      </w:r>
      <w:r>
        <w:rPr>
          <w:spacing w:val="-4"/>
        </w:rPr>
        <w:t>年</w:t>
      </w:r>
      <w:r>
        <w:rPr>
          <w:rFonts w:ascii="Times New Roman" w:hAnsi="Times New Roman" w:cs="Times New Roman" w:eastAsia="Times New Roman" w:hint="default"/>
          <w:spacing w:val="-4"/>
        </w:rPr>
        <w:t>10</w:t>
      </w:r>
      <w:r>
        <w:rPr>
          <w:spacing w:val="-4"/>
        </w:rPr>
        <w:t>月出生，中国国籍，无境外永久居留权，法学博士。曾任安徽教育学院黄山分校（休宁师范学校）</w:t>
      </w:r>
      <w:r>
        <w:rPr/>
        <w:t> </w:t>
      </w:r>
      <w:r>
        <w:rPr>
          <w:spacing w:val="-1"/>
        </w:rPr>
        <w:t>讲师；</w:t>
      </w:r>
      <w:r>
        <w:rPr>
          <w:rFonts w:ascii="Times New Roman" w:hAnsi="Times New Roman" w:cs="Times New Roman" w:eastAsia="Times New Roman" w:hint="default"/>
          <w:spacing w:val="-1"/>
        </w:rPr>
        <w:t>1996</w:t>
      </w:r>
      <w:r>
        <w:rPr>
          <w:spacing w:val="-1"/>
        </w:rPr>
        <w:t>年</w:t>
      </w:r>
      <w:r>
        <w:rPr>
          <w:rFonts w:ascii="Times New Roman" w:hAnsi="Times New Roman" w:cs="Times New Roman" w:eastAsia="Times New Roman" w:hint="default"/>
          <w:spacing w:val="-1"/>
        </w:rPr>
        <w:t>-2019</w:t>
      </w:r>
      <w:r>
        <w:rPr>
          <w:spacing w:val="-1"/>
        </w:rPr>
        <w:t>年于苏州大学政治与公共管理学院任教；现为北京市盈科（苏州）律师事务所专职律师、公司独立董事。</w:t>
      </w:r>
    </w:p>
    <w:p>
      <w:pPr>
        <w:pStyle w:val="BodyText"/>
        <w:spacing w:line="477" w:lineRule="auto" w:before="43"/>
        <w:ind w:left="513" w:right="1122" w:hanging="361"/>
        <w:jc w:val="left"/>
      </w:pPr>
      <w:r>
        <w:rPr>
          <w:rFonts w:ascii="宋体" w:hAnsi="宋体" w:cs="宋体" w:eastAsia="宋体" w:hint="default"/>
          <w:b/>
          <w:bCs/>
        </w:rPr>
        <w:t>（二）监事会成员简介</w:t>
      </w:r>
      <w:r>
        <w:rPr>
          <w:rFonts w:ascii="宋体" w:hAnsi="宋体" w:cs="宋体" w:eastAsia="宋体" w:hint="default"/>
          <w:b/>
          <w:bCs/>
          <w:w w:val="99"/>
        </w:rPr>
        <w:t> </w:t>
      </w:r>
      <w:r>
        <w:rPr>
          <w:rFonts w:ascii="宋体" w:hAnsi="宋体" w:cs="宋体" w:eastAsia="宋体" w:hint="default"/>
          <w:b/>
          <w:bCs/>
        </w:rPr>
        <w:t>高钟</w:t>
      </w:r>
      <w:r>
        <w:rPr/>
        <w:t>：男，</w:t>
      </w:r>
      <w:r>
        <w:rPr>
          <w:rFonts w:ascii="Times New Roman" w:hAnsi="Times New Roman" w:cs="Times New Roman" w:eastAsia="Times New Roman" w:hint="default"/>
        </w:rPr>
        <w:t>1952</w:t>
      </w:r>
      <w:r>
        <w:rPr/>
        <w:t>年</w:t>
      </w:r>
      <w:r>
        <w:rPr>
          <w:rFonts w:ascii="Times New Roman" w:hAnsi="Times New Roman" w:cs="Times New Roman" w:eastAsia="Times New Roman" w:hint="default"/>
        </w:rPr>
        <w:t>8</w:t>
      </w:r>
      <w:r>
        <w:rPr/>
        <w:t>月出生，中国国籍，无境外永久居留权，获华中师范大学历史学博士学位。曾任湖北电视大学冶钢</w:t>
      </w:r>
    </w:p>
    <w:p>
      <w:pPr>
        <w:pStyle w:val="BodyText"/>
        <w:spacing w:line="477" w:lineRule="auto" w:before="21"/>
        <w:ind w:right="1133"/>
        <w:jc w:val="left"/>
      </w:pPr>
      <w:r>
        <w:rPr>
          <w:spacing w:val="-2"/>
        </w:rPr>
        <w:t>集团分校助教、讲师，湖北省冶钢集团劳服科技有限公司董事长，湖北师范大学政法经济系副教授、教授，苏州科技大学人</w:t>
      </w:r>
      <w:r>
        <w:rPr>
          <w:spacing w:val="-67"/>
        </w:rPr>
        <w:t> </w:t>
      </w:r>
      <w:r>
        <w:rPr>
          <w:spacing w:val="-67"/>
        </w:rPr>
      </w:r>
      <w:r>
        <w:rPr/>
        <w:t>文学院社会学系教授。现任苏州市吴中区仁慧社会工作服务中心中心督导。现为公司监事。</w:t>
      </w:r>
    </w:p>
    <w:p>
      <w:pPr>
        <w:pStyle w:val="BodyText"/>
        <w:spacing w:line="451" w:lineRule="auto" w:before="54"/>
        <w:ind w:right="1131" w:firstLine="360"/>
        <w:jc w:val="both"/>
      </w:pPr>
      <w:r>
        <w:rPr>
          <w:rFonts w:ascii="宋体" w:hAnsi="宋体" w:cs="宋体" w:eastAsia="宋体" w:hint="default"/>
          <w:b/>
          <w:bCs/>
          <w:spacing w:val="-2"/>
        </w:rPr>
        <w:t>魏先锋</w:t>
      </w:r>
      <w:r>
        <w:rPr>
          <w:spacing w:val="-2"/>
        </w:rPr>
        <w:t>：男，</w:t>
      </w:r>
      <w:r>
        <w:rPr>
          <w:rFonts w:ascii="Times New Roman" w:hAnsi="Times New Roman" w:cs="Times New Roman" w:eastAsia="Times New Roman" w:hint="default"/>
          <w:spacing w:val="-2"/>
        </w:rPr>
        <w:t>1975</w:t>
      </w:r>
      <w:r>
        <w:rPr>
          <w:spacing w:val="-2"/>
        </w:rPr>
        <w:t>年</w:t>
      </w:r>
      <w:r>
        <w:rPr>
          <w:rFonts w:ascii="Times New Roman" w:hAnsi="Times New Roman" w:cs="Times New Roman" w:eastAsia="Times New Roman" w:hint="default"/>
          <w:spacing w:val="-2"/>
        </w:rPr>
        <w:t>11</w:t>
      </w:r>
      <w:r>
        <w:rPr>
          <w:spacing w:val="-2"/>
        </w:rPr>
        <w:t>月出生，中国国籍，无境外永久居留权，本科学历，毕业于安徽工业大学。曾任华硕电脑集团百</w:t>
      </w:r>
      <w:r>
        <w:rPr/>
        <w:t> 硕电脑有限公司制程课工程师；</w:t>
      </w:r>
      <w:r>
        <w:rPr>
          <w:rFonts w:ascii="Times New Roman" w:hAnsi="Times New Roman" w:cs="Times New Roman" w:eastAsia="Times New Roman" w:hint="default"/>
        </w:rPr>
        <w:t>AEM</w:t>
      </w:r>
      <w:r>
        <w:rPr/>
        <w:t>科技（苏州）股份有限公司工艺工程师、主管、监事等职务；</w:t>
      </w:r>
      <w:r>
        <w:rPr>
          <w:rFonts w:ascii="Times New Roman" w:hAnsi="Times New Roman" w:cs="Times New Roman" w:eastAsia="Times New Roman" w:hint="default"/>
        </w:rPr>
        <w:t>2011</w:t>
      </w:r>
      <w:r>
        <w:rPr/>
        <w:t>年至今任职于本公 司，现为公司监事、制造管理部总监。</w:t>
      </w:r>
    </w:p>
    <w:p>
      <w:pPr>
        <w:pStyle w:val="BodyText"/>
        <w:spacing w:line="451" w:lineRule="auto" w:before="74"/>
        <w:ind w:right="1034" w:firstLine="360"/>
        <w:jc w:val="left"/>
      </w:pPr>
      <w:r>
        <w:rPr>
          <w:rFonts w:ascii="宋体" w:hAnsi="宋体" w:cs="宋体" w:eastAsia="宋体" w:hint="default"/>
          <w:b/>
          <w:bCs/>
        </w:rPr>
        <w:t>徐才英</w:t>
      </w:r>
      <w:r>
        <w:rPr/>
        <w:t>：女，</w:t>
      </w:r>
      <w:r>
        <w:rPr>
          <w:rFonts w:ascii="Times New Roman" w:hAnsi="Times New Roman" w:cs="Times New Roman" w:eastAsia="Times New Roman" w:hint="default"/>
        </w:rPr>
        <w:t>1979</w:t>
      </w:r>
      <w:r>
        <w:rPr/>
        <w:t>年</w:t>
      </w:r>
      <w:r>
        <w:rPr>
          <w:rFonts w:ascii="Times New Roman" w:hAnsi="Times New Roman" w:cs="Times New Roman" w:eastAsia="Times New Roman" w:hint="default"/>
        </w:rPr>
        <w:t>1</w:t>
      </w:r>
      <w:r>
        <w:rPr/>
        <w:t>月出生，中国国籍，无境外永久居留权，本科学历。先后任职于劲佳光电（昆山）有限公司、恩 而希光电（苏州）有限公司等公司，担任助理工程师和高级工程师等职务，</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11</w:t>
      </w:r>
      <w:r>
        <w:rPr/>
        <w:t>月至今任职于本公司，现为公司监事、 生产部副经理。</w:t>
      </w:r>
    </w:p>
    <w:p>
      <w:pPr>
        <w:spacing w:line="477" w:lineRule="auto" w:before="74"/>
        <w:ind w:left="513" w:right="6071" w:hanging="361"/>
        <w:jc w:val="left"/>
        <w:rPr>
          <w:rFonts w:ascii="宋体" w:hAnsi="宋体" w:cs="宋体" w:eastAsia="宋体" w:hint="default"/>
          <w:sz w:val="18"/>
          <w:szCs w:val="18"/>
        </w:rPr>
      </w:pPr>
      <w:r>
        <w:rPr>
          <w:rFonts w:ascii="宋体" w:hAnsi="宋体" w:cs="宋体" w:eastAsia="宋体" w:hint="default"/>
          <w:b/>
          <w:bCs/>
          <w:sz w:val="18"/>
          <w:szCs w:val="18"/>
        </w:rPr>
        <w:t>（三）高级管理人员简介</w:t>
      </w:r>
      <w:r>
        <w:rPr>
          <w:rFonts w:ascii="宋体" w:hAnsi="宋体" w:cs="宋体" w:eastAsia="宋体" w:hint="default"/>
          <w:b/>
          <w:bCs/>
          <w:w w:val="99"/>
          <w:sz w:val="18"/>
          <w:szCs w:val="18"/>
        </w:rPr>
        <w:t> </w:t>
      </w:r>
      <w:r>
        <w:rPr>
          <w:rFonts w:ascii="宋体" w:hAnsi="宋体" w:cs="宋体" w:eastAsia="宋体" w:hint="default"/>
          <w:b/>
          <w:bCs/>
          <w:sz w:val="18"/>
          <w:szCs w:val="18"/>
        </w:rPr>
        <w:t>余荣清</w:t>
      </w:r>
      <w:r>
        <w:rPr>
          <w:rFonts w:ascii="宋体" w:hAnsi="宋体" w:cs="宋体" w:eastAsia="宋体" w:hint="default"/>
          <w:sz w:val="18"/>
          <w:szCs w:val="18"/>
        </w:rPr>
        <w:t>：现任公司总经理，详见董事主要工作经历。 </w:t>
      </w:r>
      <w:r>
        <w:rPr>
          <w:rFonts w:ascii="宋体" w:hAnsi="宋体" w:cs="宋体" w:eastAsia="宋体" w:hint="default"/>
          <w:b/>
          <w:bCs/>
          <w:sz w:val="18"/>
          <w:szCs w:val="18"/>
        </w:rPr>
        <w:t>兰山英</w:t>
      </w:r>
      <w:r>
        <w:rPr>
          <w:rFonts w:ascii="宋体" w:hAnsi="宋体" w:cs="宋体" w:eastAsia="宋体" w:hint="default"/>
          <w:sz w:val="18"/>
          <w:szCs w:val="18"/>
        </w:rPr>
        <w:t>：现任公司副总经理，详见董事主要工作经历。 </w:t>
      </w:r>
      <w:r>
        <w:rPr>
          <w:rFonts w:ascii="宋体" w:hAnsi="宋体" w:cs="宋体" w:eastAsia="宋体" w:hint="default"/>
          <w:b/>
          <w:bCs/>
          <w:sz w:val="18"/>
          <w:szCs w:val="18"/>
        </w:rPr>
        <w:t>张培兴</w:t>
      </w:r>
      <w:r>
        <w:rPr>
          <w:rFonts w:ascii="宋体" w:hAnsi="宋体" w:cs="宋体" w:eastAsia="宋体" w:hint="default"/>
          <w:sz w:val="18"/>
          <w:szCs w:val="18"/>
        </w:rPr>
        <w:t>：现任公司副总经理，详见董事主要工作经历。</w:t>
      </w:r>
    </w:p>
    <w:p>
      <w:pPr>
        <w:pStyle w:val="BodyText"/>
        <w:spacing w:line="463" w:lineRule="auto" w:before="54"/>
        <w:ind w:right="1135" w:firstLine="360"/>
        <w:jc w:val="both"/>
      </w:pPr>
      <w:r>
        <w:rPr>
          <w:rFonts w:ascii="宋体" w:hAnsi="宋体" w:cs="宋体" w:eastAsia="宋体" w:hint="default"/>
          <w:b/>
          <w:bCs/>
        </w:rPr>
        <w:t>施建豪</w:t>
      </w:r>
      <w:r>
        <w:rPr/>
        <w:t>：男，</w:t>
      </w:r>
      <w:r>
        <w:rPr>
          <w:rFonts w:ascii="Times New Roman" w:hAnsi="Times New Roman" w:cs="Times New Roman" w:eastAsia="Times New Roman" w:hint="default"/>
        </w:rPr>
        <w:t>1965</w:t>
      </w:r>
      <w:r>
        <w:rPr/>
        <w:t>年</w:t>
      </w:r>
      <w:r>
        <w:rPr>
          <w:rFonts w:ascii="Times New Roman" w:hAnsi="Times New Roman" w:cs="Times New Roman" w:eastAsia="Times New Roman" w:hint="default"/>
        </w:rPr>
        <w:t>2</w:t>
      </w:r>
      <w:r>
        <w:rPr/>
        <w:t>月出生，中国国籍，无境外永久居留权，本科学历，高级经济师。先后于苏州开关厂、苏州阿尔 </w:t>
      </w:r>
      <w:r>
        <w:rPr>
          <w:spacing w:val="-2"/>
        </w:rPr>
        <w:t>斯通开关有限公司、苏州小羚羊电动车有限公司等公司历任厂办秘书、团委书记、合同执行科科长、生产部副经理、总经理</w:t>
      </w:r>
      <w:r>
        <w:rPr>
          <w:spacing w:val="-67"/>
        </w:rPr>
        <w:t> </w:t>
      </w:r>
      <w:r>
        <w:rPr>
          <w:spacing w:val="-67"/>
        </w:rPr>
      </w:r>
      <w:r>
        <w:rPr/>
        <w:t>等职务；</w:t>
      </w:r>
      <w:r>
        <w:rPr>
          <w:rFonts w:ascii="Times New Roman" w:hAnsi="Times New Roman" w:cs="Times New Roman" w:eastAsia="Times New Roman" w:hint="default"/>
        </w:rPr>
        <w:t>2012</w:t>
      </w:r>
      <w:r>
        <w:rPr/>
        <w:t>年至今任职于本公司，现为公司副总经理。</w:t>
      </w:r>
    </w:p>
    <w:p>
      <w:pPr>
        <w:pStyle w:val="BodyText"/>
        <w:spacing w:line="240" w:lineRule="auto" w:before="33"/>
        <w:ind w:left="513" w:right="0"/>
        <w:jc w:val="left"/>
      </w:pPr>
      <w:r>
        <w:rPr>
          <w:rFonts w:ascii="宋体" w:hAnsi="宋体" w:cs="宋体" w:eastAsia="宋体" w:hint="default"/>
          <w:b/>
          <w:bCs/>
        </w:rPr>
        <w:t>冯芬兰</w:t>
      </w:r>
      <w:r>
        <w:rPr/>
        <w:t>：女，</w:t>
      </w:r>
      <w:r>
        <w:rPr>
          <w:rFonts w:ascii="Times New Roman" w:hAnsi="Times New Roman" w:cs="Times New Roman" w:eastAsia="Times New Roman" w:hint="default"/>
        </w:rPr>
        <w:t>1971</w:t>
      </w:r>
      <w:r>
        <w:rPr/>
        <w:t>年</w:t>
      </w:r>
      <w:r>
        <w:rPr>
          <w:rFonts w:ascii="Times New Roman" w:hAnsi="Times New Roman" w:cs="Times New Roman" w:eastAsia="Times New Roman" w:hint="default"/>
        </w:rPr>
        <w:t>4</w:t>
      </w:r>
      <w:r>
        <w:rPr/>
        <w:t>月出生，中国国籍，无境外永久居留权，大专学历，中级会计师。</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3</w:t>
      </w:r>
      <w:r>
        <w:rPr/>
        <w:t>月任瑞芳</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7"/>
          <w:szCs w:val="27"/>
        </w:rPr>
      </w:pPr>
    </w:p>
    <w:p>
      <w:pPr>
        <w:pStyle w:val="BodyText"/>
        <w:spacing w:line="451" w:lineRule="auto" w:before="44"/>
        <w:ind w:right="1131"/>
        <w:jc w:val="both"/>
      </w:pPr>
      <w:r>
        <w:rPr>
          <w:spacing w:val="-2"/>
        </w:rPr>
        <w:t>电子</w:t>
      </w:r>
      <w:r>
        <w:rPr>
          <w:rFonts w:ascii="宋体" w:hAnsi="宋体" w:cs="宋体" w:eastAsia="宋体" w:hint="default"/>
          <w:spacing w:val="-2"/>
        </w:rPr>
        <w:t>(</w:t>
      </w:r>
      <w:r>
        <w:rPr>
          <w:spacing w:val="-2"/>
        </w:rPr>
        <w:t>苏州</w:t>
      </w:r>
      <w:r>
        <w:rPr>
          <w:rFonts w:ascii="宋体" w:hAnsi="宋体" w:cs="宋体" w:eastAsia="宋体" w:hint="default"/>
          <w:spacing w:val="-2"/>
        </w:rPr>
        <w:t>)</w:t>
      </w:r>
      <w:r>
        <w:rPr>
          <w:spacing w:val="-2"/>
        </w:rPr>
        <w:t>有限公司主办会计；</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4</w:t>
      </w:r>
      <w:r>
        <w:rPr>
          <w:spacing w:val="-2"/>
        </w:rPr>
        <w:t>月至</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3</w:t>
      </w:r>
      <w:r>
        <w:rPr>
          <w:spacing w:val="-2"/>
        </w:rPr>
        <w:t>月任普乐斯吉克</w:t>
      </w:r>
      <w:r>
        <w:rPr>
          <w:rFonts w:ascii="宋体" w:hAnsi="宋体" w:cs="宋体" w:eastAsia="宋体" w:hint="default"/>
          <w:spacing w:val="-2"/>
        </w:rPr>
        <w:t>(</w:t>
      </w:r>
      <w:r>
        <w:rPr>
          <w:spacing w:val="-2"/>
        </w:rPr>
        <w:t>苏州</w:t>
      </w:r>
      <w:r>
        <w:rPr>
          <w:rFonts w:ascii="宋体" w:hAnsi="宋体" w:cs="宋体" w:eastAsia="宋体" w:hint="default"/>
          <w:spacing w:val="-2"/>
        </w:rPr>
        <w:t>)</w:t>
      </w:r>
      <w:r>
        <w:rPr>
          <w:spacing w:val="-2"/>
        </w:rPr>
        <w:t>有限公司会计主管；</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4</w:t>
      </w:r>
      <w:r>
        <w:rPr>
          <w:spacing w:val="-2"/>
        </w:rPr>
        <w:t>月至</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3</w:t>
      </w:r>
      <w:r>
        <w:rPr>
          <w:spacing w:val="-2"/>
        </w:rPr>
        <w:t>月任苏</w:t>
      </w:r>
      <w:r>
        <w:rPr>
          <w:spacing w:val="-50"/>
        </w:rPr>
        <w:t> </w:t>
      </w:r>
      <w:r>
        <w:rPr>
          <w:spacing w:val="-50"/>
        </w:rPr>
      </w:r>
      <w:r>
        <w:rPr/>
        <w:t>州恒久光电科技股份有限公司会计主管；</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月至今，任苏州恒久光电科技股份有限公司财务经理，现任公司财务负责 人。</w:t>
      </w:r>
    </w:p>
    <w:p>
      <w:pPr>
        <w:pStyle w:val="BodyText"/>
        <w:spacing w:line="240" w:lineRule="auto" w:before="35"/>
        <w:ind w:right="0"/>
        <w:jc w:val="both"/>
      </w:pPr>
      <w:r>
        <w:rPr/>
        <w:t>在股东单位任职情况</w:t>
      </w:r>
    </w:p>
    <w:p>
      <w:pPr>
        <w:pStyle w:val="BodyText"/>
        <w:spacing w:line="240" w:lineRule="auto" w:before="115"/>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17"/>
        <w:gridCol w:w="3231"/>
        <w:gridCol w:w="1078"/>
        <w:gridCol w:w="1212"/>
        <w:gridCol w:w="1347"/>
        <w:gridCol w:w="1486"/>
      </w:tblGrid>
      <w:tr>
        <w:trPr>
          <w:trHeight w:val="713"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70"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4" w:right="82"/>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6" w:right="107" w:hanging="89"/>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715"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余荣清</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苏州恒久荣盛科技投资有限公司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1133"/>
        <w:jc w:val="left"/>
      </w:pPr>
      <w:r>
        <w:rPr/>
        <w:t>在其他单位任职情况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715"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3" w:right="50"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余荣清</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苏州吴中恒久光电子科技有限公司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余荣清</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206"/>
              <w:jc w:val="left"/>
              <w:rPr>
                <w:rFonts w:ascii="Times New Roman" w:hAnsi="Times New Roman" w:cs="Times New Roman" w:eastAsia="Times New Roman" w:hint="default"/>
                <w:sz w:val="18"/>
                <w:szCs w:val="18"/>
              </w:rPr>
            </w:pPr>
            <w:r>
              <w:rPr>
                <w:rFonts w:ascii="Times New Roman"/>
                <w:sz w:val="18"/>
              </w:rPr>
              <w:t>GOLDENGREEN TECHNOLOGIES</w:t>
            </w:r>
            <w:r>
              <w:rPr>
                <w:rFonts w:ascii="Times New Roman"/>
                <w:spacing w:val="-8"/>
                <w:sz w:val="18"/>
              </w:rPr>
              <w:t> </w:t>
            </w:r>
            <w:r>
              <w:rPr>
                <w:rFonts w:ascii="Times New Roman"/>
                <w:sz w:val="18"/>
              </w:rPr>
              <w:t>EU</w:t>
            </w:r>
            <w:r>
              <w:rPr>
                <w:rFonts w:ascii="Times New Roman"/>
                <w:w w:val="99"/>
                <w:sz w:val="18"/>
              </w:rPr>
              <w:t> </w:t>
            </w:r>
            <w:r>
              <w:rPr>
                <w:rFonts w:ascii="Times New Roman"/>
                <w:sz w:val="18"/>
              </w:rPr>
              <w:t>LIMITED</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余荣清</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23" w:right="492"/>
              <w:jc w:val="left"/>
              <w:rPr>
                <w:rFonts w:ascii="Times New Roman" w:hAnsi="Times New Roman" w:cs="Times New Roman" w:eastAsia="Times New Roman" w:hint="default"/>
                <w:sz w:val="18"/>
                <w:szCs w:val="18"/>
              </w:rPr>
            </w:pPr>
            <w:r>
              <w:rPr>
                <w:rFonts w:ascii="Times New Roman"/>
                <w:sz w:val="18"/>
              </w:rPr>
              <w:t>GOLDENGREEN</w:t>
            </w:r>
            <w:r>
              <w:rPr>
                <w:rFonts w:ascii="Times New Roman"/>
                <w:spacing w:val="-8"/>
                <w:sz w:val="18"/>
              </w:rPr>
              <w:t> </w:t>
            </w:r>
            <w:r>
              <w:rPr>
                <w:rFonts w:ascii="Times New Roman"/>
                <w:sz w:val="18"/>
              </w:rPr>
              <w:t>TECHNOLOGIES</w:t>
            </w:r>
            <w:r>
              <w:rPr>
                <w:rFonts w:ascii="Times New Roman"/>
                <w:w w:val="99"/>
                <w:sz w:val="18"/>
              </w:rPr>
              <w:t> </w:t>
            </w:r>
            <w:r>
              <w:rPr>
                <w:rFonts w:ascii="Times New Roman"/>
                <w:spacing w:val="-2"/>
                <w:sz w:val="18"/>
              </w:rPr>
              <w:t>INTERNATIONAL</w:t>
            </w:r>
            <w:r>
              <w:rPr>
                <w:rFonts w:ascii="Times New Roman"/>
                <w:spacing w:val="-1"/>
                <w:sz w:val="18"/>
              </w:rPr>
              <w:t> LIMITED</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余荣清</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苏州恒久数码科技有限公司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余荣清</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苏州恒久高新产业发展有限公司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余荣清</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苏州恒久商业保理有限公司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余荣清</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苏州恒久影像科技有限公司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余荣清</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苏州恒久丰德新能源技术有限公司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李建康</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苏州市职业大学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朱雪珍</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苏州大学东吴商学院</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副教授</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潘晓珍</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苏州市法学会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会员</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潘晓珍</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北京市盈科（苏州）律师事务所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专职律师</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17</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高钟</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苏州市吴中区仁慧社会工作服务中心</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中心督导</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施建豪</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苏州吴中恒久光电子科技有限公司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施建豪</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苏州恒久数码科技有限公司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施建豪</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苏州恒久高新产业发展有限公司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施建豪</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苏州恒久商业保理有限公司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施建豪</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苏州恒久影像科技有限公司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施建豪</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苏州恒久丰德新能源技术有限公司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0"/>
        <w:jc w:val="both"/>
      </w:pPr>
      <w:r>
        <w:rPr/>
        <w:t>公司现任及报告期内离任董事、监事和高级管理人员近三年证券监管机构处罚的情况</w:t>
      </w:r>
    </w:p>
    <w:p>
      <w:pPr>
        <w:pStyle w:val="BodyText"/>
        <w:spacing w:line="240" w:lineRule="auto" w:before="115"/>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四、董事、监事、高级管理人员报酬情况</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left="513" w:right="1129" w:hanging="361"/>
        <w:jc w:val="left"/>
      </w:pPr>
      <w:r>
        <w:rPr/>
        <w:t>董事、监事、高级管理人员报酬的决策程序、确定依据、实际支付情况 </w:t>
      </w:r>
      <w:r>
        <w:rPr>
          <w:spacing w:val="-2"/>
        </w:rPr>
        <w:t>公司董事、监事、高级管理人员薪酬决策程序：公司董事薪酬（津贴）方案、高级管理人员薪酬方案由董事会薪酬与考</w:t>
      </w:r>
    </w:p>
    <w:p>
      <w:pPr>
        <w:pStyle w:val="BodyText"/>
        <w:spacing w:line="477" w:lineRule="auto" w:before="54"/>
        <w:ind w:right="1130"/>
        <w:jc w:val="both"/>
      </w:pPr>
      <w:r>
        <w:rPr>
          <w:spacing w:val="-2"/>
        </w:rPr>
        <w:t>核委员会拟定方案后，报经董事会审议。其中，董事薪酬（津贴）方案经董事会审议通过后，提交股东大会审议通过后方可</w:t>
      </w:r>
      <w:r>
        <w:rPr>
          <w:spacing w:val="-68"/>
        </w:rPr>
        <w:t> </w:t>
      </w:r>
      <w:r>
        <w:rPr>
          <w:spacing w:val="-68"/>
        </w:rPr>
      </w:r>
      <w:r>
        <w:rPr>
          <w:spacing w:val="-2"/>
        </w:rPr>
        <w:t>实施；公司高级管理人员的薪酬方案报董事会批准通过后方可实施。公司监事的薪酬方案报经监事会审议通过后，提交股东</w:t>
      </w:r>
      <w:r>
        <w:rPr>
          <w:spacing w:val="-63"/>
        </w:rPr>
        <w:t> </w:t>
      </w:r>
      <w:r>
        <w:rPr>
          <w:spacing w:val="-63"/>
        </w:rPr>
      </w:r>
      <w:r>
        <w:rPr/>
        <w:t>大会审议通过后方可实施。</w:t>
      </w:r>
    </w:p>
    <w:p>
      <w:pPr>
        <w:pStyle w:val="BodyText"/>
        <w:spacing w:line="477" w:lineRule="auto" w:before="54"/>
        <w:ind w:right="1133" w:firstLine="360"/>
        <w:jc w:val="left"/>
      </w:pPr>
      <w:r>
        <w:rPr>
          <w:spacing w:val="-2"/>
        </w:rPr>
        <w:t>公司董事、监事、高级管理人员薪酬的确定依据：在公司任职的董事、监事和高级管理人员根据其行政岗位及职务，根</w:t>
      </w:r>
      <w:r>
        <w:rPr/>
        <w:t> 据公司现行的薪酬制度领取薪酬，结合行业薪酬水平及公司年度生产经营状况，依据个人履职情况确定。</w:t>
      </w:r>
    </w:p>
    <w:p>
      <w:pPr>
        <w:pStyle w:val="BodyText"/>
        <w:spacing w:line="475" w:lineRule="auto" w:before="54"/>
        <w:ind w:right="1133" w:firstLine="360"/>
        <w:jc w:val="left"/>
      </w:pPr>
      <w:r>
        <w:rPr>
          <w:spacing w:val="-2"/>
        </w:rPr>
        <w:t>公司董事、监事、高级管理人员报酬的实际支付情况：严格按照董事、监事、高级管理人员薪酬的决策程序与确定依据</w:t>
      </w:r>
      <w:r>
        <w:rPr/>
        <w:t> 按月支付薪酬。独立董事津贴按年度支付。</w:t>
      </w:r>
    </w:p>
    <w:p>
      <w:pPr>
        <w:pStyle w:val="BodyText"/>
        <w:spacing w:line="240" w:lineRule="auto" w:before="56"/>
        <w:ind w:right="0"/>
        <w:jc w:val="both"/>
      </w:pPr>
      <w:r>
        <w:rPr/>
        <w:t>公司报告期内董事、监事和高级管理人员报酬情况</w:t>
      </w:r>
    </w:p>
    <w:p>
      <w:pPr>
        <w:spacing w:line="240" w:lineRule="auto" w:before="11"/>
        <w:rPr>
          <w:rFonts w:ascii="宋体" w:hAnsi="宋体" w:cs="宋体" w:eastAsia="宋体" w:hint="default"/>
          <w:sz w:val="14"/>
          <w:szCs w:val="14"/>
        </w:rPr>
      </w:pPr>
    </w:p>
    <w:p>
      <w:pPr>
        <w:pStyle w:val="BodyText"/>
        <w:spacing w:line="240" w:lineRule="auto"/>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余荣清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董事长、总经理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兰山英</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张培兴</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余仲清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88"/>
              <w:jc w:val="righ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李建康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8"/>
              <w:jc w:val="righ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3.68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朱雪珍</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88"/>
              <w:jc w:val="righ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潘晓珍</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8"/>
              <w:jc w:val="righ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魏先锋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88"/>
              <w:jc w:val="righ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徐才英</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8"/>
              <w:jc w:val="righ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13.84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孙仕杰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50" w:right="46"/>
              <w:jc w:val="center"/>
              <w:rPr>
                <w:rFonts w:ascii="宋体" w:hAnsi="宋体" w:cs="宋体" w:eastAsia="宋体" w:hint="default"/>
                <w:sz w:val="18"/>
                <w:szCs w:val="18"/>
              </w:rPr>
            </w:pPr>
            <w:r>
              <w:rPr>
                <w:rFonts w:ascii="宋体" w:hAnsi="宋体" w:cs="宋体" w:eastAsia="宋体" w:hint="default"/>
                <w:sz w:val="18"/>
                <w:szCs w:val="18"/>
              </w:rPr>
              <w:t>副总经理、董事 会秘书、财务负 责人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88"/>
              <w:jc w:val="righ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22.44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施建豪</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8"/>
              <w:jc w:val="righ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25.82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冯芬兰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财务负责人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88"/>
              <w:jc w:val="righ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617"/>
              <w:jc w:val="right"/>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7"/>
              <w:jc w:val="right"/>
              <w:rPr>
                <w:rFonts w:ascii="Times New Roman" w:hAnsi="Times New Roman" w:cs="Times New Roman" w:eastAsia="Times New Roman" w:hint="default"/>
                <w:sz w:val="18"/>
                <w:szCs w:val="18"/>
              </w:rPr>
            </w:pPr>
            <w:r>
              <w:rPr>
                <w:rFonts w:ascii="Times New Roman"/>
                <w:spacing w:val="-1"/>
                <w:sz w:val="18"/>
              </w:rPr>
              <w:t>188.89</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619"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公司董事、高级管理人员报告期内被授予的股权激励情况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before="0"/>
        <w:ind w:right="1133"/>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5"/>
        <w:gridCol w:w="4794"/>
      </w:tblGrid>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147</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272</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419</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419</w:t>
            </w:r>
          </w:p>
        </w:tc>
      </w:tr>
      <w:tr>
        <w:trPr>
          <w:trHeight w:val="406"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r>
      <w:tr>
        <w:trPr>
          <w:trHeight w:val="394"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6"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w:t>
            </w:r>
          </w:p>
        </w:tc>
      </w:tr>
      <w:tr>
        <w:trPr>
          <w:trHeight w:val="406"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419</w:t>
            </w:r>
          </w:p>
        </w:tc>
      </w:tr>
      <w:tr>
        <w:trPr>
          <w:trHeight w:val="394"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6"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硕士及以上学历</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大中专</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199</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419</w:t>
            </w:r>
          </w:p>
        </w:tc>
      </w:tr>
    </w:tbl>
    <w:p>
      <w:pPr>
        <w:spacing w:line="240" w:lineRule="auto" w:before="3"/>
        <w:rPr>
          <w:rFonts w:ascii="宋体" w:hAnsi="宋体" w:cs="宋体" w:eastAsia="宋体" w:hint="default"/>
          <w:b/>
          <w:bCs/>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2"/>
        <w:rPr>
          <w:rFonts w:ascii="宋体" w:hAnsi="宋体" w:cs="宋体" w:eastAsia="宋体" w:hint="default"/>
          <w:b/>
          <w:bCs/>
          <w:sz w:val="32"/>
          <w:szCs w:val="32"/>
        </w:rPr>
      </w:pPr>
    </w:p>
    <w:p>
      <w:pPr>
        <w:pStyle w:val="BodyText"/>
        <w:spacing w:line="477" w:lineRule="auto"/>
        <w:ind w:right="1130" w:firstLine="360"/>
        <w:jc w:val="both"/>
      </w:pPr>
      <w:r>
        <w:rPr>
          <w:spacing w:val="-2"/>
        </w:rPr>
        <w:t>公司按照《中华人民共和国劳动合同法》和国家及地方其他有关劳动法律、法规的规定，与员工签订劳动合同，保障员</w:t>
      </w:r>
      <w:r>
        <w:rPr/>
        <w:t> </w:t>
      </w:r>
      <w:r>
        <w:rPr>
          <w:spacing w:val="-2"/>
        </w:rPr>
        <w:t>工权益。结合公司所在地区平均薪酬水平、员工岗位职责以及员工个人工作能力综合制定薪酬政策。公司及各子公司严格执</w:t>
      </w:r>
      <w:r>
        <w:rPr>
          <w:spacing w:val="-63"/>
        </w:rPr>
        <w:t> </w:t>
      </w:r>
      <w:r>
        <w:rPr>
          <w:spacing w:val="-63"/>
        </w:rPr>
      </w:r>
      <w:r>
        <w:rPr>
          <w:spacing w:val="-2"/>
        </w:rPr>
        <w:t>行国家用工制度、劳动保护制度、社会保障制度和医疗保障制度，按照国家规定为员工缴纳住房公积金、医疗保险金、养老</w:t>
      </w:r>
      <w:r>
        <w:rPr>
          <w:spacing w:val="-67"/>
        </w:rPr>
        <w:t> </w:t>
      </w:r>
      <w:r>
        <w:rPr>
          <w:spacing w:val="-67"/>
        </w:rPr>
      </w:r>
      <w:r>
        <w:rPr/>
        <w:t>保险、失业保险、工伤保险及生育保险。</w:t>
      </w:r>
    </w:p>
    <w:p>
      <w:pPr>
        <w:pStyle w:val="BodyText"/>
        <w:spacing w:line="489" w:lineRule="auto" w:before="95"/>
        <w:ind w:left="513" w:right="1198" w:hanging="361"/>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报告期内，公司薪酬总额</w:t>
      </w:r>
      <w:r>
        <w:rPr>
          <w:rFonts w:ascii="Times New Roman" w:hAnsi="Times New Roman" w:cs="Times New Roman" w:eastAsia="Times New Roman" w:hint="default"/>
        </w:rPr>
        <w:t>3797.37</w:t>
      </w:r>
      <w:r>
        <w:rPr/>
        <w:t>万元，占营业总成本的</w:t>
      </w:r>
      <w:r>
        <w:rPr>
          <w:rFonts w:ascii="Times New Roman" w:hAnsi="Times New Roman" w:cs="Times New Roman" w:eastAsia="Times New Roman" w:hint="default"/>
        </w:rPr>
        <w:t>13.95%</w:t>
      </w:r>
      <w:r>
        <w:rPr/>
        <w:t>。其中，核心技术人员</w:t>
      </w:r>
      <w:r>
        <w:rPr>
          <w:rFonts w:ascii="Times New Roman" w:hAnsi="Times New Roman" w:cs="Times New Roman" w:eastAsia="Times New Roman" w:hint="default"/>
        </w:rPr>
        <w:t>83</w:t>
      </w:r>
      <w:r>
        <w:rPr/>
        <w:t>人，薪酬总额</w:t>
      </w:r>
      <w:r>
        <w:rPr>
          <w:rFonts w:ascii="Times New Roman" w:hAnsi="Times New Roman" w:cs="Times New Roman" w:eastAsia="Times New Roman" w:hint="default"/>
        </w:rPr>
        <w:t>652.96</w:t>
      </w:r>
      <w:r>
        <w:rPr/>
        <w:t>万元（闽</w:t>
      </w:r>
    </w:p>
    <w:p>
      <w:pPr>
        <w:pStyle w:val="BodyText"/>
        <w:spacing w:line="240" w:lineRule="auto" w:before="11"/>
        <w:ind w:right="1133"/>
        <w:jc w:val="left"/>
      </w:pPr>
      <w:r>
        <w:rPr/>
        <w:t>保信息</w:t>
      </w:r>
      <w:r>
        <w:rPr>
          <w:rFonts w:ascii="Times New Roman" w:hAnsi="Times New Roman" w:cs="Times New Roman" w:eastAsia="Times New Roman" w:hint="default"/>
        </w:rPr>
        <w:t>11</w:t>
      </w:r>
      <w:r>
        <w:rPr/>
        <w:t>月和</w:t>
      </w:r>
      <w:r>
        <w:rPr>
          <w:rFonts w:ascii="Times New Roman" w:hAnsi="Times New Roman" w:cs="Times New Roman" w:eastAsia="Times New Roman" w:hint="default"/>
        </w:rPr>
        <w:t>12</w:t>
      </w:r>
      <w:r>
        <w:rPr/>
        <w:t>月薪酬数据纳入合并计算），占公司薪酬总额的</w:t>
      </w:r>
      <w:r>
        <w:rPr>
          <w:rFonts w:ascii="Times New Roman" w:hAnsi="Times New Roman" w:cs="Times New Roman" w:eastAsia="Times New Roman" w:hint="default"/>
        </w:rPr>
        <w:t>17.20%</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pStyle w:val="Heading3"/>
        <w:spacing w:line="240" w:lineRule="auto" w:before="0"/>
        <w:ind w:right="1133"/>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2"/>
        <w:rPr>
          <w:rFonts w:ascii="宋体" w:hAnsi="宋体" w:cs="宋体" w:eastAsia="宋体" w:hint="default"/>
          <w:b/>
          <w:bCs/>
          <w:sz w:val="32"/>
          <w:szCs w:val="32"/>
        </w:rPr>
      </w:pPr>
    </w:p>
    <w:p>
      <w:pPr>
        <w:pStyle w:val="BodyText"/>
        <w:spacing w:line="451" w:lineRule="auto"/>
        <w:ind w:right="1131" w:firstLine="360"/>
        <w:jc w:val="both"/>
      </w:pPr>
      <w:r>
        <w:rPr>
          <w:spacing w:val="-2"/>
        </w:rPr>
        <w:t>根据公司战略发展需要对现有员工能力进行盘点，准确定位培训需求。</w:t>
      </w:r>
      <w:r>
        <w:rPr>
          <w:rFonts w:ascii="Times New Roman" w:hAnsi="Times New Roman" w:cs="Times New Roman" w:eastAsia="Times New Roman" w:hint="default"/>
          <w:spacing w:val="-2"/>
        </w:rPr>
        <w:t>2019</w:t>
      </w:r>
      <w:r>
        <w:rPr>
          <w:spacing w:val="-2"/>
        </w:rPr>
        <w:t>年公司通过内部培训、聘请外部专家、开通</w:t>
      </w:r>
      <w:r>
        <w:rPr/>
        <w:t> 网络培训平台等多种形式开展知识技能类培训、资质取证培训、新员工入职、保密培训等，不断提升员工职业素质水平。</w:t>
      </w:r>
    </w:p>
    <w:p>
      <w:pPr>
        <w:pStyle w:val="BodyText"/>
        <w:spacing w:line="451" w:lineRule="auto" w:before="74"/>
        <w:ind w:right="1133" w:firstLine="360"/>
        <w:jc w:val="both"/>
      </w:pPr>
      <w:r>
        <w:rPr/>
        <w:t>对于管理层人员针对性的开展管理技能、专业技能、常规技能培训，提升各管理人员的自身业务能力，有效推动</w:t>
      </w:r>
      <w:r>
        <w:rPr>
          <w:rFonts w:ascii="Times New Roman" w:hAnsi="Times New Roman" w:cs="Times New Roman" w:eastAsia="Times New Roman" w:hint="default"/>
        </w:rPr>
        <w:t>“</w:t>
      </w:r>
      <w:r>
        <w:rPr/>
        <w:t>双通 道</w:t>
      </w:r>
      <w:r>
        <w:rPr>
          <w:rFonts w:ascii="Times New Roman" w:hAnsi="Times New Roman" w:cs="Times New Roman" w:eastAsia="Times New Roman" w:hint="default"/>
        </w:rPr>
        <w:t>”</w:t>
      </w:r>
      <w:r>
        <w:rPr/>
        <w:t>机制帮助人员晋升，培养高精尖管理团队。</w:t>
      </w:r>
    </w:p>
    <w:p>
      <w:pPr>
        <w:spacing w:line="240" w:lineRule="auto" w:before="8"/>
        <w:rPr>
          <w:rFonts w:ascii="宋体" w:hAnsi="宋体" w:cs="宋体" w:eastAsia="宋体" w:hint="default"/>
          <w:sz w:val="18"/>
          <w:szCs w:val="18"/>
        </w:rPr>
      </w:pPr>
    </w:p>
    <w:p>
      <w:pPr>
        <w:pStyle w:val="Heading3"/>
        <w:spacing w:line="240" w:lineRule="auto" w:before="0"/>
        <w:ind w:right="1133"/>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right="3399"/>
        <w:jc w:val="center"/>
        <w:rPr>
          <w:b w:val="0"/>
          <w:bCs w:val="0"/>
        </w:rPr>
      </w:pPr>
      <w:bookmarkStart w:name="_bookmark9" w:id="10"/>
      <w:bookmarkEnd w:id="10"/>
      <w:r>
        <w:rPr>
          <w:b w:val="0"/>
          <w:bCs w:val="0"/>
        </w:rPr>
      </w:r>
      <w:r>
        <w:rPr/>
        <w:t>第十节公司治理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r>
        <w:rPr/>
        <w:t>一、公司治理的基本状况</w:t>
      </w:r>
      <w:r>
        <w:rPr>
          <w:b w:val="0"/>
          <w:bCs w:val="0"/>
        </w:rPr>
      </w:r>
    </w:p>
    <w:p>
      <w:pPr>
        <w:spacing w:line="240" w:lineRule="auto" w:before="4"/>
        <w:rPr>
          <w:rFonts w:ascii="宋体" w:hAnsi="宋体" w:cs="宋体" w:eastAsia="宋体" w:hint="default"/>
          <w:b/>
          <w:bCs/>
          <w:sz w:val="32"/>
          <w:szCs w:val="32"/>
        </w:rPr>
      </w:pPr>
    </w:p>
    <w:p>
      <w:pPr>
        <w:pStyle w:val="BodyText"/>
        <w:spacing w:line="472" w:lineRule="auto"/>
        <w:ind w:right="1130" w:firstLine="360"/>
        <w:jc w:val="both"/>
      </w:pPr>
      <w:r>
        <w:rPr>
          <w:rFonts w:ascii="Times New Roman" w:hAnsi="Times New Roman" w:cs="Times New Roman" w:eastAsia="Times New Roman" w:hint="default"/>
          <w:spacing w:val="-2"/>
        </w:rPr>
        <w:t>2019</w:t>
      </w:r>
      <w:r>
        <w:rPr>
          <w:spacing w:val="-2"/>
        </w:rPr>
        <w:t>年，公司严格按照《公司法》、《证券法》、《上市公司治理准则》、《深圳证券交易所股票上市规则》、《深圳</w:t>
      </w:r>
      <w:r>
        <w:rPr/>
        <w:t> </w:t>
      </w:r>
      <w:r>
        <w:rPr>
          <w:spacing w:val="-2"/>
        </w:rPr>
        <w:t>证券交易所中小企业板上市公司规范运作指引》及中国证监会、深圳交易所的有关规定和要求，不断完善公司治理结构，建</w:t>
      </w:r>
      <w:r>
        <w:rPr>
          <w:spacing w:val="-64"/>
        </w:rPr>
        <w:t> </w:t>
      </w:r>
      <w:r>
        <w:rPr>
          <w:spacing w:val="-64"/>
        </w:rPr>
      </w:r>
      <w:r>
        <w:rPr>
          <w:spacing w:val="-2"/>
        </w:rPr>
        <w:t>立、健全内部管理和控制制度，加强信息披露管理工作，积极开展投资者关系管理工作，规范公司运作，提升公司的治理水</w:t>
      </w:r>
      <w:r>
        <w:rPr>
          <w:spacing w:val="-67"/>
        </w:rPr>
        <w:t> </w:t>
      </w:r>
      <w:r>
        <w:rPr>
          <w:spacing w:val="-67"/>
        </w:rPr>
      </w:r>
      <w:r>
        <w:rPr>
          <w:spacing w:val="-2"/>
        </w:rPr>
        <w:t>平。报告期内，公司依据有关规定修订了《公司章程》、《董事会议事规则》、《股东大会议事规则》、《信息披露管理制</w:t>
      </w:r>
      <w:r>
        <w:rPr>
          <w:spacing w:val="-69"/>
        </w:rPr>
        <w:t> </w:t>
      </w:r>
      <w:r>
        <w:rPr>
          <w:spacing w:val="-69"/>
        </w:rPr>
      </w:r>
      <w:r>
        <w:rPr>
          <w:spacing w:val="-2"/>
        </w:rPr>
        <w:t>度》、《内部审计制度》，进一步完善公司治理制度。截至报告期末，公司治理实际情况基本符合中国证监会发布的有关上</w:t>
      </w:r>
      <w:r>
        <w:rPr>
          <w:spacing w:val="-68"/>
        </w:rPr>
        <w:t> </w:t>
      </w:r>
      <w:r>
        <w:rPr>
          <w:spacing w:val="-68"/>
        </w:rPr>
      </w:r>
      <w:r>
        <w:rPr/>
        <w:t>市公司治理的规范性文件要求。</w:t>
      </w:r>
    </w:p>
    <w:p>
      <w:pPr>
        <w:pStyle w:val="BodyText"/>
        <w:spacing w:line="451" w:lineRule="auto" w:before="58"/>
        <w:ind w:left="513" w:right="1129"/>
        <w:jc w:val="left"/>
      </w:pPr>
      <w:r>
        <w:rPr>
          <w:rFonts w:ascii="Times New Roman" w:hAnsi="Times New Roman" w:cs="Times New Roman" w:eastAsia="Times New Roman" w:hint="default"/>
          <w:b/>
          <w:bCs/>
        </w:rPr>
        <w:t>1</w:t>
      </w:r>
      <w:r>
        <w:rPr>
          <w:rFonts w:ascii="宋体" w:hAnsi="宋体" w:cs="宋体" w:eastAsia="宋体" w:hint="default"/>
          <w:b/>
          <w:bCs/>
        </w:rPr>
        <w:t>、关于股东与股东大会</w:t>
      </w:r>
      <w:r>
        <w:rPr>
          <w:rFonts w:ascii="宋体" w:hAnsi="宋体" w:cs="宋体" w:eastAsia="宋体" w:hint="default"/>
          <w:b/>
          <w:bCs/>
          <w:w w:val="99"/>
        </w:rPr>
        <w:t> </w:t>
      </w:r>
      <w:r>
        <w:rPr>
          <w:spacing w:val="-2"/>
        </w:rPr>
        <w:t>公司严格按照《公司法》、《上市公司股东大会规则》及公司《公司章程》、《股东大会议事规则》的规定和要求，规</w:t>
      </w:r>
    </w:p>
    <w:p>
      <w:pPr>
        <w:pStyle w:val="BodyText"/>
        <w:spacing w:line="463" w:lineRule="auto" w:before="74"/>
        <w:ind w:right="1128"/>
        <w:jc w:val="both"/>
      </w:pPr>
      <w:r>
        <w:rPr>
          <w:spacing w:val="-2"/>
        </w:rPr>
        <w:t>范股东大会的召集、召开及表决程序，平等对待所有股东，确保全体股东特别是中小股东享有平等地位，充分行使自己的权</w:t>
      </w:r>
      <w:r>
        <w:rPr>
          <w:spacing w:val="-64"/>
        </w:rPr>
        <w:t> </w:t>
      </w:r>
      <w:r>
        <w:rPr>
          <w:spacing w:val="-64"/>
        </w:rPr>
      </w:r>
      <w:r>
        <w:rPr>
          <w:spacing w:val="-2"/>
        </w:rPr>
        <w:t>利。报告期内，公司通过电话、电子邮件、深交所互动易及投资者调研等多种方式与股东积极互动。</w:t>
      </w:r>
      <w:r>
        <w:rPr>
          <w:rFonts w:ascii="Times New Roman" w:hAnsi="Times New Roman" w:cs="Times New Roman" w:eastAsia="Times New Roman" w:hint="default"/>
          <w:spacing w:val="-2"/>
        </w:rPr>
        <w:t>2019</w:t>
      </w:r>
      <w:r>
        <w:rPr>
          <w:spacing w:val="-2"/>
        </w:rPr>
        <w:t>年，公司共召开三</w:t>
      </w:r>
      <w:r>
        <w:rPr>
          <w:spacing w:val="-60"/>
        </w:rPr>
        <w:t> </w:t>
      </w:r>
      <w:r>
        <w:rPr>
          <w:spacing w:val="-60"/>
        </w:rPr>
      </w:r>
      <w:r>
        <w:rPr/>
        <w:t>次股东大会，均由董事会召集召开，并请律师进行现场见证。</w:t>
      </w:r>
    </w:p>
    <w:p>
      <w:pPr>
        <w:spacing w:line="451" w:lineRule="auto" w:before="65"/>
        <w:ind w:left="513" w:right="103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、关于公司与控股股东、实际控制人</w:t>
      </w:r>
      <w:r>
        <w:rPr>
          <w:rFonts w:ascii="宋体" w:hAnsi="宋体" w:cs="宋体" w:eastAsia="宋体" w:hint="default"/>
          <w:b/>
          <w:bCs/>
          <w:w w:val="99"/>
          <w:sz w:val="18"/>
          <w:szCs w:val="18"/>
        </w:rPr>
        <w:t> </w:t>
      </w:r>
      <w:r>
        <w:rPr>
          <w:rFonts w:ascii="宋体" w:hAnsi="宋体" w:cs="宋体" w:eastAsia="宋体" w:hint="default"/>
          <w:sz w:val="18"/>
          <w:szCs w:val="18"/>
        </w:rPr>
        <w:t>公司具有完整独立的业务、自主的经营能力及完备的运营体系，业务、人员、资产、机构、财务完全独立于控股股东、</w:t>
      </w:r>
    </w:p>
    <w:p>
      <w:pPr>
        <w:pStyle w:val="BodyText"/>
        <w:spacing w:line="477" w:lineRule="auto" w:before="74"/>
        <w:ind w:right="1034"/>
        <w:jc w:val="left"/>
      </w:pPr>
      <w:r>
        <w:rPr>
          <w:spacing w:val="-2"/>
        </w:rPr>
        <w:t>实际控制人，公司董事会、监事会和内部机构能够独立运作。公司关联交易合理公平，不存在控股股东、实际控制人占用公</w:t>
      </w:r>
      <w:r>
        <w:rPr>
          <w:spacing w:val="-67"/>
        </w:rPr>
        <w:t> </w:t>
      </w:r>
      <w:r>
        <w:rPr>
          <w:spacing w:val="-67"/>
        </w:rPr>
      </w:r>
      <w:r>
        <w:rPr/>
        <w:t>司资金的现象，公司也没有为控股股东、实际控制人提供担保的情形。公司控股股东、实际控制人能严格规范自己的行为， 没有超越公司股东大会直接或间接干预公司的决策和经营活动的行为。</w:t>
      </w:r>
    </w:p>
    <w:p>
      <w:pPr>
        <w:pStyle w:val="BodyText"/>
        <w:spacing w:line="451" w:lineRule="auto" w:before="54"/>
        <w:ind w:left="513" w:right="0"/>
        <w:jc w:val="left"/>
      </w:pPr>
      <w:r>
        <w:rPr>
          <w:rFonts w:ascii="Times New Roman" w:hAnsi="Times New Roman" w:cs="Times New Roman" w:eastAsia="Times New Roman" w:hint="default"/>
          <w:b/>
          <w:bCs/>
        </w:rPr>
        <w:t>3</w:t>
      </w:r>
      <w:r>
        <w:rPr>
          <w:rFonts w:ascii="宋体" w:hAnsi="宋体" w:cs="宋体" w:eastAsia="宋体" w:hint="default"/>
          <w:b/>
          <w:bCs/>
        </w:rPr>
        <w:t>、关于董事和董事会</w:t>
      </w:r>
      <w:r>
        <w:rPr>
          <w:rFonts w:ascii="宋体" w:hAnsi="宋体" w:cs="宋体" w:eastAsia="宋体" w:hint="default"/>
          <w:b/>
          <w:bCs/>
          <w:w w:val="99"/>
        </w:rPr>
        <w:t> </w:t>
      </w:r>
      <w:r>
        <w:rPr>
          <w:spacing w:val="-4"/>
        </w:rPr>
        <w:t>报告期内，公司全体董事严格按照《董事会议事规则》、《独立董事制度》等的规定开展工作，出席董事会和股东大会，</w:t>
      </w:r>
    </w:p>
    <w:p>
      <w:pPr>
        <w:pStyle w:val="BodyText"/>
        <w:spacing w:line="477" w:lineRule="auto" w:before="74"/>
        <w:ind w:right="1129"/>
        <w:jc w:val="left"/>
      </w:pPr>
      <w:r>
        <w:rPr>
          <w:spacing w:val="-2"/>
        </w:rPr>
        <w:t>依法行使职权，忠实、勤勉、尽责地履行董事义务及职责。报告期内，董事会下设的各专门委员会按照相关工作细则开展工</w:t>
      </w:r>
      <w:r>
        <w:rPr>
          <w:spacing w:val="-65"/>
        </w:rPr>
        <w:t> </w:t>
      </w:r>
      <w:r>
        <w:rPr>
          <w:spacing w:val="-65"/>
        </w:rPr>
      </w:r>
      <w:r>
        <w:rPr/>
        <w:t>作，为董事会的决策提供专业的意见和参考。</w:t>
      </w:r>
    </w:p>
    <w:p>
      <w:pPr>
        <w:pStyle w:val="BodyText"/>
        <w:spacing w:line="451" w:lineRule="auto" w:before="54"/>
        <w:ind w:left="513" w:right="1129"/>
        <w:jc w:val="left"/>
      </w:pPr>
      <w:r>
        <w:rPr>
          <w:rFonts w:ascii="Times New Roman" w:hAnsi="Times New Roman" w:cs="Times New Roman" w:eastAsia="Times New Roman" w:hint="default"/>
          <w:b/>
          <w:bCs/>
        </w:rPr>
        <w:t>4</w:t>
      </w:r>
      <w:r>
        <w:rPr>
          <w:rFonts w:ascii="宋体" w:hAnsi="宋体" w:cs="宋体" w:eastAsia="宋体" w:hint="default"/>
          <w:b/>
          <w:bCs/>
        </w:rPr>
        <w:t>、关于监事和监事会</w:t>
      </w:r>
      <w:r>
        <w:rPr>
          <w:rFonts w:ascii="宋体" w:hAnsi="宋体" w:cs="宋体" w:eastAsia="宋体" w:hint="default"/>
          <w:b/>
          <w:bCs/>
          <w:w w:val="99"/>
        </w:rPr>
        <w:t> </w:t>
      </w:r>
      <w:r>
        <w:rPr>
          <w:spacing w:val="-2"/>
        </w:rPr>
        <w:t>报告期内，公司监事会严格按照《公司法》和《公司章程》、《监事会议事规则》的规定，规范监事会的召集、召开和</w:t>
      </w:r>
    </w:p>
    <w:p>
      <w:pPr>
        <w:pStyle w:val="BodyText"/>
        <w:spacing w:line="477" w:lineRule="auto" w:before="74"/>
        <w:ind w:right="0"/>
        <w:jc w:val="left"/>
      </w:pPr>
      <w:r>
        <w:rPr>
          <w:spacing w:val="-4"/>
        </w:rPr>
        <w:t>表决程序，公司监事认真履行职责，诚信、勤勉、尽责地对公司财务以及董事、总经理及其他高级管理人员履行职责的合法、</w:t>
      </w:r>
      <w:r>
        <w:rPr>
          <w:spacing w:val="-43"/>
        </w:rPr>
        <w:t> </w:t>
      </w:r>
      <w:r>
        <w:rPr>
          <w:spacing w:val="-43"/>
        </w:rPr>
      </w:r>
      <w:r>
        <w:rPr/>
        <w:t>合规性进行监督，维护公司及股东的合法权益。</w:t>
      </w:r>
    </w:p>
    <w:p>
      <w:pPr>
        <w:pStyle w:val="Heading4"/>
        <w:spacing w:line="240" w:lineRule="auto" w:before="54"/>
        <w:ind w:right="1133"/>
        <w:jc w:val="left"/>
        <w:rPr>
          <w:b w:val="0"/>
          <w:bCs w:val="0"/>
        </w:rPr>
      </w:pPr>
      <w:r>
        <w:rPr>
          <w:rFonts w:ascii="Times New Roman" w:hAnsi="Times New Roman" w:cs="Times New Roman" w:eastAsia="Times New Roman" w:hint="default"/>
        </w:rPr>
        <w:t>5</w:t>
      </w:r>
      <w:r>
        <w:rPr/>
        <w:t>、关于内部审计制度</w:t>
      </w:r>
      <w:r>
        <w:rPr>
          <w:b w:val="0"/>
          <w:bCs w:val="0"/>
        </w:rPr>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b/>
          <w:bCs/>
          <w:sz w:val="27"/>
          <w:szCs w:val="27"/>
        </w:rPr>
      </w:pPr>
    </w:p>
    <w:p>
      <w:pPr>
        <w:pStyle w:val="BodyText"/>
        <w:spacing w:line="451" w:lineRule="auto" w:before="44"/>
        <w:ind w:right="1124" w:firstLine="360"/>
        <w:jc w:val="left"/>
      </w:pPr>
      <w:r>
        <w:rPr/>
        <w:t>公司审计部共有</w:t>
      </w:r>
      <w:r>
        <w:rPr>
          <w:rFonts w:ascii="Times New Roman" w:hAnsi="Times New Roman" w:cs="Times New Roman" w:eastAsia="Times New Roman" w:hint="default"/>
        </w:rPr>
        <w:t>3</w:t>
      </w:r>
      <w:r>
        <w:rPr/>
        <w:t>名审计人员。审计部在董事会审计委员会的领导下对公司及下属子公司的经济情况、内部控制情况及 财务情况、资产使用情况进行审计和监督，确保公司治理规范。</w:t>
      </w:r>
    </w:p>
    <w:p>
      <w:pPr>
        <w:spacing w:line="451" w:lineRule="auto" w:before="74"/>
        <w:ind w:left="51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、关于绩效评价与激励约束机制</w:t>
      </w:r>
      <w:r>
        <w:rPr>
          <w:rFonts w:ascii="宋体" w:hAnsi="宋体" w:cs="宋体" w:eastAsia="宋体" w:hint="default"/>
          <w:b/>
          <w:bCs/>
          <w:w w:val="99"/>
          <w:sz w:val="18"/>
          <w:szCs w:val="18"/>
        </w:rPr>
        <w:t> </w:t>
      </w:r>
      <w:r>
        <w:rPr>
          <w:rFonts w:ascii="宋体" w:hAnsi="宋体" w:cs="宋体" w:eastAsia="宋体" w:hint="default"/>
          <w:spacing w:val="-4"/>
          <w:sz w:val="18"/>
          <w:szCs w:val="18"/>
        </w:rPr>
        <w:t>公司通过建立全面、公平、透明的绩效考核与激励约束机制，设立具有竞争性的岗位绩效考核制度，提升公司管理绩效。</w:t>
      </w:r>
    </w:p>
    <w:p>
      <w:pPr>
        <w:pStyle w:val="BodyText"/>
        <w:spacing w:line="477" w:lineRule="auto" w:before="74"/>
        <w:ind w:right="1129"/>
        <w:jc w:val="left"/>
      </w:pPr>
      <w:r>
        <w:rPr>
          <w:spacing w:val="-2"/>
        </w:rPr>
        <w:t>公司董事、监事和高级管理人员的聘任公开、透明，符合有关法律、法规和公司内部规章制度的规定。未来，公司还将不断</w:t>
      </w:r>
      <w:r>
        <w:rPr>
          <w:spacing w:val="-68"/>
        </w:rPr>
        <w:t> </w:t>
      </w:r>
      <w:r>
        <w:rPr>
          <w:spacing w:val="-68"/>
        </w:rPr>
      </w:r>
      <w:r>
        <w:rPr/>
        <w:t>完善绩效评价标准，形成多层次的综合激励机制，完善绩效评价标准，更好的发挥员工的工作积极性。</w:t>
      </w:r>
    </w:p>
    <w:p>
      <w:pPr>
        <w:pStyle w:val="BodyText"/>
        <w:spacing w:line="451" w:lineRule="auto" w:before="54"/>
        <w:ind w:left="513" w:right="1133"/>
        <w:jc w:val="left"/>
      </w:pPr>
      <w:r>
        <w:rPr>
          <w:rFonts w:ascii="Times New Roman" w:hAnsi="Times New Roman" w:cs="Times New Roman" w:eastAsia="Times New Roman" w:hint="default"/>
          <w:b/>
          <w:bCs/>
        </w:rPr>
        <w:t>7</w:t>
      </w:r>
      <w:r>
        <w:rPr>
          <w:rFonts w:ascii="宋体" w:hAnsi="宋体" w:cs="宋体" w:eastAsia="宋体" w:hint="default"/>
          <w:b/>
          <w:bCs/>
        </w:rPr>
        <w:t>、关于相关利益者</w:t>
      </w:r>
      <w:r>
        <w:rPr>
          <w:rFonts w:ascii="宋体" w:hAnsi="宋体" w:cs="宋体" w:eastAsia="宋体" w:hint="default"/>
          <w:b/>
          <w:bCs/>
          <w:w w:val="99"/>
        </w:rPr>
        <w:t> </w:t>
      </w:r>
      <w:r>
        <w:rPr>
          <w:spacing w:val="-2"/>
        </w:rPr>
        <w:t>公司能够充分尊重和维护相关利益者的合法权益，积极与利益相关者进行沟通和交流，实现社会、股东、公司、员工等</w:t>
      </w:r>
    </w:p>
    <w:p>
      <w:pPr>
        <w:pStyle w:val="BodyText"/>
        <w:spacing w:line="240" w:lineRule="auto" w:before="74"/>
        <w:ind w:right="1133"/>
        <w:jc w:val="left"/>
      </w:pPr>
      <w:r>
        <w:rPr/>
        <w:t>各方利益的协调平衡，共同推动公司持续、稳健发展。</w:t>
      </w:r>
    </w:p>
    <w:p>
      <w:pPr>
        <w:spacing w:line="240" w:lineRule="auto" w:before="11"/>
        <w:rPr>
          <w:rFonts w:ascii="宋体" w:hAnsi="宋体" w:cs="宋体" w:eastAsia="宋体" w:hint="default"/>
          <w:sz w:val="17"/>
          <w:szCs w:val="17"/>
        </w:rPr>
      </w:pPr>
    </w:p>
    <w:p>
      <w:pPr>
        <w:pStyle w:val="BodyText"/>
        <w:spacing w:line="451" w:lineRule="auto"/>
        <w:ind w:left="513" w:right="0"/>
        <w:jc w:val="left"/>
      </w:pPr>
      <w:r>
        <w:rPr>
          <w:rFonts w:ascii="Times New Roman" w:hAnsi="Times New Roman" w:cs="Times New Roman" w:eastAsia="Times New Roman" w:hint="default"/>
          <w:b/>
          <w:bCs/>
        </w:rPr>
        <w:t>8</w:t>
      </w:r>
      <w:r>
        <w:rPr>
          <w:rFonts w:ascii="宋体" w:hAnsi="宋体" w:cs="宋体" w:eastAsia="宋体" w:hint="default"/>
          <w:b/>
          <w:bCs/>
        </w:rPr>
        <w:t>、关于信息披露与透明度</w:t>
      </w:r>
      <w:r>
        <w:rPr>
          <w:rFonts w:ascii="宋体" w:hAnsi="宋体" w:cs="宋体" w:eastAsia="宋体" w:hint="default"/>
          <w:b/>
          <w:bCs/>
          <w:w w:val="99"/>
        </w:rPr>
        <w:t> </w:t>
      </w:r>
      <w:r>
        <w:rPr>
          <w:spacing w:val="-2"/>
        </w:rPr>
        <w:t>公司严格按照《上市公司信息披露管理办法》和《深圳证券交易所股票上市规则》等法律法规以及《公司章程》、《信</w:t>
      </w:r>
    </w:p>
    <w:p>
      <w:pPr>
        <w:pStyle w:val="BodyText"/>
        <w:spacing w:line="240" w:lineRule="auto" w:before="74"/>
        <w:ind w:right="0"/>
        <w:jc w:val="left"/>
      </w:pPr>
      <w:r>
        <w:rPr/>
        <w:t>息披露管理制度》等规定，加强信息披露的规范性，由董事会秘书负责信息披露工作、投资者来访及咨询工作。公司官方的</w:t>
      </w:r>
    </w:p>
    <w:p>
      <w:pPr>
        <w:spacing w:line="240" w:lineRule="auto" w:before="10"/>
        <w:rPr>
          <w:rFonts w:ascii="宋体" w:hAnsi="宋体" w:cs="宋体" w:eastAsia="宋体" w:hint="default"/>
          <w:sz w:val="17"/>
          <w:szCs w:val="17"/>
        </w:rPr>
      </w:pPr>
    </w:p>
    <w:p>
      <w:pPr>
        <w:pStyle w:val="BodyText"/>
        <w:spacing w:line="436" w:lineRule="auto"/>
        <w:ind w:right="3374"/>
        <w:jc w:val="left"/>
      </w:pPr>
      <w:r>
        <w:rPr/>
        <w:t>信息披露媒体为《证券时报》和巨潮资讯网，确保公司所有股东能够以平等的机会获得信息。 公司治理的实际状况与中国证监会发布的有关上市公司治理的规范性文件是否存在重大差异</w:t>
      </w:r>
    </w:p>
    <w:p>
      <w:pPr>
        <w:pStyle w:val="BodyText"/>
        <w:spacing w:line="216" w:lineRule="exact"/>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right="1133"/>
        <w:jc w:val="left"/>
      </w:pPr>
      <w:r>
        <w:rPr/>
        <w:t>公司治理的实际状况与中国证监会发布的有关上市公司治理的规范性文件不存在重大差异。</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r>
        <w:rPr/>
        <w:t>二、公司相对于控股股东在业务、人员、资产、机构、财务等方面的独立情况</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0" w:firstLine="360"/>
        <w:jc w:val="left"/>
      </w:pPr>
      <w:r>
        <w:rPr>
          <w:spacing w:val="-2"/>
        </w:rPr>
        <w:t>公司拥有生产所需的核心技术和能力，合法拥有专利和商标，在技术、商标、销售渠道、客户等方面不存在依赖控股股</w:t>
      </w:r>
      <w:r>
        <w:rPr/>
        <w:t> </w:t>
      </w:r>
      <w:r>
        <w:rPr>
          <w:spacing w:val="-4"/>
        </w:rPr>
        <w:t>东或实际控制人及其关联企业的情况。公司拥有独立的产供销体系，资产、业务独立完整，人员、机构、财务均与控股股东、</w:t>
      </w:r>
      <w:r>
        <w:rPr>
          <w:spacing w:val="-44"/>
        </w:rPr>
        <w:t> </w:t>
      </w:r>
      <w:r>
        <w:rPr>
          <w:spacing w:val="-44"/>
        </w:rPr>
      </w:r>
      <w:r>
        <w:rPr/>
        <w:t>实际控制人及其关联企业分开，具备独立自主经营能力。具体独立运营情况如下：</w:t>
      </w:r>
    </w:p>
    <w:p>
      <w:pPr>
        <w:pStyle w:val="BodyText"/>
        <w:spacing w:line="477" w:lineRule="auto" w:before="54"/>
        <w:ind w:left="513" w:right="1133"/>
        <w:jc w:val="left"/>
      </w:pPr>
      <w:r>
        <w:rPr>
          <w:rFonts w:ascii="宋体" w:hAnsi="宋体" w:cs="宋体" w:eastAsia="宋体" w:hint="default"/>
          <w:b/>
          <w:bCs/>
        </w:rPr>
        <w:t>（一）资产独立情况</w:t>
      </w:r>
      <w:r>
        <w:rPr>
          <w:rFonts w:ascii="宋体" w:hAnsi="宋体" w:cs="宋体" w:eastAsia="宋体" w:hint="default"/>
          <w:b/>
          <w:bCs/>
          <w:w w:val="99"/>
        </w:rPr>
        <w:t> </w:t>
      </w:r>
      <w:r>
        <w:rPr>
          <w:spacing w:val="-2"/>
        </w:rPr>
        <w:t>公司的主要生产设备、辅助生产设备、土地、房产、专利、商标等资产及采购、生产和销售系统及相关配套设施均由公</w:t>
      </w:r>
    </w:p>
    <w:p>
      <w:pPr>
        <w:pStyle w:val="BodyText"/>
        <w:spacing w:line="477" w:lineRule="auto" w:before="54"/>
        <w:ind w:right="1133"/>
        <w:jc w:val="left"/>
      </w:pPr>
      <w:r>
        <w:rPr>
          <w:spacing w:val="-2"/>
        </w:rPr>
        <w:t>司独立拥有。公司不存在以资产、权益或信誉为股东、董事、监事和高级管理人员的债务提供担保的情况，公司对其所有的</w:t>
      </w:r>
      <w:r>
        <w:rPr>
          <w:spacing w:val="-67"/>
        </w:rPr>
        <w:t> </w:t>
      </w:r>
      <w:r>
        <w:rPr>
          <w:spacing w:val="-67"/>
        </w:rPr>
      </w:r>
      <w:r>
        <w:rPr/>
        <w:t>资产依法拥有产权，不存在资产、资金被控股股东占用而损害公司及其股东利益的情况。</w:t>
      </w:r>
    </w:p>
    <w:p>
      <w:pPr>
        <w:pStyle w:val="BodyText"/>
        <w:spacing w:line="477" w:lineRule="auto" w:before="54"/>
        <w:ind w:left="513" w:right="1133"/>
        <w:jc w:val="left"/>
      </w:pPr>
      <w:r>
        <w:rPr>
          <w:rFonts w:ascii="宋体" w:hAnsi="宋体" w:cs="宋体" w:eastAsia="宋体" w:hint="default"/>
          <w:b/>
          <w:bCs/>
        </w:rPr>
        <w:t>（二）业务独立情况</w:t>
      </w:r>
      <w:r>
        <w:rPr>
          <w:rFonts w:ascii="宋体" w:hAnsi="宋体" w:cs="宋体" w:eastAsia="宋体" w:hint="default"/>
          <w:b/>
          <w:bCs/>
          <w:w w:val="99"/>
        </w:rPr>
        <w:t> </w:t>
      </w:r>
      <w:r>
        <w:rPr>
          <w:spacing w:val="-2"/>
        </w:rPr>
        <w:t>公司由恒久有限整体变更设立，拥有独立完整的研发、生产、销售体系。公司具有独立自主进行经营活动的能力，拥有</w:t>
      </w:r>
    </w:p>
    <w:p>
      <w:pPr>
        <w:pStyle w:val="BodyText"/>
        <w:spacing w:line="477" w:lineRule="auto" w:before="54"/>
        <w:ind w:right="0"/>
        <w:jc w:val="left"/>
      </w:pPr>
      <w:r>
        <w:rPr>
          <w:spacing w:val="-4"/>
        </w:rPr>
        <w:t>完整的法人财产权；拥有必要的人员、资金和技术设备，以及在此基础上按照分工协作和职权划分建立起来的一套完整体系，</w:t>
      </w:r>
      <w:r>
        <w:rPr>
          <w:spacing w:val="-43"/>
        </w:rPr>
        <w:t> </w:t>
      </w:r>
      <w:r>
        <w:rPr>
          <w:spacing w:val="-43"/>
        </w:rPr>
      </w:r>
      <w:r>
        <w:rPr/>
        <w:t>顺利组织和实施生产经营活动。公司不存在依赖控股股东、实际控制人及其关联方的情况。</w:t>
      </w:r>
    </w:p>
    <w:p>
      <w:pPr>
        <w:pStyle w:val="Heading4"/>
        <w:spacing w:line="240" w:lineRule="auto" w:before="54"/>
        <w:ind w:right="1133"/>
        <w:jc w:val="left"/>
        <w:rPr>
          <w:b w:val="0"/>
          <w:bCs w:val="0"/>
        </w:rPr>
      </w:pPr>
      <w:r>
        <w:rPr/>
        <w:t>（三）机构独立情况</w:t>
      </w:r>
      <w:r>
        <w:rPr>
          <w:b w:val="0"/>
          <w:bCs w:val="0"/>
        </w:rPr>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b/>
          <w:bCs/>
          <w:sz w:val="27"/>
          <w:szCs w:val="27"/>
        </w:rPr>
      </w:pPr>
    </w:p>
    <w:p>
      <w:pPr>
        <w:pStyle w:val="BodyText"/>
        <w:spacing w:line="477" w:lineRule="auto" w:before="44"/>
        <w:ind w:right="1129" w:firstLine="360"/>
        <w:jc w:val="both"/>
      </w:pPr>
      <w:r>
        <w:rPr>
          <w:spacing w:val="-2"/>
        </w:rPr>
        <w:t>公司按照《公司法》、《公司章程》的相关规定设立了股东大会、董事会、监事会等权力机构，并制定了相应的议事规</w:t>
      </w:r>
      <w:r>
        <w:rPr/>
        <w:t> </w:t>
      </w:r>
      <w:r>
        <w:rPr>
          <w:spacing w:val="-2"/>
        </w:rPr>
        <w:t>则。公司生产经营场所与控股股东分开，设立了完善的组织机构体系，内部机构独立运作，不存在控股股东、实际控制人代</w:t>
      </w:r>
      <w:r>
        <w:rPr>
          <w:spacing w:val="-67"/>
        </w:rPr>
        <w:t> </w:t>
      </w:r>
      <w:r>
        <w:rPr>
          <w:spacing w:val="-67"/>
        </w:rPr>
      </w:r>
      <w:r>
        <w:rPr/>
        <w:t>行公司职权或干预机构设立的情形。</w:t>
      </w:r>
    </w:p>
    <w:p>
      <w:pPr>
        <w:pStyle w:val="BodyText"/>
        <w:spacing w:line="477" w:lineRule="auto" w:before="54"/>
        <w:ind w:left="513" w:right="1133"/>
        <w:jc w:val="left"/>
      </w:pPr>
      <w:r>
        <w:rPr>
          <w:rFonts w:ascii="宋体" w:hAnsi="宋体" w:cs="宋体" w:eastAsia="宋体" w:hint="default"/>
          <w:b/>
          <w:bCs/>
        </w:rPr>
        <w:t>（四）人员独立情况</w:t>
      </w:r>
      <w:r>
        <w:rPr>
          <w:rFonts w:ascii="宋体" w:hAnsi="宋体" w:cs="宋体" w:eastAsia="宋体" w:hint="default"/>
          <w:b/>
          <w:bCs/>
          <w:w w:val="99"/>
        </w:rPr>
        <w:t> </w:t>
      </w:r>
      <w:r>
        <w:rPr>
          <w:spacing w:val="-2"/>
        </w:rPr>
        <w:t>公司总经理、副总经理、财务负责人等高级管理人员均在公司专职工作，并在公司领取薪酬，未在控股股东、实际控制</w:t>
      </w:r>
    </w:p>
    <w:p>
      <w:pPr>
        <w:pStyle w:val="BodyText"/>
        <w:spacing w:line="477" w:lineRule="auto" w:before="54"/>
        <w:ind w:left="513" w:right="1034" w:hanging="361"/>
        <w:jc w:val="left"/>
      </w:pPr>
      <w:r>
        <w:rPr/>
        <w:t>人及其控制的其他企业担任除董事以外的其他职务。公司财务人员未在控股股东、实际控制人及其控制的其他企业中兼职。 </w:t>
      </w:r>
      <w:r>
        <w:rPr>
          <w:spacing w:val="-2"/>
        </w:rPr>
        <w:t>公司董事、监事及高级管理人员严格按《公司法》和《公司章程》的有关规定选举和聘任产生；公司在劳动、人事及工</w:t>
      </w:r>
    </w:p>
    <w:p>
      <w:pPr>
        <w:pStyle w:val="BodyText"/>
        <w:spacing w:line="240" w:lineRule="auto" w:before="54"/>
        <w:ind w:right="1133"/>
        <w:jc w:val="left"/>
      </w:pPr>
      <w:r>
        <w:rPr/>
        <w:t>资管理上完全独立，有独立的人力资源管理部门，建立了独立的管理体系并制定了相应的规章制度。</w:t>
      </w:r>
    </w:p>
    <w:p>
      <w:pPr>
        <w:spacing w:line="240" w:lineRule="auto" w:before="10"/>
        <w:rPr>
          <w:rFonts w:ascii="宋体" w:hAnsi="宋体" w:cs="宋体" w:eastAsia="宋体" w:hint="default"/>
          <w:sz w:val="17"/>
          <w:szCs w:val="17"/>
        </w:rPr>
      </w:pPr>
    </w:p>
    <w:p>
      <w:pPr>
        <w:pStyle w:val="BodyText"/>
        <w:spacing w:line="477" w:lineRule="auto"/>
        <w:ind w:left="513" w:right="1033"/>
        <w:jc w:val="left"/>
      </w:pPr>
      <w:r>
        <w:rPr>
          <w:rFonts w:ascii="宋体" w:hAnsi="宋体" w:cs="宋体" w:eastAsia="宋体" w:hint="default"/>
          <w:b/>
          <w:bCs/>
        </w:rPr>
        <w:t>（五）财务独立情况</w:t>
      </w:r>
      <w:r>
        <w:rPr>
          <w:rFonts w:ascii="宋体" w:hAnsi="宋体" w:cs="宋体" w:eastAsia="宋体" w:hint="default"/>
          <w:b/>
          <w:bCs/>
          <w:w w:val="99"/>
        </w:rPr>
        <w:t> </w:t>
      </w:r>
      <w:r>
        <w:rPr/>
        <w:t>公司建立了独立的财务核算体系，制定了完善的财务管理制度。公司设立了独立的财务部门，配备了独立的财务人员。</w:t>
      </w:r>
    </w:p>
    <w:p>
      <w:pPr>
        <w:pStyle w:val="BodyText"/>
        <w:spacing w:line="477" w:lineRule="auto" w:before="54"/>
        <w:ind w:right="0"/>
        <w:jc w:val="left"/>
      </w:pPr>
      <w:r>
        <w:rPr>
          <w:spacing w:val="-2"/>
        </w:rPr>
        <w:t>公司拥有独立的银行账号，资金运作独立，办理了独立的税务登记证并独立纳税，不存在与股东及其关联方共用银行账户及</w:t>
      </w:r>
      <w:r>
        <w:rPr>
          <w:spacing w:val="-61"/>
        </w:rPr>
        <w:t> </w:t>
      </w:r>
      <w:r>
        <w:rPr>
          <w:spacing w:val="-61"/>
        </w:rPr>
      </w:r>
      <w:r>
        <w:rPr/>
        <w:t>混合纳税的情形。公司能够独立做出财务决策，不存在控股股东或实际控制人干预企业资金使用的情况。</w:t>
      </w:r>
    </w:p>
    <w:p>
      <w:pPr>
        <w:spacing w:line="240" w:lineRule="auto" w:before="7"/>
        <w:rPr>
          <w:rFonts w:ascii="宋体" w:hAnsi="宋体" w:cs="宋体" w:eastAsia="宋体" w:hint="default"/>
          <w:sz w:val="17"/>
          <w:szCs w:val="17"/>
        </w:rPr>
      </w:pPr>
    </w:p>
    <w:p>
      <w:pPr>
        <w:pStyle w:val="Heading2"/>
        <w:spacing w:line="240" w:lineRule="auto"/>
        <w:ind w:right="1133"/>
        <w:jc w:val="left"/>
        <w:rPr>
          <w:b w:val="0"/>
          <w:bCs w:val="0"/>
        </w:rPr>
      </w:pPr>
      <w:r>
        <w:rPr/>
        <w:t>三、同业竞争情况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before="0"/>
        <w:ind w:right="1133"/>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58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53.96%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12" w:lineRule="auto" w:before="63"/>
              <w:ind w:left="24" w:right="22"/>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.com.cn</w:t>
            </w:r>
            <w:r>
              <w:rPr>
                <w:rFonts w:ascii="宋体" w:hAnsi="宋体" w:cs="宋体" w:eastAsia="宋体" w:hint="default"/>
                <w:spacing w:val="-9"/>
                <w:sz w:val="18"/>
                <w:szCs w:val="18"/>
              </w:rPr>
              <w:t>）《苏州恒久</w:t>
            </w:r>
            <w:r>
              <w:rPr>
                <w:rFonts w:ascii="宋体" w:hAnsi="宋体" w:cs="宋体" w:eastAsia="宋体" w:hint="default"/>
                <w:sz w:val="18"/>
                <w:szCs w:val="18"/>
              </w:rPr>
              <w:t> 光电科技股份有限 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 临时股东大会决议 </w:t>
            </w:r>
            <w:r>
              <w:rPr>
                <w:rFonts w:ascii="宋体" w:hAnsi="宋体" w:cs="宋体" w:eastAsia="宋体" w:hint="default"/>
                <w:spacing w:val="-11"/>
                <w:sz w:val="18"/>
                <w:szCs w:val="18"/>
              </w:rPr>
              <w:t>公告》（公告编号：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2019-006</w:t>
            </w:r>
            <w:r>
              <w:rPr>
                <w:rFonts w:ascii="宋体" w:hAnsi="宋体" w:cs="宋体" w:eastAsia="宋体" w:hint="default"/>
                <w:sz w:val="18"/>
                <w:szCs w:val="18"/>
              </w:rPr>
              <w:t>）</w:t>
            </w:r>
          </w:p>
        </w:tc>
      </w:tr>
      <w:tr>
        <w:trPr>
          <w:trHeight w:val="227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53.91%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4"/>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09" w:lineRule="auto" w:before="63"/>
              <w:ind w:left="24" w:right="-34"/>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.com.cn</w:t>
            </w:r>
            <w:r>
              <w:rPr>
                <w:rFonts w:ascii="宋体" w:hAnsi="宋体" w:cs="宋体" w:eastAsia="宋体" w:hint="default"/>
                <w:spacing w:val="-9"/>
                <w:sz w:val="18"/>
                <w:szCs w:val="18"/>
              </w:rPr>
              <w:t>）《苏州恒久</w:t>
            </w:r>
            <w:r>
              <w:rPr>
                <w:rFonts w:ascii="宋体" w:hAnsi="宋体" w:cs="宋体" w:eastAsia="宋体" w:hint="default"/>
                <w:sz w:val="18"/>
                <w:szCs w:val="18"/>
              </w:rPr>
              <w:t> 光电科技股份有限 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 </w:t>
            </w:r>
            <w:r>
              <w:rPr>
                <w:rFonts w:ascii="宋体" w:hAnsi="宋体" w:cs="宋体" w:eastAsia="宋体" w:hint="default"/>
                <w:spacing w:val="-11"/>
                <w:sz w:val="18"/>
                <w:szCs w:val="18"/>
              </w:rPr>
              <w:t>大会决议公告》（公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告编号：</w:t>
            </w:r>
            <w:r>
              <w:rPr>
                <w:rFonts w:ascii="Times New Roman" w:hAnsi="Times New Roman" w:cs="Times New Roman" w:eastAsia="Times New Roman" w:hint="default"/>
                <w:sz w:val="18"/>
                <w:szCs w:val="18"/>
              </w:rPr>
              <w:t>2019-032</w:t>
            </w:r>
            <w:r>
              <w:rPr>
                <w:rFonts w:ascii="宋体" w:hAnsi="宋体" w:cs="宋体" w:eastAsia="宋体" w:hint="default"/>
                <w:sz w:val="18"/>
                <w:szCs w:val="18"/>
              </w:rPr>
              <w:t>）</w:t>
            </w:r>
          </w:p>
        </w:tc>
      </w:tr>
    </w:tbl>
    <w:p>
      <w:pPr>
        <w:spacing w:after="0" w:line="309"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258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53.91%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7"/>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12" w:lineRule="auto" w:before="63"/>
              <w:ind w:left="24" w:right="22"/>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.com.cn</w:t>
            </w:r>
            <w:r>
              <w:rPr>
                <w:rFonts w:ascii="宋体" w:hAnsi="宋体" w:cs="宋体" w:eastAsia="宋体" w:hint="default"/>
                <w:spacing w:val="-9"/>
                <w:sz w:val="18"/>
                <w:szCs w:val="18"/>
              </w:rPr>
              <w:t>）《苏州恒久</w:t>
            </w:r>
            <w:r>
              <w:rPr>
                <w:rFonts w:ascii="宋体" w:hAnsi="宋体" w:cs="宋体" w:eastAsia="宋体" w:hint="default"/>
                <w:sz w:val="18"/>
                <w:szCs w:val="18"/>
              </w:rPr>
              <w:t> 光电科技股份有限 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 临时股东大会决议 </w:t>
            </w:r>
            <w:r>
              <w:rPr>
                <w:rFonts w:ascii="宋体" w:hAnsi="宋体" w:cs="宋体" w:eastAsia="宋体" w:hint="default"/>
                <w:spacing w:val="-11"/>
                <w:sz w:val="18"/>
                <w:szCs w:val="18"/>
              </w:rPr>
              <w:t>公告》（公告编号：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2019-046</w:t>
            </w:r>
            <w:r>
              <w:rPr>
                <w:rFonts w:ascii="宋体" w:hAnsi="宋体" w:cs="宋体" w:eastAsia="宋体" w:hint="default"/>
                <w:sz w:val="18"/>
                <w:szCs w:val="18"/>
              </w:rPr>
              <w:t>）</w:t>
            </w:r>
          </w:p>
        </w:tc>
      </w:tr>
    </w:tbl>
    <w:p>
      <w:pPr>
        <w:spacing w:line="240" w:lineRule="auto" w:before="3"/>
        <w:rPr>
          <w:rFonts w:ascii="宋体" w:hAnsi="宋体" w:cs="宋体" w:eastAsia="宋体" w:hint="default"/>
          <w:b/>
          <w:bCs/>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before="0"/>
        <w:ind w:right="1133"/>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5"/>
        <w:gridCol w:w="1162"/>
        <w:gridCol w:w="1164"/>
        <w:gridCol w:w="1162"/>
        <w:gridCol w:w="1165"/>
        <w:gridCol w:w="1164"/>
      </w:tblGrid>
      <w:tr>
        <w:trPr>
          <w:trHeight w:val="403"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4"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李建康</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朱雪珍</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潘晓珍</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357" w:lineRule="auto" w:before="49"/>
        <w:ind w:right="8054"/>
        <w:jc w:val="left"/>
      </w:pPr>
      <w:r>
        <w:rPr/>
        <w:t>连续两次未亲自出席董事会的说明 不适用</w:t>
      </w:r>
    </w:p>
    <w:p>
      <w:pPr>
        <w:spacing w:line="240" w:lineRule="auto" w:before="6"/>
        <w:rPr>
          <w:rFonts w:ascii="宋体" w:hAnsi="宋体" w:cs="宋体" w:eastAsia="宋体" w:hint="default"/>
          <w:sz w:val="20"/>
          <w:szCs w:val="20"/>
        </w:rPr>
      </w:pPr>
    </w:p>
    <w:p>
      <w:pPr>
        <w:pStyle w:val="Heading3"/>
        <w:spacing w:line="240" w:lineRule="auto" w:before="0"/>
        <w:ind w:right="1133"/>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独立董事对公司有关事项是否提出异议</w:t>
      </w:r>
    </w:p>
    <w:p>
      <w:pPr>
        <w:pStyle w:val="BodyText"/>
        <w:spacing w:line="340" w:lineRule="auto" w:before="115"/>
        <w:ind w:right="6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5"/>
        <w:rPr>
          <w:rFonts w:ascii="宋体" w:hAnsi="宋体" w:cs="宋体" w:eastAsia="宋体" w:hint="default"/>
          <w:sz w:val="21"/>
          <w:szCs w:val="21"/>
        </w:rPr>
      </w:pPr>
    </w:p>
    <w:p>
      <w:pPr>
        <w:pStyle w:val="Heading3"/>
        <w:spacing w:line="240" w:lineRule="auto" w:before="0"/>
        <w:ind w:right="1133"/>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独立董事对公司有关建议是否被采纳</w:t>
      </w:r>
    </w:p>
    <w:p>
      <w:pPr>
        <w:pStyle w:val="BodyText"/>
        <w:spacing w:line="340" w:lineRule="auto" w:before="115"/>
        <w:ind w:right="67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w:t>
      </w:r>
    </w:p>
    <w:p>
      <w:pPr>
        <w:pStyle w:val="BodyText"/>
        <w:spacing w:line="477" w:lineRule="auto" w:before="121"/>
        <w:ind w:right="1034" w:firstLine="360"/>
        <w:jc w:val="left"/>
      </w:pPr>
      <w:r>
        <w:rPr>
          <w:spacing w:val="-2"/>
        </w:rPr>
        <w:t>报告期内，公司独立董事严格按照《证券法》、中国证监会《关于在上市公司建立独立董事制度的指导意见》、《深圳</w:t>
      </w:r>
      <w:r>
        <w:rPr/>
        <w:t> 证券交易所中小企业板上市公司规范运作指引》和《公司章程》等有关规定，勤勉尽责，独立履行职责，对公司规范运作、 经营发展和管理适时提出专业意见。</w:t>
      </w:r>
    </w:p>
    <w:p>
      <w:pPr>
        <w:spacing w:after="0" w:line="477" w:lineRule="auto"/>
        <w:jc w:val="left"/>
        <w:sectPr>
          <w:pgSz w:w="11910" w:h="16840"/>
          <w:pgMar w:header="877" w:footer="980" w:top="1100" w:bottom="1160" w:left="980" w:right="0"/>
        </w:sectPr>
      </w:pPr>
    </w:p>
    <w:p>
      <w:pPr>
        <w:spacing w:line="240" w:lineRule="auto" w:before="11"/>
        <w:rPr>
          <w:rFonts w:ascii="宋体" w:hAnsi="宋体" w:cs="宋体" w:eastAsia="宋体" w:hint="default"/>
          <w:sz w:val="27"/>
          <w:szCs w:val="27"/>
        </w:rPr>
      </w:pPr>
    </w:p>
    <w:p>
      <w:pPr>
        <w:pStyle w:val="BodyText"/>
        <w:spacing w:line="472" w:lineRule="auto" w:before="44"/>
        <w:ind w:right="1131" w:firstLine="360"/>
        <w:jc w:val="both"/>
      </w:pPr>
      <w:r>
        <w:rPr/>
        <w:t>公司现有独立董事</w:t>
      </w:r>
      <w:r>
        <w:rPr>
          <w:rFonts w:ascii="Times New Roman" w:hAnsi="Times New Roman" w:cs="Times New Roman" w:eastAsia="Times New Roman" w:hint="default"/>
        </w:rPr>
        <w:t>3</w:t>
      </w:r>
      <w:r>
        <w:rPr/>
        <w:t>人，本着忠实勤勉、独立公正的原则，认真履行职责，独立董事认真负责的参加了公司报告期内的 </w:t>
      </w:r>
      <w:r>
        <w:rPr>
          <w:spacing w:val="-2"/>
        </w:rPr>
        <w:t>董事会，并认真履行独立董事责任。独立董事对公司报告期内公司的年度日常关联交易、利润分配、使用部分闲置募集资金</w:t>
      </w:r>
      <w:r>
        <w:rPr>
          <w:spacing w:val="-65"/>
        </w:rPr>
        <w:t> </w:t>
      </w:r>
      <w:r>
        <w:rPr>
          <w:spacing w:val="-65"/>
        </w:rPr>
      </w:r>
      <w:r>
        <w:rPr>
          <w:spacing w:val="-2"/>
        </w:rPr>
        <w:t>进行现金管理、使用闲置自有资金进行现金管理、会计政策变更、财务负责人变更、会计师事务所变更等议案进行了客观公</w:t>
      </w:r>
      <w:r>
        <w:rPr>
          <w:spacing w:val="-64"/>
        </w:rPr>
        <w:t> </w:t>
      </w:r>
      <w:r>
        <w:rPr>
          <w:spacing w:val="-64"/>
        </w:rPr>
      </w:r>
      <w:r>
        <w:rPr>
          <w:spacing w:val="-2"/>
        </w:rPr>
        <w:t>正的审议。报告期内，公司独立董事未对公司本年度的董事会议案及其他非董事会议案提出异议。同时，为进一步完善公司</w:t>
      </w:r>
      <w:r>
        <w:rPr>
          <w:spacing w:val="-64"/>
        </w:rPr>
        <w:t> </w:t>
      </w:r>
      <w:r>
        <w:rPr>
          <w:spacing w:val="-64"/>
        </w:rPr>
      </w:r>
      <w:r>
        <w:rPr>
          <w:spacing w:val="-2"/>
        </w:rPr>
        <w:t>治理，健全公司治理制度，独立董事深入了解公司的经营情况，进一步提高董事会决策科学性、为客观公正地保护广大投资</w:t>
      </w:r>
      <w:r>
        <w:rPr>
          <w:spacing w:val="-64"/>
        </w:rPr>
        <w:t> </w:t>
      </w:r>
      <w:r>
        <w:rPr>
          <w:spacing w:val="-64"/>
        </w:rPr>
      </w:r>
      <w:r>
        <w:rPr/>
        <w:t>者特别是中小股民的合法权益，</w:t>
      </w:r>
      <w:r>
        <w:rPr>
          <w:spacing w:val="-18"/>
        </w:rPr>
        <w:t> </w:t>
      </w:r>
      <w:r>
        <w:rPr/>
        <w:t>促进公司发展起到重要作用。</w:t>
      </w:r>
    </w:p>
    <w:p>
      <w:pPr>
        <w:spacing w:line="240" w:lineRule="auto" w:before="10"/>
        <w:rPr>
          <w:rFonts w:ascii="宋体" w:hAnsi="宋体" w:cs="宋体" w:eastAsia="宋体" w:hint="default"/>
          <w:sz w:val="17"/>
          <w:szCs w:val="17"/>
        </w:rPr>
      </w:pPr>
    </w:p>
    <w:p>
      <w:pPr>
        <w:pStyle w:val="Heading2"/>
        <w:spacing w:line="240" w:lineRule="auto"/>
        <w:ind w:right="1133"/>
        <w:jc w:val="left"/>
        <w:rPr>
          <w:b w:val="0"/>
          <w:bCs w:val="0"/>
        </w:rPr>
      </w:pPr>
      <w:r>
        <w:rPr/>
        <w:t>六、董事会下设专门委员会在报告期内履行职责情况</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right="1159" w:firstLine="432"/>
        <w:jc w:val="both"/>
      </w:pPr>
      <w:r>
        <w:rPr/>
        <w:t>报告期内，董事会各专门委员会根据《公司章程》和公司董事会各专门委员会工作细则，切实履职，开展了卓有成效 的工作，为公司发展提供专业建议。</w:t>
      </w:r>
    </w:p>
    <w:p>
      <w:pPr>
        <w:pStyle w:val="BodyText"/>
        <w:spacing w:line="468" w:lineRule="auto" w:before="54"/>
        <w:ind w:right="1133" w:firstLine="360"/>
        <w:jc w:val="both"/>
      </w:pPr>
      <w:r>
        <w:rPr/>
        <w:t>报告期内，公司董事会审计委员会共召开了</w:t>
      </w:r>
      <w:r>
        <w:rPr>
          <w:rFonts w:ascii="Times New Roman" w:hAnsi="Times New Roman" w:cs="Times New Roman" w:eastAsia="Times New Roman" w:hint="default"/>
        </w:rPr>
        <w:t>8</w:t>
      </w:r>
      <w:r>
        <w:rPr/>
        <w:t>次会议，对公司定期报告、募集资金存放与使用、内审工作报告与工作计 </w:t>
      </w:r>
      <w:r>
        <w:rPr>
          <w:spacing w:val="-2"/>
        </w:rPr>
        <w:t>划、预计及增加年度日常关联交易额度、会计政策变更、变更会计师事务所事项进行了审议。年报编制期间，审计委员会和</w:t>
      </w:r>
      <w:r>
        <w:rPr>
          <w:spacing w:val="-67"/>
        </w:rPr>
        <w:t> </w:t>
      </w:r>
      <w:r>
        <w:rPr>
          <w:spacing w:val="-67"/>
        </w:rPr>
      </w:r>
      <w:r>
        <w:rPr>
          <w:spacing w:val="-2"/>
        </w:rPr>
        <w:t>其他独立董事一起与年审会计师见面，沟通审计计划、审计工作安排以及审计中发现的问题，并就初审意见进行交流，确保</w:t>
      </w:r>
      <w:r>
        <w:rPr>
          <w:spacing w:val="-66"/>
        </w:rPr>
        <w:t> </w:t>
      </w:r>
      <w:r>
        <w:rPr>
          <w:spacing w:val="-66"/>
        </w:rPr>
      </w:r>
      <w:r>
        <w:rPr/>
        <w:t>审计的独立性和审计工作完成的及时性及完成质量。报告期内，审计委员会勤勉履行职责，发挥了其应有的作用。</w:t>
      </w:r>
    </w:p>
    <w:p>
      <w:pPr>
        <w:pStyle w:val="BodyText"/>
        <w:spacing w:line="451" w:lineRule="auto" w:before="61"/>
        <w:ind w:right="1136" w:firstLine="360"/>
        <w:jc w:val="both"/>
      </w:pPr>
      <w:r>
        <w:rPr/>
        <w:t>报告期内，公司董事会薪酬与考核委员会召开会议</w:t>
      </w:r>
      <w:r>
        <w:rPr>
          <w:rFonts w:ascii="Times New Roman" w:hAnsi="Times New Roman" w:cs="Times New Roman" w:eastAsia="Times New Roman" w:hint="default"/>
        </w:rPr>
        <w:t>1</w:t>
      </w:r>
      <w:r>
        <w:rPr/>
        <w:t>次，对公司董事（非独立董事）和高级管理人员</w:t>
      </w:r>
      <w:r>
        <w:rPr>
          <w:rFonts w:ascii="Times New Roman" w:hAnsi="Times New Roman" w:cs="Times New Roman" w:eastAsia="Times New Roman" w:hint="default"/>
        </w:rPr>
        <w:t>2019</w:t>
      </w:r>
      <w:r>
        <w:rPr/>
        <w:t>年度薪酬方案 进行了审议，并对公司董事（非独立董事）和高级管理人员</w:t>
      </w:r>
      <w:r>
        <w:rPr>
          <w:rFonts w:ascii="Times New Roman" w:hAnsi="Times New Roman" w:cs="Times New Roman" w:eastAsia="Times New Roman" w:hint="default"/>
        </w:rPr>
        <w:t>2018</w:t>
      </w:r>
      <w:r>
        <w:rPr/>
        <w:t>年度薪酬方案的执行情况与绩效考核情况进行了审查。</w:t>
      </w:r>
    </w:p>
    <w:p>
      <w:pPr>
        <w:pStyle w:val="BodyText"/>
        <w:spacing w:line="448" w:lineRule="auto" w:before="43"/>
        <w:ind w:right="1139" w:firstLine="360"/>
        <w:jc w:val="both"/>
      </w:pPr>
      <w:r>
        <w:rPr/>
        <w:t>报告期内，公司董事会战略委员会共召开了</w:t>
      </w:r>
      <w:r>
        <w:rPr>
          <w:rFonts w:ascii="Times New Roman" w:hAnsi="Times New Roman" w:cs="Times New Roman" w:eastAsia="Times New Roman" w:hint="default"/>
        </w:rPr>
        <w:t>4</w:t>
      </w:r>
      <w:r>
        <w:rPr/>
        <w:t>次会议，对公司年度经营计划与未来发展战略、向银行申请授信额度、股 权收购协议等事宜进行审议，对公司重大事项进行研究并提出意见。</w:t>
      </w:r>
    </w:p>
    <w:p>
      <w:pPr>
        <w:pStyle w:val="BodyText"/>
        <w:spacing w:line="451" w:lineRule="auto" w:before="76"/>
        <w:ind w:right="1139" w:firstLine="360"/>
        <w:jc w:val="both"/>
      </w:pPr>
      <w:r>
        <w:rPr/>
        <w:t>报告期内，公司董事会提名委员会共召开</w:t>
      </w:r>
      <w:r>
        <w:rPr>
          <w:rFonts w:ascii="Times New Roman" w:hAnsi="Times New Roman" w:cs="Times New Roman" w:eastAsia="Times New Roman" w:hint="default"/>
        </w:rPr>
        <w:t>3</w:t>
      </w:r>
      <w:r>
        <w:rPr/>
        <w:t>次会议，对公司现任董事、高级管理人员任职情况考察、提名公司财务负责 人候选人、提名公司证券事务代表候选人，确保公司管理团队的专业素质。</w:t>
      </w:r>
    </w:p>
    <w:p>
      <w:pPr>
        <w:spacing w:line="240" w:lineRule="auto" w:before="0"/>
        <w:rPr>
          <w:rFonts w:ascii="宋体" w:hAnsi="宋体" w:cs="宋体" w:eastAsia="宋体" w:hint="default"/>
          <w:sz w:val="19"/>
          <w:szCs w:val="19"/>
        </w:rPr>
      </w:pPr>
    </w:p>
    <w:p>
      <w:pPr>
        <w:pStyle w:val="Heading2"/>
        <w:spacing w:line="240" w:lineRule="auto"/>
        <w:ind w:right="1133"/>
        <w:jc w:val="left"/>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监事会在报告期内的监督活动中发现公司是否存在风险</w:t>
      </w:r>
    </w:p>
    <w:p>
      <w:pPr>
        <w:pStyle w:val="BodyText"/>
        <w:spacing w:line="338" w:lineRule="auto" w:before="117"/>
        <w:ind w:right="76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监事会对报告期内的监督事项无异议。</w:t>
      </w:r>
    </w:p>
    <w:p>
      <w:pPr>
        <w:spacing w:line="240" w:lineRule="auto" w:before="9"/>
        <w:rPr>
          <w:rFonts w:ascii="宋体" w:hAnsi="宋体" w:cs="宋体" w:eastAsia="宋体" w:hint="default"/>
          <w:sz w:val="19"/>
          <w:szCs w:val="19"/>
        </w:rPr>
      </w:pPr>
    </w:p>
    <w:p>
      <w:pPr>
        <w:pStyle w:val="Heading2"/>
        <w:spacing w:line="240" w:lineRule="auto"/>
        <w:ind w:right="1133"/>
        <w:jc w:val="left"/>
        <w:rPr>
          <w:b w:val="0"/>
          <w:bCs w:val="0"/>
        </w:rPr>
      </w:pPr>
      <w:r>
        <w:rPr/>
        <w:t>八、高级管理人员的考评及激励情况</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right="1129" w:firstLine="360"/>
        <w:jc w:val="both"/>
      </w:pPr>
      <w:r>
        <w:rPr>
          <w:spacing w:val="-2"/>
        </w:rPr>
        <w:t>公司依照相关法律规定，结合公司情况构建了薪酬与考核管理体系，制订了兼顾公平性与激励性的薪酬考核制度，由公</w:t>
      </w:r>
      <w:r>
        <w:rPr/>
        <w:t> </w:t>
      </w:r>
      <w:r>
        <w:rPr>
          <w:spacing w:val="-2"/>
        </w:rPr>
        <w:t>司董事会薪酬与考核管理委员会进行监督和考核。报告期内，公司高级管理人员勤勉履职，公司各项考评、激励机制执行良</w:t>
      </w:r>
      <w:r>
        <w:rPr>
          <w:spacing w:val="-64"/>
        </w:rPr>
        <w:t> </w:t>
      </w:r>
      <w:r>
        <w:rPr>
          <w:spacing w:val="-64"/>
        </w:rPr>
      </w:r>
      <w:r>
        <w:rPr/>
        <w:t>好，有效促进公司形成公正公平的薪酬考核体系，充分有效地调动了高级管理人员积极性。</w:t>
      </w:r>
    </w:p>
    <w:p>
      <w:pPr>
        <w:spacing w:after="0" w:line="477" w:lineRule="auto"/>
        <w:jc w:val="both"/>
        <w:sectPr>
          <w:pgSz w:w="11910" w:h="16840"/>
          <w:pgMar w:header="877" w:footer="980"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1133"/>
        <w:jc w:val="left"/>
        <w:rPr>
          <w:b w:val="0"/>
          <w:bCs w:val="0"/>
        </w:rPr>
      </w:pP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before="0"/>
        <w:ind w:right="1133"/>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before="0"/>
        <w:ind w:right="1133"/>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7"/>
          <w:szCs w:val="17"/>
        </w:rPr>
      </w:pPr>
    </w:p>
    <w:p>
      <w:pPr>
        <w:pStyle w:val="BodyText"/>
        <w:spacing w:line="240" w:lineRule="auto" w:before="44"/>
        <w:ind w:left="0" w:right="1138"/>
        <w:jc w:val="right"/>
      </w:pPr>
      <w:r>
        <w:rPr/>
        <w:pict>
          <v:shape style="position:absolute;margin-left:56.400002pt;margin-top:-20.768251pt;width:479.3pt;height:560.5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0"/>
                    <w:gridCol w:w="3341"/>
                    <w:gridCol w:w="304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年度内部控制评价报告</w:t>
                        </w:r>
                        <w:r>
                          <w:rPr>
                            <w:rFonts w:ascii="宋体" w:hAnsi="宋体" w:cs="宋体" w:eastAsia="宋体" w:hint="default"/>
                            <w:spacing w:val="-92"/>
                            <w:sz w:val="18"/>
                            <w:szCs w:val="18"/>
                          </w:rPr>
                          <w:t>》</w:t>
                        </w:r>
                        <w:r>
                          <w:rPr>
                            <w:rFonts w:ascii="宋体" w:hAnsi="宋体" w:cs="宋体" w:eastAsia="宋体" w:hint="default"/>
                            <w:sz w:val="18"/>
                            <w:szCs w:val="18"/>
                          </w:rPr>
                          <w:t>全文登载于巨潮资讯</w:t>
                        </w:r>
                        <w:r>
                          <w:rPr>
                            <w:rFonts w:ascii="宋体" w:hAnsi="宋体" w:cs="宋体" w:eastAsia="宋体" w:hint="default"/>
                            <w:spacing w:val="-92"/>
                            <w:sz w:val="18"/>
                            <w:szCs w:val="18"/>
                          </w:rPr>
                          <w:t>网</w:t>
                        </w:r>
                        <w:r>
                          <w:rPr>
                            <w:rFonts w:ascii="宋体" w:hAnsi="宋体" w:cs="宋体" w:eastAsia="宋体" w:hint="default"/>
                            <w:sz w:val="18"/>
                            <w:szCs w:val="18"/>
                          </w:rPr>
                          <w:t>（</w:t>
                        </w:r>
                        <w:hyperlink r:id="rId11">
                          <w:r>
                            <w:rPr>
                              <w:rFonts w:ascii="Times New Roman" w:hAnsi="Times New Roman" w:cs="Times New Roman" w:eastAsia="Times New Roman" w:hint="default"/>
                              <w:spacing w:val="1"/>
                              <w:sz w:val="18"/>
                              <w:szCs w:val="18"/>
                            </w:rPr>
                            <w:t>h</w:t>
                          </w:r>
                          <w:r>
                            <w:rPr>
                              <w:rFonts w:ascii="Times New Roman" w:hAnsi="Times New Roman" w:cs="Times New Roman" w:eastAsia="Times New Roman" w:hint="default"/>
                              <w:sz w:val="18"/>
                              <w:szCs w:val="18"/>
                            </w:rPr>
                            <w:t>tt</w:t>
                          </w:r>
                          <w:r>
                            <w:rPr>
                              <w:rFonts w:ascii="Times New Roman" w:hAnsi="Times New Roman" w:cs="Times New Roman" w:eastAsia="Times New Roman" w:hint="default"/>
                              <w:spacing w:val="1"/>
                              <w:sz w:val="18"/>
                              <w:szCs w:val="18"/>
                            </w:rPr>
                            <w:t>p</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3"/>
                              <w:w w:val="99"/>
                              <w:sz w:val="18"/>
                              <w:szCs w:val="18"/>
                            </w:rPr>
                            <w:t>w</w:t>
                          </w:r>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6"/>
                              <w:w w:val="99"/>
                              <w:sz w:val="18"/>
                              <w:szCs w:val="18"/>
                            </w:rPr>
                            <w:t>w</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3"/>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z w:val="18"/>
                              <w:szCs w:val="18"/>
                            </w:rPr>
                            <w:t>n</w:t>
                          </w:r>
                        </w:hyperlink>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6"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6"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8"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9"/>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884"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341" w:type="dxa"/>
                        <w:vMerge w:val="restart"/>
                        <w:tcBorders>
                          <w:top w:val="single" w:sz="4" w:space="0" w:color="000000"/>
                          <w:left w:val="single" w:sz="9" w:space="0" w:color="D2D2D2"/>
                          <w:right w:val="single" w:sz="14"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23" w:right="-37"/>
                          <w:jc w:val="left"/>
                          <w:rPr>
                            <w:rFonts w:ascii="宋体" w:hAnsi="宋体" w:cs="宋体" w:eastAsia="宋体" w:hint="default"/>
                            <w:sz w:val="18"/>
                            <w:szCs w:val="18"/>
                          </w:rPr>
                        </w:pPr>
                        <w:r>
                          <w:rPr>
                            <w:rFonts w:ascii="宋体" w:hAnsi="宋体" w:cs="宋体" w:eastAsia="宋体" w:hint="default"/>
                            <w:spacing w:val="-6"/>
                            <w:sz w:val="18"/>
                            <w:szCs w:val="18"/>
                          </w:rPr>
                          <w:t>财务报告重大缺陷的迹象包括：公司董事、</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监事和高级管理人员的舞弊行为、公司因</w:t>
                        </w:r>
                        <w:r>
                          <w:rPr>
                            <w:rFonts w:ascii="宋体" w:hAnsi="宋体" w:cs="宋体" w:eastAsia="宋体" w:hint="default"/>
                            <w:sz w:val="18"/>
                            <w:szCs w:val="18"/>
                          </w:rPr>
                          <w:t> 重大会计差错更正已公布的财务报告、注 册会计师发现的却未被公司内部控制识别 的当期财务报告中的重大错报、审计委员 会和审计部对公司的对外财务报告和财务 报告内部控制监督无效。</w:t>
                        </w:r>
                        <w:r>
                          <w:rPr>
                            <w:rFonts w:ascii="宋体" w:hAnsi="宋体" w:cs="宋体" w:eastAsia="宋体" w:hint="default"/>
                            <w:spacing w:val="-62"/>
                            <w:sz w:val="18"/>
                            <w:szCs w:val="18"/>
                          </w:rPr>
                          <w:t> </w:t>
                        </w:r>
                        <w:r>
                          <w:rPr>
                            <w:rFonts w:ascii="宋体" w:hAnsi="宋体" w:cs="宋体" w:eastAsia="宋体" w:hint="default"/>
                            <w:sz w:val="18"/>
                            <w:szCs w:val="18"/>
                          </w:rPr>
                          <w:t>财务报告重要缺</w:t>
                        </w:r>
                        <w:r>
                          <w:rPr>
                            <w:rFonts w:ascii="宋体" w:hAnsi="宋体" w:cs="宋体" w:eastAsia="宋体" w:hint="default"/>
                            <w:sz w:val="18"/>
                            <w:szCs w:val="18"/>
                          </w:rPr>
                          <w:t> 陷的迹象包括：未依照公认会计准则选择 和应用会计政策、未建立反舞弊程序和控 制措施、对于非常规或特殊交易的账务处 理没有建立相应的控制机制或没有实施且 没有相应的补偿性控制、对于期末财务报 告过程的控制存在一项或多项缺陷且不能 合理保证编制的财务报表达到真实、准确 的目标。一般缺陷是指除上述重大缺陷、 重要缺陷之外的其他控制缺陷。</w:t>
                        </w:r>
                      </w:p>
                    </w:tc>
                    <w:tc>
                      <w:tcPr>
                        <w:tcW w:w="3040" w:type="dxa"/>
                        <w:vMerge w:val="restart"/>
                        <w:tcBorders>
                          <w:top w:val="single" w:sz="4" w:space="0" w:color="000000"/>
                          <w:left w:val="single" w:sz="14" w:space="0" w:color="FFFFFF"/>
                          <w:right w:val="single" w:sz="4" w:space="0" w:color="000000"/>
                        </w:tcBorders>
                      </w:tcPr>
                      <w:p>
                        <w:pPr>
                          <w:pStyle w:val="TableParagraph"/>
                          <w:spacing w:line="316" w:lineRule="auto" w:before="49"/>
                          <w:ind w:left="-1" w:right="-43"/>
                          <w:jc w:val="left"/>
                          <w:rPr>
                            <w:rFonts w:ascii="宋体" w:hAnsi="宋体" w:cs="宋体" w:eastAsia="宋体" w:hint="default"/>
                            <w:sz w:val="18"/>
                            <w:szCs w:val="18"/>
                          </w:rPr>
                        </w:pPr>
                        <w:r>
                          <w:rPr>
                            <w:rFonts w:ascii="宋体" w:hAnsi="宋体" w:cs="宋体" w:eastAsia="宋体" w:hint="default"/>
                            <w:sz w:val="18"/>
                            <w:szCs w:val="18"/>
                          </w:rPr>
                          <w:t>重大缺陷：如果缺陷发生的可能性高， </w:t>
                        </w:r>
                        <w:r>
                          <w:rPr>
                            <w:rFonts w:ascii="宋体" w:hAnsi="宋体" w:cs="宋体" w:eastAsia="宋体" w:hint="default"/>
                            <w:spacing w:val="-4"/>
                            <w:sz w:val="18"/>
                            <w:szCs w:val="18"/>
                          </w:rPr>
                          <w:t>会严重降低工作效率或效果、或严重加</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大效果的不确定性、或使之严重偏离预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期目标，则认定为重大缺陷。比如：公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司缺乏民主决策程序；公司决策程序不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科学，导致重大失误；公司严重违反国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家法律、法规；公司中高级管理人员和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中高级技术人员流失严重；公司重要业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务缺乏制度控制或制度体系失效；公司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内部控制重大缺陷未得到整改；公司遭</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受证监会处罚或证券交易所警告；战略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与运营目标或关键业绩指标执行不合 </w:t>
                        </w:r>
                        <w:r>
                          <w:rPr>
                            <w:rFonts w:ascii="宋体" w:hAnsi="宋体" w:cs="宋体" w:eastAsia="宋体" w:hint="default"/>
                            <w:spacing w:val="-4"/>
                            <w:sz w:val="18"/>
                            <w:szCs w:val="18"/>
                          </w:rPr>
                          <w:t>理，严重偏离且存在方向性错误，对战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略与运营目标的实现产生严重负面作 用。</w:t>
                        </w:r>
                        <w:r>
                          <w:rPr>
                            <w:rFonts w:ascii="宋体" w:hAnsi="宋体" w:cs="宋体" w:eastAsia="宋体" w:hint="default"/>
                            <w:spacing w:val="1"/>
                            <w:sz w:val="18"/>
                            <w:szCs w:val="18"/>
                          </w:rPr>
                          <w:t> </w:t>
                        </w:r>
                        <w:r>
                          <w:rPr>
                            <w:rFonts w:ascii="宋体" w:hAnsi="宋体" w:cs="宋体" w:eastAsia="宋体" w:hint="default"/>
                            <w:sz w:val="18"/>
                            <w:szCs w:val="18"/>
                          </w:rPr>
                          <w:t>重要缺陷：如果缺陷发生的可能</w:t>
                        </w:r>
                        <w:r>
                          <w:rPr>
                            <w:rFonts w:ascii="宋体" w:hAnsi="宋体" w:cs="宋体" w:eastAsia="宋体" w:hint="default"/>
                            <w:sz w:val="18"/>
                            <w:szCs w:val="18"/>
                          </w:rPr>
                          <w:t> 性较高，会显著降低工作效率或效果、 </w:t>
                        </w:r>
                        <w:r>
                          <w:rPr>
                            <w:rFonts w:ascii="宋体" w:hAnsi="宋体" w:cs="宋体" w:eastAsia="宋体" w:hint="default"/>
                            <w:spacing w:val="-4"/>
                            <w:sz w:val="18"/>
                            <w:szCs w:val="18"/>
                          </w:rPr>
                          <w:t>或显著加大效果的不确定性、或使之显</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著偏离预期目标，则认定为重要缺陷， 如：公司民主决策程序存在但不够完 善；公司决策程序导致出现重要失误； 公司违反企业内部规章，形成严重损 失；公司关键岗位业务人员流失严重； </w:t>
                        </w:r>
                        <w:r>
                          <w:rPr>
                            <w:rFonts w:ascii="宋体" w:hAnsi="宋体" w:cs="宋体" w:eastAsia="宋体" w:hint="default"/>
                            <w:spacing w:val="-4"/>
                            <w:sz w:val="18"/>
                            <w:szCs w:val="18"/>
                          </w:rPr>
                          <w:t>公司重要业务制度或系统存在缺陷；公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司内部控制重要缺陷未得到整改；公司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战略与运营目标或关键业绩指标执行 </w:t>
                        </w:r>
                        <w:r>
                          <w:rPr>
                            <w:rFonts w:ascii="宋体" w:hAnsi="宋体" w:cs="宋体" w:eastAsia="宋体" w:hint="default"/>
                            <w:spacing w:val="-4"/>
                            <w:sz w:val="18"/>
                            <w:szCs w:val="18"/>
                          </w:rPr>
                          <w:t>不合理，严重偏离，对战略与运营目标</w:t>
                        </w:r>
                      </w:p>
                    </w:tc>
                  </w:tr>
                  <w:tr>
                    <w:trPr>
                      <w:trHeight w:val="394"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定性标准</w:t>
                        </w:r>
                      </w:p>
                    </w:tc>
                    <w:tc>
                      <w:tcPr>
                        <w:tcW w:w="3341" w:type="dxa"/>
                        <w:vMerge/>
                        <w:tcBorders>
                          <w:left w:val="single" w:sz="9" w:space="0" w:color="D2D2D2"/>
                          <w:right w:val="single" w:sz="14" w:space="0" w:color="FFFFFF"/>
                        </w:tcBorders>
                      </w:tcPr>
                      <w:p>
                        <w:pPr/>
                      </w:p>
                    </w:tc>
                    <w:tc>
                      <w:tcPr>
                        <w:tcW w:w="3040" w:type="dxa"/>
                        <w:vMerge/>
                        <w:tcBorders>
                          <w:left w:val="single" w:sz="14" w:space="0" w:color="FFFFFF"/>
                          <w:right w:val="single" w:sz="4" w:space="0" w:color="000000"/>
                        </w:tcBorders>
                      </w:tcPr>
                      <w:p>
                        <w:pPr/>
                      </w:p>
                    </w:tc>
                  </w:tr>
                  <w:tr>
                    <w:trPr>
                      <w:trHeight w:val="3886"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341" w:type="dxa"/>
                        <w:vMerge/>
                        <w:tcBorders>
                          <w:left w:val="single" w:sz="9" w:space="0" w:color="D2D2D2"/>
                          <w:bottom w:val="single" w:sz="4" w:space="0" w:color="000000"/>
                          <w:right w:val="single" w:sz="14" w:space="0" w:color="FFFFFF"/>
                        </w:tcBorders>
                      </w:tcPr>
                      <w:p>
                        <w:pPr/>
                      </w:p>
                    </w:tc>
                    <w:tc>
                      <w:tcPr>
                        <w:tcW w:w="3040" w:type="dxa"/>
                        <w:vMerge/>
                        <w:tcBorders>
                          <w:left w:val="single" w:sz="14" w:space="0" w:color="FFFFFF"/>
                          <w:bottom w:val="single" w:sz="4" w:space="0" w:color="000000"/>
                          <w:right w:val="single" w:sz="4"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spacing w:line="312" w:lineRule="exact"/>
        <w:ind w:left="6701"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49.7pt;height:15.6pt;mso-position-horizontal-relative:char;mso-position-vertical-relative:line" coordorigin="0,0" coordsize="2994,312">
            <v:group style="position:absolute;left:0;top:0;width:2994;height:312" coordorigin="0,0" coordsize="2994,312">
              <v:shape style="position:absolute;left:0;top:0;width:2994;height:312" coordorigin="0,0" coordsize="2994,312" path="m0,312l2993,312,2993,0,0,0,0,312xe" filled="true" fillcolor="#ffffff" stroked="false">
                <v:path arrowok="t"/>
                <v:fill type="solid"/>
              </v:shape>
            </v:group>
          </v:group>
        </w:pict>
      </w:r>
      <w:r>
        <w:rPr>
          <w:rFonts w:ascii="宋体" w:hAnsi="宋体" w:cs="宋体" w:eastAsia="宋体" w:hint="default"/>
          <w:position w:val="-5"/>
          <w:sz w:val="20"/>
          <w:szCs w:val="20"/>
        </w:rPr>
      </w:r>
    </w:p>
    <w:p>
      <w:pPr>
        <w:spacing w:after="0" w:line="312" w:lineRule="exact"/>
        <w:rPr>
          <w:rFonts w:ascii="宋体" w:hAnsi="宋体" w:cs="宋体" w:eastAsia="宋体" w:hint="default"/>
          <w:sz w:val="20"/>
          <w:szCs w:val="20"/>
        </w:rPr>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BodyText"/>
        <w:spacing w:line="240" w:lineRule="auto" w:before="44"/>
        <w:ind w:left="0" w:right="1139"/>
        <w:jc w:val="right"/>
      </w:pPr>
      <w:r>
        <w:rPr/>
        <w:pict>
          <v:shape style="position:absolute;margin-left:56.459999pt;margin-top:-76.708282pt;width:479.2pt;height:524.75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4"/>
                    <w:gridCol w:w="3322"/>
                    <w:gridCol w:w="3053"/>
                  </w:tblGrid>
                  <w:tr>
                    <w:trPr>
                      <w:trHeight w:val="4107"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2" w:type="dxa"/>
                        <w:tcBorders>
                          <w:top w:val="single" w:sz="4" w:space="0" w:color="000000"/>
                          <w:left w:val="single" w:sz="4" w:space="0" w:color="000000"/>
                          <w:bottom w:val="single" w:sz="4" w:space="0" w:color="000000"/>
                          <w:right w:val="single" w:sz="4" w:space="0" w:color="000000"/>
                        </w:tcBorders>
                      </w:tcPr>
                      <w:p>
                        <w:pP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20"/>
                          <w:jc w:val="left"/>
                          <w:rPr>
                            <w:rFonts w:ascii="宋体" w:hAnsi="宋体" w:cs="宋体" w:eastAsia="宋体" w:hint="default"/>
                            <w:sz w:val="18"/>
                            <w:szCs w:val="18"/>
                          </w:rPr>
                        </w:pPr>
                        <w:r>
                          <w:rPr>
                            <w:rFonts w:ascii="宋体" w:hAnsi="宋体" w:cs="宋体" w:eastAsia="宋体" w:hint="default"/>
                            <w:sz w:val="18"/>
                            <w:szCs w:val="18"/>
                          </w:rPr>
                          <w:t>的实现产生明显的消极作用。一般缺 </w:t>
                        </w:r>
                        <w:r>
                          <w:rPr>
                            <w:rFonts w:ascii="宋体" w:hAnsi="宋体" w:cs="宋体" w:eastAsia="宋体" w:hint="default"/>
                            <w:spacing w:val="-4"/>
                            <w:sz w:val="18"/>
                            <w:szCs w:val="18"/>
                          </w:rPr>
                          <w:t>陷：如果缺陷发生的可能性较小，会降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低工作效率或效果、或加大效果的不确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定性、或使之偏离预期目标，则认定为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一般缺陷，比如：公司决策程序效率不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高；公司违反内部规章，但未形成损失</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公司一般岗位业务人员流失严重；</w:t>
                        </w:r>
                        <w:r>
                          <w:rPr>
                            <w:rFonts w:ascii="宋体" w:hAnsi="宋体" w:cs="宋体" w:eastAsia="宋体" w:hint="default"/>
                            <w:spacing w:val="1"/>
                            <w:sz w:val="18"/>
                            <w:szCs w:val="18"/>
                          </w:rPr>
                          <w:t> </w:t>
                        </w:r>
                        <w:r>
                          <w:rPr>
                            <w:rFonts w:ascii="宋体" w:hAnsi="宋体" w:cs="宋体" w:eastAsia="宋体" w:hint="default"/>
                            <w:sz w:val="18"/>
                            <w:szCs w:val="18"/>
                          </w:rPr>
                          <w:t>公</w:t>
                        </w:r>
                        <w:r>
                          <w:rPr>
                            <w:rFonts w:ascii="宋体" w:hAnsi="宋体" w:cs="宋体" w:eastAsia="宋体" w:hint="default"/>
                            <w:sz w:val="18"/>
                            <w:szCs w:val="18"/>
                          </w:rPr>
                          <w:t> </w:t>
                        </w:r>
                        <w:r>
                          <w:rPr>
                            <w:rFonts w:ascii="宋体" w:hAnsi="宋体" w:cs="宋体" w:eastAsia="宋体" w:hint="default"/>
                            <w:spacing w:val="-4"/>
                            <w:sz w:val="18"/>
                            <w:szCs w:val="18"/>
                          </w:rPr>
                          <w:t>司一般业务制度或系统存在缺陷；公司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一般缺陷未得到整改；公司战略与运营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目标或关键业绩的执行存在较小范围 </w:t>
                        </w:r>
                        <w:r>
                          <w:rPr>
                            <w:rFonts w:ascii="宋体" w:hAnsi="宋体" w:cs="宋体" w:eastAsia="宋体" w:hint="default"/>
                            <w:spacing w:val="-4"/>
                            <w:sz w:val="18"/>
                            <w:szCs w:val="18"/>
                          </w:rPr>
                          <w:t>的不合理，目标偏离，对战略与运营目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标的实现影响轻微；公司存在的其他缺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陷。</w:t>
                        </w:r>
                      </w:p>
                    </w:tc>
                  </w:tr>
                  <w:tr>
                    <w:trPr>
                      <w:trHeight w:val="4770"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定量标准</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09" w:lineRule="auto"/>
                          <w:ind w:left="24" w:right="21"/>
                          <w:jc w:val="left"/>
                          <w:rPr>
                            <w:rFonts w:ascii="宋体" w:hAnsi="宋体" w:cs="宋体" w:eastAsia="宋体" w:hint="default"/>
                            <w:sz w:val="18"/>
                            <w:szCs w:val="18"/>
                          </w:rPr>
                        </w:pPr>
                        <w:r>
                          <w:rPr>
                            <w:rFonts w:ascii="宋体" w:hAnsi="宋体" w:cs="宋体" w:eastAsia="宋体" w:hint="default"/>
                            <w:sz w:val="18"/>
                            <w:szCs w:val="18"/>
                          </w:rPr>
                          <w:t>重大缺陷指考虑补偿性控制措施和实际偏 差率后，该缺陷总体影响水平高于重要性 水平</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。重要缺陷指考虑 补偿性控制措施和实际偏差率后，该缺陷 总体影响水平低于重要性水平</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 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，但高于一般性水平</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营业收入的 </w:t>
                        </w:r>
                        <w:r>
                          <w:rPr>
                            <w:rFonts w:ascii="Times New Roman" w:hAnsi="Times New Roman" w:cs="Times New Roman" w:eastAsia="Times New Roman" w:hint="default"/>
                            <w:spacing w:val="-3"/>
                            <w:sz w:val="18"/>
                            <w:szCs w:val="18"/>
                          </w:rPr>
                          <w:t>0.1%)</w:t>
                        </w:r>
                        <w:r>
                          <w:rPr>
                            <w:rFonts w:ascii="宋体" w:hAnsi="宋体" w:cs="宋体" w:eastAsia="宋体" w:hint="default"/>
                            <w:spacing w:val="-3"/>
                            <w:sz w:val="18"/>
                            <w:szCs w:val="18"/>
                          </w:rPr>
                          <w:t>。一般缺陷指考虑补偿性控制措施和</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实际偏差率后，该缺陷总体影响水平低于 一般性水平</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17"/>
                          <w:jc w:val="left"/>
                          <w:rPr>
                            <w:rFonts w:ascii="宋体" w:hAnsi="宋体" w:cs="宋体" w:eastAsia="宋体" w:hint="default"/>
                            <w:sz w:val="18"/>
                            <w:szCs w:val="18"/>
                          </w:rPr>
                        </w:pPr>
                        <w:r>
                          <w:rPr>
                            <w:rFonts w:ascii="宋体" w:hAnsi="宋体" w:cs="宋体" w:eastAsia="宋体" w:hint="default"/>
                            <w:spacing w:val="-5"/>
                            <w:sz w:val="18"/>
                            <w:szCs w:val="18"/>
                          </w:rPr>
                          <w:t>重大缺陷：造成直接财产损失</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 </w:t>
                        </w:r>
                        <w:r>
                          <w:rPr>
                            <w:rFonts w:ascii="宋体" w:hAnsi="宋体" w:cs="宋体" w:eastAsia="宋体" w:hint="default"/>
                            <w:spacing w:val="-4"/>
                            <w:sz w:val="18"/>
                            <w:szCs w:val="18"/>
                          </w:rPr>
                          <w:t>及以上（潜在负面影响：具有已经对外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正式披露并对公司定期报告披露造成 负面影响，公司关键岗位人员流失严 </w:t>
                        </w:r>
                        <w:r>
                          <w:rPr>
                            <w:rFonts w:ascii="宋体" w:hAnsi="宋体" w:cs="宋体" w:eastAsia="宋体" w:hint="default"/>
                            <w:spacing w:val="-4"/>
                            <w:sz w:val="18"/>
                            <w:szCs w:val="18"/>
                          </w:rPr>
                          <w:t>重，被媒体频频曝光负面新闻等潜在负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9"/>
                            <w:sz w:val="18"/>
                            <w:szCs w:val="18"/>
                          </w:rPr>
                          <w:t>面影响。）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重要缺陷：造成直接财产损失</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312" w:lineRule="auto" w:before="1"/>
                          <w:ind w:left="26" w:right="-44"/>
                          <w:jc w:val="left"/>
                          <w:rPr>
                            <w:rFonts w:ascii="宋体" w:hAnsi="宋体" w:cs="宋体" w:eastAsia="宋体" w:hint="default"/>
                            <w:sz w:val="18"/>
                            <w:szCs w:val="18"/>
                          </w:rPr>
                        </w:pPr>
                        <w:r>
                          <w:rPr>
                            <w:rFonts w:ascii="宋体" w:hAnsi="宋体" w:cs="宋体" w:eastAsia="宋体" w:hint="default"/>
                            <w:spacing w:val="-6"/>
                            <w:sz w:val="18"/>
                            <w:szCs w:val="18"/>
                          </w:rPr>
                          <w:t>（含）至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万元（潜在负面影响：受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到国家政府部门处罚，但未对公司定期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报告披露造成负面影响，被媒体曝光且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产生负面影响等潜在负面影响。）</w:t>
                        </w:r>
                        <w:r>
                          <w:rPr>
                            <w:rFonts w:ascii="宋体" w:hAnsi="宋体" w:cs="宋体" w:eastAsia="宋体" w:hint="default"/>
                            <w:sz w:val="18"/>
                            <w:szCs w:val="18"/>
                          </w:rPr>
                          <w:t> 一般缺陷：造成</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 </w:t>
                        </w:r>
                        <w:r>
                          <w:rPr>
                            <w:rFonts w:ascii="宋体" w:hAnsi="宋体" w:cs="宋体" w:eastAsia="宋体" w:hint="default"/>
                            <w:sz w:val="18"/>
                            <w:szCs w:val="18"/>
                          </w:rPr>
                          <w:t>万元以下直接财产 损失（潜在负面影响：受到省级（含） 以下政府部门处罚但未对公司定期报 告披露造成负面影响等潜在负面影响。</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2"/>
        <w:spacing w:line="240" w:lineRule="auto" w:before="26"/>
        <w:ind w:right="1133"/>
        <w:jc w:val="left"/>
        <w:rPr>
          <w:b w:val="0"/>
          <w:bCs w:val="0"/>
        </w:rPr>
      </w:pP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内部控制鉴证报告</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62"/>
        <w:gridCol w:w="6909"/>
      </w:tblGrid>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1066"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我们认为，贵公司按照财政部等五部委颁发的《企业内部控制基本规范》及相关规定于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日在所有重大方 面保持了与财务报表相关的有效的内部控制。</w:t>
            </w:r>
          </w:p>
          <w:p>
            <w:pPr>
              <w:pStyle w:val="TableParagraph"/>
              <w:spacing w:line="240" w:lineRule="auto" w:before="72"/>
              <w:ind w:left="24" w:right="0"/>
              <w:jc w:val="left"/>
              <w:rPr>
                <w:rFonts w:ascii="宋体" w:hAnsi="宋体" w:cs="宋体" w:eastAsia="宋体" w:hint="default"/>
                <w:sz w:val="18"/>
                <w:szCs w:val="18"/>
              </w:rPr>
            </w:pPr>
            <w:r>
              <w:rPr>
                <w:rFonts w:ascii="宋体" w:hAnsi="宋体" w:cs="宋体" w:eastAsia="宋体" w:hint="default"/>
                <w:sz w:val="18"/>
                <w:szCs w:val="18"/>
              </w:rPr>
              <w:t>本结论是在受到鉴证报告中指出的固有限制的条件下形成的。</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披露</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404"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年度内部控制鉴证报告》全文登载于巨潮资讯网（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1133"/>
        <w:jc w:val="left"/>
      </w:pPr>
      <w:r>
        <w:rPr/>
        <w:t>会计师事务所是否出具非标准意见的内部控制鉴证报告</w:t>
      </w:r>
    </w:p>
    <w:p>
      <w:pPr>
        <w:pStyle w:val="BodyText"/>
        <w:spacing w:line="340" w:lineRule="auto" w:before="115"/>
        <w:ind w:right="46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会计师事务所出具的内部控制鉴证报告与董事会的自我评价报告意见是否一致</w:t>
      </w:r>
    </w:p>
    <w:p>
      <w:pPr>
        <w:pStyle w:val="BodyText"/>
        <w:spacing w:line="240" w:lineRule="auto" w:before="41"/>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after="0" w:line="240"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045" w:right="1133"/>
        <w:jc w:val="left"/>
        <w:rPr>
          <w:b w:val="0"/>
          <w:bCs w:val="0"/>
        </w:rPr>
      </w:pPr>
      <w:bookmarkStart w:name="_bookmark10" w:id="11"/>
      <w:bookmarkEnd w:id="11"/>
      <w:r>
        <w:rPr>
          <w:b w:val="0"/>
          <w:bCs w:val="0"/>
        </w:rPr>
      </w:r>
      <w:r>
        <w:rPr/>
        <w:t>第十一节公司债券相关情况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57" w:lineRule="auto"/>
        <w:ind w:right="211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607" w:right="1133"/>
        <w:jc w:val="left"/>
        <w:rPr>
          <w:b w:val="0"/>
          <w:bCs w:val="0"/>
        </w:rPr>
      </w:pPr>
      <w:bookmarkStart w:name="_bookmark11" w:id="12"/>
      <w:bookmarkEnd w:id="12"/>
      <w:r>
        <w:rPr>
          <w:b w:val="0"/>
          <w:bCs w:val="0"/>
        </w:rPr>
      </w:r>
      <w:r>
        <w:rPr/>
        <w:t>第十二节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北京永拓会计师事务所（特殊普通合伙）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京永审字（</w:t>
            </w:r>
            <w:r>
              <w:rPr>
                <w:rFonts w:ascii="Times New Roman" w:hAnsi="Times New Roman" w:cs="Times New Roman" w:eastAsia="Times New Roman" w:hint="default"/>
                <w:sz w:val="18"/>
                <w:szCs w:val="18"/>
              </w:rPr>
              <w:t>2020</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110011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陈晓鸿、何瑜</w:t>
            </w:r>
          </w:p>
        </w:tc>
      </w:tr>
    </w:tbl>
    <w:p>
      <w:pPr>
        <w:pStyle w:val="BodyText"/>
        <w:spacing w:line="240" w:lineRule="auto" w:before="49"/>
        <w:ind w:left="2421" w:right="3399"/>
        <w:jc w:val="center"/>
      </w:pPr>
      <w:r>
        <w:rPr/>
        <w:t>审计报告正文</w:t>
      </w:r>
    </w:p>
    <w:p>
      <w:pPr>
        <w:spacing w:line="240" w:lineRule="auto" w:before="6"/>
        <w:rPr>
          <w:rFonts w:ascii="宋体" w:hAnsi="宋体" w:cs="宋体" w:eastAsia="宋体" w:hint="default"/>
          <w:sz w:val="11"/>
          <w:szCs w:val="11"/>
        </w:rPr>
      </w:pPr>
    </w:p>
    <w:p>
      <w:pPr>
        <w:spacing w:line="636" w:lineRule="auto" w:before="44"/>
        <w:ind w:left="152" w:right="7334" w:firstLine="0"/>
        <w:jc w:val="left"/>
        <w:rPr>
          <w:rFonts w:ascii="宋体" w:hAnsi="宋体" w:cs="宋体" w:eastAsia="宋体" w:hint="default"/>
          <w:sz w:val="18"/>
          <w:szCs w:val="18"/>
        </w:rPr>
      </w:pPr>
      <w:r>
        <w:rPr>
          <w:rFonts w:ascii="宋体" w:hAnsi="宋体" w:cs="宋体" w:eastAsia="宋体" w:hint="default"/>
          <w:sz w:val="18"/>
          <w:szCs w:val="18"/>
        </w:rPr>
        <w:t>苏州恒久光电科技股份有限公司全体股东： </w:t>
      </w:r>
      <w:r>
        <w:rPr>
          <w:rFonts w:ascii="宋体" w:hAnsi="宋体" w:cs="宋体" w:eastAsia="宋体" w:hint="default"/>
          <w:b/>
          <w:bCs/>
          <w:sz w:val="18"/>
          <w:szCs w:val="18"/>
        </w:rPr>
        <w:t>一、审计意见</w:t>
      </w:r>
      <w:r>
        <w:rPr>
          <w:rFonts w:ascii="宋体" w:hAnsi="宋体" w:cs="宋体" w:eastAsia="宋体" w:hint="default"/>
          <w:sz w:val="18"/>
          <w:szCs w:val="18"/>
        </w:rPr>
      </w:r>
    </w:p>
    <w:p>
      <w:pPr>
        <w:pStyle w:val="BodyText"/>
        <w:spacing w:line="451" w:lineRule="auto" w:before="91"/>
        <w:ind w:right="1128" w:firstLine="360"/>
        <w:jc w:val="both"/>
      </w:pPr>
      <w:r>
        <w:rPr>
          <w:spacing w:val="-2"/>
        </w:rPr>
        <w:t>我们审计了苏州恒久光电科技股份有限公司（以下简称</w:t>
      </w:r>
      <w:r>
        <w:rPr>
          <w:rFonts w:ascii="Times New Roman" w:hAnsi="Times New Roman" w:cs="Times New Roman" w:eastAsia="Times New Roman" w:hint="default"/>
          <w:spacing w:val="-2"/>
        </w:rPr>
        <w:t>“</w:t>
      </w:r>
      <w:r>
        <w:rPr>
          <w:spacing w:val="-2"/>
        </w:rPr>
        <w:t>恒久科技</w:t>
      </w:r>
      <w:r>
        <w:rPr>
          <w:rFonts w:ascii="Times New Roman" w:hAnsi="Times New Roman" w:cs="Times New Roman" w:eastAsia="Times New Roman" w:hint="default"/>
          <w:spacing w:val="-2"/>
        </w:rPr>
        <w:t>”</w:t>
      </w:r>
      <w:r>
        <w:rPr>
          <w:spacing w:val="-2"/>
        </w:rPr>
        <w:t>）财务报表，包括</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日的合并及母公司资</w:t>
      </w:r>
      <w:r>
        <w:rPr/>
        <w:t> </w:t>
      </w:r>
      <w:r>
        <w:rPr>
          <w:spacing w:val="-2"/>
        </w:rPr>
        <w:t>产负债表，</w:t>
      </w:r>
      <w:r>
        <w:rPr>
          <w:rFonts w:ascii="Times New Roman" w:hAnsi="Times New Roman" w:cs="Times New Roman" w:eastAsia="Times New Roman" w:hint="default"/>
          <w:spacing w:val="-2"/>
        </w:rPr>
        <w:t>2019</w:t>
      </w:r>
      <w:r>
        <w:rPr>
          <w:spacing w:val="-2"/>
        </w:rPr>
        <w:t>年度的合并及母公司利润表、合并及母公司现金流量表、合并及母公司所有者权益变动表以及相关财务报表</w:t>
      </w:r>
      <w:r>
        <w:rPr>
          <w:spacing w:val="-61"/>
        </w:rPr>
        <w:t> </w:t>
      </w:r>
      <w:r>
        <w:rPr>
          <w:spacing w:val="-61"/>
        </w:rPr>
      </w:r>
      <w:r>
        <w:rPr/>
        <w:t>附注。</w:t>
      </w:r>
    </w:p>
    <w:p>
      <w:pPr>
        <w:pStyle w:val="BodyText"/>
        <w:spacing w:line="451" w:lineRule="auto" w:before="74"/>
        <w:ind w:right="1128" w:firstLine="360"/>
        <w:jc w:val="both"/>
      </w:pPr>
      <w:r>
        <w:rPr>
          <w:spacing w:val="-2"/>
        </w:rPr>
        <w:t>我们认为，后附的财务报表在所有重大方面按照企业会计准则的规定编制，公允反映了恒久科技</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w:t>
      </w:r>
      <w:r>
        <w:rPr/>
        <w:t> 及母公司财务状况以及</w:t>
      </w:r>
      <w:r>
        <w:rPr>
          <w:rFonts w:ascii="Times New Roman" w:hAnsi="Times New Roman" w:cs="Times New Roman" w:eastAsia="Times New Roman" w:hint="default"/>
        </w:rPr>
        <w:t>2019</w:t>
      </w:r>
      <w:r>
        <w:rPr/>
        <w:t>年度的合并及母公司经营成果和现金流量。</w:t>
      </w:r>
    </w:p>
    <w:p>
      <w:pPr>
        <w:spacing w:line="240" w:lineRule="auto" w:before="4"/>
        <w:rPr>
          <w:rFonts w:ascii="宋体" w:hAnsi="宋体" w:cs="宋体" w:eastAsia="宋体" w:hint="default"/>
          <w:sz w:val="15"/>
          <w:szCs w:val="15"/>
        </w:rPr>
      </w:pPr>
    </w:p>
    <w:p>
      <w:pPr>
        <w:pStyle w:val="Heading4"/>
        <w:spacing w:line="240" w:lineRule="auto"/>
        <w:ind w:left="152" w:right="1133"/>
        <w:jc w:val="left"/>
        <w:rPr>
          <w:b w:val="0"/>
          <w:bCs w:val="0"/>
        </w:rPr>
      </w:pPr>
      <w:r>
        <w:rPr/>
        <w:t>二、形成审计意见的基础</w:t>
      </w:r>
      <w:r>
        <w:rPr>
          <w:b w:val="0"/>
          <w:bCs w:val="0"/>
        </w:rPr>
      </w:r>
    </w:p>
    <w:p>
      <w:pPr>
        <w:spacing w:line="240" w:lineRule="auto" w:before="0"/>
        <w:rPr>
          <w:rFonts w:ascii="宋体" w:hAnsi="宋体" w:cs="宋体" w:eastAsia="宋体" w:hint="default"/>
          <w:b/>
          <w:bCs/>
          <w:sz w:val="18"/>
          <w:szCs w:val="18"/>
        </w:rPr>
      </w:pPr>
    </w:p>
    <w:p>
      <w:pPr>
        <w:pStyle w:val="BodyText"/>
        <w:spacing w:line="463" w:lineRule="auto" w:before="153"/>
        <w:ind w:right="1129" w:firstLine="360"/>
        <w:jc w:val="both"/>
      </w:pP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部分进一步</w:t>
      </w:r>
      <w:r>
        <w:rPr/>
        <w:t> </w:t>
      </w:r>
      <w:r>
        <w:rPr>
          <w:spacing w:val="-2"/>
        </w:rPr>
        <w:t>阐述了我们在这些准则下的责任。按照中国注册会计师职业道德守则，我们独立于恒久科技，并履行了职业道德方面的其他</w:t>
      </w:r>
      <w:r>
        <w:rPr>
          <w:spacing w:val="-62"/>
        </w:rPr>
        <w:t> </w:t>
      </w:r>
      <w:r>
        <w:rPr>
          <w:spacing w:val="-62"/>
        </w:rPr>
      </w:r>
      <w:r>
        <w:rPr/>
        <w:t>责任。我们相信，我们获取的审计证据是充分、适当的，为发表审计意见提供了基础。</w:t>
      </w:r>
    </w:p>
    <w:p>
      <w:pPr>
        <w:spacing w:line="240" w:lineRule="auto" w:before="12"/>
        <w:rPr>
          <w:rFonts w:ascii="宋体" w:hAnsi="宋体" w:cs="宋体" w:eastAsia="宋体" w:hint="default"/>
          <w:sz w:val="16"/>
          <w:szCs w:val="16"/>
        </w:rPr>
      </w:pPr>
    </w:p>
    <w:p>
      <w:pPr>
        <w:pStyle w:val="Heading4"/>
        <w:spacing w:line="240" w:lineRule="auto"/>
        <w:ind w:left="152" w:right="1133"/>
        <w:jc w:val="left"/>
        <w:rPr>
          <w:b w:val="0"/>
          <w:bCs w:val="0"/>
        </w:rPr>
      </w:pPr>
      <w:r>
        <w:rPr/>
        <w:t>三、关键审计事项</w:t>
      </w:r>
      <w:r>
        <w:rPr>
          <w:b w:val="0"/>
          <w:bCs w:val="0"/>
        </w:rPr>
      </w:r>
    </w:p>
    <w:p>
      <w:pPr>
        <w:spacing w:line="240" w:lineRule="auto" w:before="0"/>
        <w:rPr>
          <w:rFonts w:ascii="宋体" w:hAnsi="宋体" w:cs="宋体" w:eastAsia="宋体" w:hint="default"/>
          <w:b/>
          <w:bCs/>
          <w:sz w:val="18"/>
          <w:szCs w:val="18"/>
        </w:rPr>
      </w:pPr>
    </w:p>
    <w:p>
      <w:pPr>
        <w:pStyle w:val="BodyText"/>
        <w:spacing w:line="477" w:lineRule="auto" w:before="153"/>
        <w:ind w:right="1044" w:firstLine="360"/>
        <w:jc w:val="both"/>
      </w:pPr>
      <w:r>
        <w:rPr>
          <w:spacing w:val="-2"/>
        </w:rPr>
        <w:t>关键审计事项是我们根据职业判断，认为对本期财务报表审计最为重要的事项。这些事项的应对以对财务报表整体进行</w:t>
      </w:r>
      <w:r>
        <w:rPr/>
        <w:t> </w:t>
      </w:r>
      <w:r>
        <w:rPr>
          <w:spacing w:val="-4"/>
        </w:rPr>
        <w:t>审计并形成审计意见为背景，我们不对这些事项单独发表意见。我们确定下列事项是需要在审计报告中沟通的关键审计事项。</w:t>
      </w:r>
    </w:p>
    <w:p>
      <w:pPr>
        <w:spacing w:line="240" w:lineRule="auto" w:before="6"/>
        <w:rPr>
          <w:rFonts w:ascii="宋体" w:hAnsi="宋体" w:cs="宋体" w:eastAsia="宋体" w:hint="default"/>
          <w:sz w:val="9"/>
          <w:szCs w:val="9"/>
        </w:rPr>
      </w:pPr>
    </w:p>
    <w:tbl>
      <w:tblPr>
        <w:tblW w:w="0" w:type="auto"/>
        <w:jc w:val="left"/>
        <w:tblInd w:w="856" w:type="dxa"/>
        <w:tblLayout w:type="fixed"/>
        <w:tblCellMar>
          <w:top w:w="0" w:type="dxa"/>
          <w:left w:w="0" w:type="dxa"/>
          <w:bottom w:w="0" w:type="dxa"/>
          <w:right w:w="0" w:type="dxa"/>
        </w:tblCellMar>
        <w:tblLook w:val="01E0"/>
      </w:tblPr>
      <w:tblGrid>
        <w:gridCol w:w="4162"/>
        <w:gridCol w:w="4062"/>
      </w:tblGrid>
      <w:tr>
        <w:trPr>
          <w:trHeight w:val="343" w:hRule="exact"/>
        </w:trPr>
        <w:tc>
          <w:tcPr>
            <w:tcW w:w="4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4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50" w:right="0"/>
              <w:jc w:val="left"/>
              <w:rPr>
                <w:rFonts w:ascii="宋体" w:hAnsi="宋体" w:cs="宋体" w:eastAsia="宋体" w:hint="default"/>
                <w:sz w:val="18"/>
                <w:szCs w:val="18"/>
              </w:rPr>
            </w:pPr>
            <w:r>
              <w:rPr>
                <w:rFonts w:ascii="宋体" w:hAnsi="宋体" w:cs="宋体" w:eastAsia="宋体" w:hint="default"/>
                <w:b/>
                <w:bCs/>
                <w:sz w:val="18"/>
                <w:szCs w:val="18"/>
              </w:rPr>
              <w:t>该事项在审计中是如何应对的</w:t>
            </w:r>
            <w:r>
              <w:rPr>
                <w:rFonts w:ascii="宋体" w:hAnsi="宋体" w:cs="宋体" w:eastAsia="宋体" w:hint="default"/>
                <w:sz w:val="18"/>
                <w:szCs w:val="18"/>
              </w:rPr>
            </w:r>
          </w:p>
        </w:tc>
      </w:tr>
      <w:tr>
        <w:trPr>
          <w:trHeight w:val="341" w:hRule="exact"/>
        </w:trPr>
        <w:tc>
          <w:tcPr>
            <w:tcW w:w="82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b/>
                <w:bCs/>
                <w:sz w:val="18"/>
                <w:szCs w:val="18"/>
              </w:rPr>
              <w:t>（一）存货跌价准备的计提</w:t>
            </w:r>
            <w:r>
              <w:rPr>
                <w:rFonts w:ascii="宋体" w:hAnsi="宋体" w:cs="宋体" w:eastAsia="宋体" w:hint="default"/>
                <w:sz w:val="18"/>
                <w:szCs w:val="18"/>
              </w:rPr>
            </w:r>
          </w:p>
        </w:tc>
      </w:tr>
      <w:tr>
        <w:trPr>
          <w:trHeight w:val="967" w:hRule="exact"/>
        </w:trPr>
        <w:tc>
          <w:tcPr>
            <w:tcW w:w="416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7" w:right="2"/>
              <w:jc w:val="left"/>
              <w:rPr>
                <w:rFonts w:ascii="宋体" w:hAnsi="宋体" w:cs="宋体" w:eastAsia="宋体" w:hint="default"/>
                <w:sz w:val="18"/>
                <w:szCs w:val="18"/>
              </w:rPr>
            </w:pPr>
            <w:r>
              <w:rPr>
                <w:rFonts w:ascii="宋体" w:hAnsi="宋体" w:cs="宋体" w:eastAsia="宋体" w:hint="default"/>
                <w:sz w:val="18"/>
                <w:szCs w:val="18"/>
              </w:rPr>
              <w:t>请参阅后附恒久科技财务报表附注</w:t>
            </w:r>
            <w:r>
              <w:rPr>
                <w:rFonts w:ascii="Times New Roman" w:hAnsi="Times New Roman" w:cs="Times New Roman" w:eastAsia="Times New Roman" w:hint="default"/>
                <w:sz w:val="18"/>
                <w:szCs w:val="18"/>
              </w:rPr>
              <w:t>“</w:t>
            </w:r>
            <w:r>
              <w:rPr>
                <w:rFonts w:ascii="宋体" w:hAnsi="宋体" w:cs="宋体" w:eastAsia="宋体" w:hint="default"/>
                <w:sz w:val="18"/>
                <w:szCs w:val="18"/>
              </w:rPr>
              <w:t>三之（十二）</w:t>
            </w:r>
            <w:r>
              <w:rPr>
                <w:rFonts w:ascii="Times New Roman" w:hAnsi="Times New Roman" w:cs="Times New Roman" w:eastAsia="Times New Roman" w:hint="default"/>
                <w:sz w:val="18"/>
                <w:szCs w:val="18"/>
              </w:rPr>
              <w:t>”</w:t>
            </w:r>
            <w:r>
              <w:rPr>
                <w:rFonts w:ascii="宋体" w:hAnsi="宋体" w:cs="宋体" w:eastAsia="宋体" w:hint="default"/>
                <w:sz w:val="18"/>
                <w:szCs w:val="18"/>
              </w:rPr>
              <w:t>所</w:t>
            </w:r>
            <w:r>
              <w:rPr>
                <w:rFonts w:ascii="宋体" w:hAnsi="宋体" w:cs="宋体" w:eastAsia="宋体" w:hint="default"/>
                <w:spacing w:val="-75"/>
                <w:sz w:val="18"/>
                <w:szCs w:val="18"/>
              </w:rPr>
              <w:t> </w:t>
            </w:r>
            <w:r>
              <w:rPr>
                <w:rFonts w:ascii="宋体" w:hAnsi="宋体" w:cs="宋体" w:eastAsia="宋体" w:hint="default"/>
                <w:sz w:val="18"/>
                <w:szCs w:val="18"/>
              </w:rPr>
              <w:t>述的会计政策及</w:t>
            </w:r>
            <w:r>
              <w:rPr>
                <w:rFonts w:ascii="Times New Roman" w:hAnsi="Times New Roman" w:cs="Times New Roman" w:eastAsia="Times New Roman" w:hint="default"/>
                <w:sz w:val="18"/>
                <w:szCs w:val="18"/>
              </w:rPr>
              <w:t>“</w:t>
            </w:r>
            <w:r>
              <w:rPr>
                <w:rFonts w:ascii="宋体" w:hAnsi="宋体" w:cs="宋体" w:eastAsia="宋体" w:hint="default"/>
                <w:sz w:val="18"/>
                <w:szCs w:val="18"/>
              </w:rPr>
              <w:t>五之（九）</w:t>
            </w:r>
            <w:r>
              <w:rPr>
                <w:rFonts w:ascii="Times New Roman" w:hAnsi="Times New Roman" w:cs="Times New Roman" w:eastAsia="Times New Roman" w:hint="default"/>
                <w:sz w:val="18"/>
                <w:szCs w:val="18"/>
              </w:rPr>
              <w:t>”</w:t>
            </w:r>
            <w:r>
              <w:rPr>
                <w:rFonts w:ascii="宋体" w:hAnsi="宋体" w:cs="宋体" w:eastAsia="宋体" w:hint="default"/>
                <w:sz w:val="18"/>
                <w:szCs w:val="18"/>
              </w:rPr>
              <w:t>存货的相关内容。</w:t>
            </w:r>
            <w:r>
              <w:rPr>
                <w:rFonts w:ascii="宋体" w:hAnsi="宋体" w:cs="宋体" w:eastAsia="宋体" w:hint="default"/>
                <w:spacing w:val="-1"/>
                <w:sz w:val="18"/>
                <w:szCs w:val="18"/>
              </w:rPr>
              <w:t> </w:t>
            </w:r>
            <w:r>
              <w:rPr>
                <w:rFonts w:ascii="宋体" w:hAnsi="宋体" w:cs="宋体" w:eastAsia="宋体" w:hint="default"/>
                <w:sz w:val="18"/>
                <w:szCs w:val="18"/>
              </w:rPr>
              <w:t>于</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月</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7"/>
                <w:sz w:val="18"/>
                <w:szCs w:val="18"/>
              </w:rPr>
              <w:t> </w:t>
            </w:r>
            <w:r>
              <w:rPr>
                <w:rFonts w:ascii="宋体" w:hAnsi="宋体" w:cs="宋体" w:eastAsia="宋体" w:hint="default"/>
                <w:spacing w:val="9"/>
                <w:sz w:val="18"/>
                <w:szCs w:val="18"/>
              </w:rPr>
              <w:t>日，</w:t>
            </w:r>
            <w:r>
              <w:rPr>
                <w:rFonts w:ascii="宋体" w:hAnsi="宋体" w:cs="宋体" w:eastAsia="宋体" w:hint="default"/>
                <w:spacing w:val="-71"/>
                <w:sz w:val="18"/>
                <w:szCs w:val="18"/>
              </w:rPr>
              <w:t> </w:t>
            </w:r>
            <w:r>
              <w:rPr>
                <w:rFonts w:ascii="宋体" w:hAnsi="宋体" w:cs="宋体" w:eastAsia="宋体" w:hint="default"/>
                <w:spacing w:val="17"/>
                <w:sz w:val="18"/>
                <w:szCs w:val="18"/>
              </w:rPr>
              <w:t>恒久科技存货的账面余额为</w:t>
            </w:r>
          </w:p>
        </w:tc>
        <w:tc>
          <w:tcPr>
            <w:tcW w:w="406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7"/>
              <w:ind w:left="4" w:right="3"/>
              <w:jc w:val="left"/>
              <w:rPr>
                <w:rFonts w:ascii="宋体" w:hAnsi="宋体" w:cs="宋体" w:eastAsia="宋体" w:hint="default"/>
                <w:sz w:val="18"/>
                <w:szCs w:val="18"/>
              </w:rPr>
            </w:pPr>
            <w:r>
              <w:rPr>
                <w:rFonts w:ascii="宋体" w:hAnsi="宋体" w:cs="宋体" w:eastAsia="宋体" w:hint="default"/>
                <w:sz w:val="18"/>
                <w:szCs w:val="18"/>
              </w:rPr>
              <w:t>我们就存货跌价准备的计提实施的审计程序包括： </w:t>
            </w:r>
            <w:r>
              <w:rPr>
                <w:rFonts w:ascii="Times New Roman" w:hAnsi="Times New Roman" w:cs="Times New Roman" w:eastAsia="Times New Roman" w:hint="default"/>
                <w:sz w:val="18"/>
                <w:szCs w:val="18"/>
              </w:rPr>
              <w:t>1</w:t>
            </w:r>
            <w:r>
              <w:rPr>
                <w:rFonts w:ascii="宋体" w:hAnsi="宋体" w:cs="宋体" w:eastAsia="宋体" w:hint="default"/>
                <w:sz w:val="18"/>
                <w:szCs w:val="18"/>
              </w:rPr>
              <w:t>、对恒久科技存货跌价准备相关的内部控制的设计 与运行进行了评估；</w:t>
            </w:r>
          </w:p>
        </w:tc>
      </w:tr>
    </w:tbl>
    <w:p>
      <w:pPr>
        <w:spacing w:after="0" w:line="309"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BodyText"/>
        <w:spacing w:line="240" w:lineRule="auto" w:before="44"/>
        <w:ind w:left="0" w:right="1760"/>
        <w:jc w:val="right"/>
      </w:pPr>
      <w:r>
        <w:rPr/>
        <w:pict>
          <v:shape style="position:absolute;margin-left:91.823997pt;margin-top:-376.618286pt;width:411.95pt;height:457.55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62"/>
                    <w:gridCol w:w="4062"/>
                  </w:tblGrid>
                  <w:tr>
                    <w:trPr>
                      <w:trHeight w:val="4085" w:hRule="exact"/>
                    </w:trPr>
                    <w:tc>
                      <w:tcPr>
                        <w:tcW w:w="41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7"/>
                          <w:ind w:left="7" w:right="-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9,318.99</w:t>
                        </w:r>
                        <w:r>
                          <w:rPr>
                            <w:rFonts w:ascii="宋体" w:hAnsi="宋体" w:cs="宋体" w:eastAsia="宋体" w:hint="default"/>
                            <w:spacing w:val="4"/>
                            <w:sz w:val="18"/>
                            <w:szCs w:val="18"/>
                          </w:rPr>
                          <w:t>万元，计提的存货跌价准备金额为</w:t>
                        </w:r>
                        <w:r>
                          <w:rPr>
                            <w:rFonts w:ascii="Times New Roman" w:hAnsi="Times New Roman" w:cs="Times New Roman" w:eastAsia="Times New Roman" w:hint="default"/>
                            <w:spacing w:val="4"/>
                            <w:sz w:val="18"/>
                            <w:szCs w:val="18"/>
                          </w:rPr>
                          <w:t>414.27</w:t>
                        </w:r>
                        <w:r>
                          <w:rPr>
                            <w:rFonts w:ascii="宋体" w:hAnsi="宋体" w:cs="宋体" w:eastAsia="宋体" w:hint="default"/>
                            <w:spacing w:val="4"/>
                            <w:sz w:val="18"/>
                            <w:szCs w:val="18"/>
                          </w:rPr>
                          <w:t>万</w:t>
                        </w:r>
                        <w:r>
                          <w:rPr>
                            <w:rFonts w:ascii="宋体" w:hAnsi="宋体" w:cs="宋体" w:eastAsia="宋体" w:hint="default"/>
                            <w:spacing w:val="-75"/>
                            <w:sz w:val="18"/>
                            <w:szCs w:val="18"/>
                          </w:rPr>
                          <w:t> </w:t>
                        </w:r>
                        <w:r>
                          <w:rPr>
                            <w:rFonts w:ascii="宋体" w:hAnsi="宋体" w:cs="宋体" w:eastAsia="宋体" w:hint="default"/>
                            <w:sz w:val="18"/>
                            <w:szCs w:val="18"/>
                          </w:rPr>
                          <w:t>元，期末存货采用成本与可变现净值孰低的方法进行 计量，存货跌价准备计提是否充分对财务报表影响重 大。 恒久科技以存货的估计售价减去估计的销售费用和相 关税费后的金额，确定其可变现净值。 管理层以存货的状态估计其预计售价，在估计过程中 管理层需要运用重大判断。</w:t>
                        </w:r>
                      </w:p>
                      <w:p>
                        <w:pPr>
                          <w:pStyle w:val="TableParagraph"/>
                          <w:spacing w:line="240" w:lineRule="auto" w:before="6"/>
                          <w:ind w:right="0"/>
                          <w:jc w:val="left"/>
                          <w:rPr>
                            <w:rFonts w:ascii="宋体" w:hAnsi="宋体" w:cs="宋体" w:eastAsia="宋体" w:hint="default"/>
                            <w:sz w:val="25"/>
                            <w:szCs w:val="25"/>
                          </w:rPr>
                        </w:pPr>
                      </w:p>
                      <w:p>
                        <w:pPr>
                          <w:pStyle w:val="TableParagraph"/>
                          <w:spacing w:line="309" w:lineRule="auto"/>
                          <w:ind w:left="7" w:right="3"/>
                          <w:jc w:val="both"/>
                          <w:rPr>
                            <w:rFonts w:ascii="宋体" w:hAnsi="宋体" w:cs="宋体" w:eastAsia="宋体" w:hint="default"/>
                            <w:sz w:val="18"/>
                            <w:szCs w:val="18"/>
                          </w:rPr>
                        </w:pPr>
                        <w:r>
                          <w:rPr>
                            <w:rFonts w:ascii="宋体" w:hAnsi="宋体" w:cs="宋体" w:eastAsia="宋体" w:hint="default"/>
                            <w:sz w:val="18"/>
                            <w:szCs w:val="18"/>
                          </w:rPr>
                          <w:t>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日存货账面金额较大，并且涉及可变 现净值的估计，因此我们确定将存货跌价准备的计提 作为关键审计事项。</w:t>
                        </w:r>
                      </w:p>
                    </w:tc>
                    <w:tc>
                      <w:tcPr>
                        <w:tcW w:w="406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7"/>
                          <w:ind w:left="4"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、对恒久科技的存货实施监盘，检查存货的数量及 状况，并对库龄较长的存货进行检查； </w:t>
                        </w:r>
                        <w:r>
                          <w:rPr>
                            <w:rFonts w:ascii="Times New Roman" w:hAnsi="Times New Roman" w:cs="Times New Roman" w:eastAsia="Times New Roman" w:hint="default"/>
                            <w:sz w:val="18"/>
                            <w:szCs w:val="18"/>
                          </w:rPr>
                          <w:t>3</w:t>
                        </w:r>
                        <w:r>
                          <w:rPr>
                            <w:rFonts w:ascii="宋体" w:hAnsi="宋体" w:cs="宋体" w:eastAsia="宋体" w:hint="default"/>
                            <w:sz w:val="18"/>
                            <w:szCs w:val="18"/>
                          </w:rPr>
                          <w:t>、获取恒久科技存货跌价准备计算表，检查是否按 </w:t>
                        </w:r>
                        <w:r>
                          <w:rPr>
                            <w:rFonts w:ascii="宋体" w:hAnsi="宋体" w:cs="宋体" w:eastAsia="宋体" w:hint="default"/>
                            <w:spacing w:val="3"/>
                            <w:sz w:val="18"/>
                            <w:szCs w:val="18"/>
                          </w:rPr>
                          <w:t>恒久科技相关会计政策执行，检查以前年度计提的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存货跌价准备本期的变化情况等，分析存货跌价准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备计提是否充分； </w:t>
                        </w:r>
                        <w:r>
                          <w:rPr>
                            <w:rFonts w:ascii="Times New Roman" w:hAnsi="Times New Roman" w:cs="Times New Roman" w:eastAsia="Times New Roman" w:hint="default"/>
                            <w:sz w:val="18"/>
                            <w:szCs w:val="18"/>
                          </w:rPr>
                          <w:t>4</w:t>
                        </w:r>
                        <w:r>
                          <w:rPr>
                            <w:rFonts w:ascii="宋体" w:hAnsi="宋体" w:cs="宋体" w:eastAsia="宋体" w:hint="default"/>
                            <w:sz w:val="18"/>
                            <w:szCs w:val="18"/>
                          </w:rPr>
                          <w:t>、对于能够获取公开市场销售价格的产品，独立查 </w:t>
                        </w:r>
                        <w:r>
                          <w:rPr>
                            <w:rFonts w:ascii="宋体" w:hAnsi="宋体" w:cs="宋体" w:eastAsia="宋体" w:hint="default"/>
                            <w:spacing w:val="3"/>
                            <w:sz w:val="18"/>
                            <w:szCs w:val="18"/>
                          </w:rPr>
                          <w:t>询公开市场价格信息，将其与估计售价进行比较；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对于无法获取公开市场销售价格的产品，将产品估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计售价与最近或期后的实际售价进行比较； </w:t>
                        </w:r>
                        <w:r>
                          <w:rPr>
                            <w:rFonts w:ascii="Times New Roman" w:hAnsi="Times New Roman" w:cs="Times New Roman" w:eastAsia="Times New Roman" w:hint="default"/>
                            <w:sz w:val="18"/>
                            <w:szCs w:val="18"/>
                          </w:rPr>
                          <w:t>5</w:t>
                        </w:r>
                        <w:r>
                          <w:rPr>
                            <w:rFonts w:ascii="宋体" w:hAnsi="宋体" w:cs="宋体" w:eastAsia="宋体" w:hint="default"/>
                            <w:sz w:val="18"/>
                            <w:szCs w:val="18"/>
                          </w:rPr>
                          <w:t>、比较同类产品的历史销售费用和相关税费，对管 </w:t>
                        </w:r>
                        <w:r>
                          <w:rPr>
                            <w:rFonts w:ascii="宋体" w:hAnsi="宋体" w:cs="宋体" w:eastAsia="宋体" w:hint="default"/>
                            <w:spacing w:val="3"/>
                            <w:sz w:val="18"/>
                            <w:szCs w:val="18"/>
                          </w:rPr>
                          <w:t>理层估计的销售费用和相关税费进行评估，并与资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产负债表日后的实际发生额进行核对。</w:t>
                        </w:r>
                      </w:p>
                    </w:tc>
                  </w:tr>
                  <w:tr>
                    <w:trPr>
                      <w:trHeight w:val="344" w:hRule="exact"/>
                    </w:trPr>
                    <w:tc>
                      <w:tcPr>
                        <w:tcW w:w="82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b/>
                            <w:bCs/>
                            <w:sz w:val="18"/>
                            <w:szCs w:val="18"/>
                          </w:rPr>
                          <w:t>（二）商誉</w:t>
                        </w:r>
                        <w:r>
                          <w:rPr>
                            <w:rFonts w:ascii="宋体" w:hAnsi="宋体" w:cs="宋体" w:eastAsia="宋体" w:hint="default"/>
                            <w:sz w:val="18"/>
                            <w:szCs w:val="18"/>
                          </w:rPr>
                        </w:r>
                      </w:p>
                    </w:tc>
                  </w:tr>
                  <w:tr>
                    <w:trPr>
                      <w:trHeight w:val="4712" w:hRule="exact"/>
                    </w:trPr>
                    <w:tc>
                      <w:tcPr>
                        <w:tcW w:w="4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both"/>
                          <w:rPr>
                            <w:rFonts w:ascii="宋体" w:hAnsi="宋体" w:cs="宋体" w:eastAsia="宋体" w:hint="default"/>
                            <w:sz w:val="18"/>
                            <w:szCs w:val="18"/>
                          </w:rPr>
                        </w:pPr>
                        <w:r>
                          <w:rPr>
                            <w:rFonts w:ascii="宋体" w:hAnsi="宋体" w:cs="宋体" w:eastAsia="宋体" w:hint="default"/>
                            <w:sz w:val="18"/>
                            <w:szCs w:val="18"/>
                          </w:rPr>
                          <w:t>关于商誉详见附注</w:t>
                        </w:r>
                        <w:r>
                          <w:rPr>
                            <w:rFonts w:ascii="Times New Roman" w:hAnsi="Times New Roman" w:cs="Times New Roman" w:eastAsia="Times New Roman" w:hint="default"/>
                            <w:sz w:val="18"/>
                            <w:szCs w:val="18"/>
                          </w:rPr>
                          <w:t>“</w:t>
                        </w:r>
                        <w:r>
                          <w:rPr>
                            <w:rFonts w:ascii="宋体" w:hAnsi="宋体" w:cs="宋体" w:eastAsia="宋体" w:hint="default"/>
                            <w:sz w:val="18"/>
                            <w:szCs w:val="18"/>
                          </w:rPr>
                          <w:t>五之（十八）商誉</w:t>
                        </w:r>
                        <w:r>
                          <w:rPr>
                            <w:rFonts w:ascii="Times New Roman" w:hAnsi="Times New Roman" w:cs="Times New Roman" w:eastAsia="Times New Roman" w:hint="default"/>
                            <w:sz w:val="18"/>
                            <w:szCs w:val="18"/>
                          </w:rPr>
                          <w:t>”</w:t>
                        </w:r>
                        <w:r>
                          <w:rPr>
                            <w:rFonts w:ascii="宋体" w:hAnsi="宋体" w:cs="宋体" w:eastAsia="宋体" w:hint="default"/>
                            <w:sz w:val="18"/>
                            <w:szCs w:val="18"/>
                          </w:rPr>
                          <w:t>。截至</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p>
                        <w:pPr>
                          <w:pStyle w:val="TableParagraph"/>
                          <w:spacing w:line="240" w:lineRule="auto" w:before="63"/>
                          <w:ind w:left="7"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日，恒久科技合并财务报表中商誉账面价值为</w:t>
                        </w:r>
                      </w:p>
                      <w:p>
                        <w:pPr>
                          <w:pStyle w:val="TableParagraph"/>
                          <w:spacing w:line="314" w:lineRule="auto" w:before="63"/>
                          <w:ind w:left="7"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10,578.10</w:t>
                        </w:r>
                        <w:r>
                          <w:rPr>
                            <w:rFonts w:ascii="宋体" w:hAnsi="宋体" w:cs="宋体" w:eastAsia="宋体" w:hint="default"/>
                            <w:sz w:val="18"/>
                            <w:szCs w:val="18"/>
                          </w:rPr>
                          <w:t>万元，减值准备为</w:t>
                        </w:r>
                        <w:r>
                          <w:rPr>
                            <w:rFonts w:ascii="Times New Roman" w:hAnsi="Times New Roman" w:cs="Times New Roman" w:eastAsia="Times New Roman" w:hint="default"/>
                            <w:sz w:val="18"/>
                            <w:szCs w:val="18"/>
                          </w:rPr>
                          <w:t>0.00</w:t>
                        </w:r>
                        <w:r>
                          <w:rPr>
                            <w:rFonts w:ascii="宋体" w:hAnsi="宋体" w:cs="宋体" w:eastAsia="宋体" w:hint="default"/>
                            <w:sz w:val="18"/>
                            <w:szCs w:val="18"/>
                          </w:rPr>
                          <w:t>元，账面价值为人民</w:t>
                        </w:r>
                        <w:r>
                          <w:rPr>
                            <w:rFonts w:ascii="宋体" w:hAnsi="宋体" w:cs="宋体" w:eastAsia="宋体" w:hint="default"/>
                            <w:spacing w:val="-54"/>
                            <w:sz w:val="18"/>
                            <w:szCs w:val="18"/>
                          </w:rPr>
                          <w:t> </w:t>
                        </w:r>
                        <w:r>
                          <w:rPr>
                            <w:rFonts w:ascii="宋体" w:hAnsi="宋体" w:cs="宋体" w:eastAsia="宋体" w:hint="default"/>
                            <w:sz w:val="18"/>
                            <w:szCs w:val="18"/>
                          </w:rPr>
                          <w:t>币</w:t>
                        </w:r>
                        <w:r>
                          <w:rPr>
                            <w:rFonts w:ascii="Times New Roman" w:hAnsi="Times New Roman" w:cs="Times New Roman" w:eastAsia="Times New Roman" w:hint="default"/>
                            <w:sz w:val="18"/>
                            <w:szCs w:val="18"/>
                          </w:rPr>
                          <w:t>10,578.10</w:t>
                        </w:r>
                        <w:r>
                          <w:rPr>
                            <w:rFonts w:ascii="宋体" w:hAnsi="宋体" w:cs="宋体" w:eastAsia="宋体" w:hint="default"/>
                            <w:sz w:val="18"/>
                            <w:szCs w:val="18"/>
                          </w:rPr>
                          <w:t>万元。管理层在每年年度终了对商誉进行 减值测试，并依据减值测试的结果调整商誉的账面价 值。因商誉减值测试的评估过程复杂，需要管理层做 出重大判断，减值评估涉及确定折现率等评估参数及 对未来若干年的经营和财务情况的假设，包括未来若 干年的销售增长率和毛利率等。因为商誉账面价值较 大，对财务报表影响重大，我们将商誉减值列为关键 审计事项。</w:t>
                        </w:r>
                      </w:p>
                    </w:tc>
                    <w:tc>
                      <w:tcPr>
                        <w:tcW w:w="406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7"/>
                          <w:ind w:left="4"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、了解与商誉减值相关的关键内部控制，评价其设 </w:t>
                        </w:r>
                        <w:r>
                          <w:rPr>
                            <w:rFonts w:ascii="宋体" w:hAnsi="宋体" w:cs="宋体" w:eastAsia="宋体" w:hint="default"/>
                            <w:spacing w:val="3"/>
                            <w:sz w:val="18"/>
                            <w:szCs w:val="18"/>
                          </w:rPr>
                          <w:t>计和执行是否有效，并测试相关内部控制的运行有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效性； </w:t>
                        </w:r>
                        <w:r>
                          <w:rPr>
                            <w:rFonts w:ascii="Times New Roman" w:hAnsi="Times New Roman" w:cs="Times New Roman" w:eastAsia="Times New Roman" w:hint="default"/>
                            <w:sz w:val="18"/>
                            <w:szCs w:val="18"/>
                          </w:rPr>
                          <w:t>2</w:t>
                        </w:r>
                        <w:r>
                          <w:rPr>
                            <w:rFonts w:ascii="宋体" w:hAnsi="宋体" w:cs="宋体" w:eastAsia="宋体" w:hint="default"/>
                            <w:sz w:val="18"/>
                            <w:szCs w:val="18"/>
                          </w:rPr>
                          <w:t>、复核管理层以前年度对未来现金流量现值的预测 和实际经营结果，评价管理层过往预测的准确性； </w:t>
                        </w:r>
                        <w:r>
                          <w:rPr>
                            <w:rFonts w:ascii="Times New Roman" w:hAnsi="Times New Roman" w:cs="Times New Roman" w:eastAsia="Times New Roman" w:hint="default"/>
                            <w:sz w:val="18"/>
                            <w:szCs w:val="18"/>
                          </w:rPr>
                          <w:t>3</w:t>
                        </w:r>
                        <w:r>
                          <w:rPr>
                            <w:rFonts w:ascii="宋体" w:hAnsi="宋体" w:cs="宋体" w:eastAsia="宋体" w:hint="default"/>
                            <w:sz w:val="18"/>
                            <w:szCs w:val="18"/>
                          </w:rPr>
                          <w:t>、与恒久科技聘请的第三方专业顾问讨论，了解及 评估恒久科技商誉减值测试的合理性； </w:t>
                        </w:r>
                        <w:r>
                          <w:rPr>
                            <w:rFonts w:ascii="Times New Roman" w:hAnsi="Times New Roman" w:cs="Times New Roman" w:eastAsia="Times New Roman" w:hint="default"/>
                            <w:sz w:val="18"/>
                            <w:szCs w:val="18"/>
                          </w:rPr>
                          <w:t>4</w:t>
                        </w:r>
                        <w:r>
                          <w:rPr>
                            <w:rFonts w:ascii="宋体" w:hAnsi="宋体" w:cs="宋体" w:eastAsia="宋体" w:hint="default"/>
                            <w:sz w:val="18"/>
                            <w:szCs w:val="18"/>
                          </w:rPr>
                          <w:t>、评价管理层在减值测试中使用方法的合理性和一 </w:t>
                        </w:r>
                        <w:r>
                          <w:rPr>
                            <w:rFonts w:ascii="宋体" w:hAnsi="宋体" w:cs="宋体" w:eastAsia="宋体" w:hint="default"/>
                            <w:spacing w:val="3"/>
                            <w:sz w:val="18"/>
                            <w:szCs w:val="18"/>
                          </w:rPr>
                          <w:t>致性，使用数据的准确性、完整性和相关性：包括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将现金流量增长率与历史现金流量增长率以及行业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历史数据进行比较，将毛利率与以往业绩进行比较</w:t>
                        </w:r>
                        <w:r>
                          <w:rPr>
                            <w:rFonts w:ascii="宋体" w:hAnsi="宋体" w:cs="宋体" w:eastAsia="宋体" w:hint="default"/>
                            <w:sz w:val="18"/>
                            <w:szCs w:val="18"/>
                          </w:rPr>
                          <w:t> </w:t>
                        </w:r>
                        <w:r>
                          <w:rPr>
                            <w:rFonts w:ascii="宋体" w:hAnsi="宋体" w:cs="宋体" w:eastAsia="宋体" w:hint="default"/>
                            <w:spacing w:val="3"/>
                            <w:sz w:val="18"/>
                            <w:szCs w:val="18"/>
                          </w:rPr>
                          <w:t>并考虑市场趋势，复核现金流量预测水平和所采用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折现率的合理性等； </w:t>
                        </w:r>
                        <w:r>
                          <w:rPr>
                            <w:rFonts w:ascii="Times New Roman" w:hAnsi="Times New Roman" w:cs="Times New Roman" w:eastAsia="Times New Roman" w:hint="default"/>
                            <w:sz w:val="18"/>
                            <w:szCs w:val="18"/>
                          </w:rPr>
                          <w:t>5</w:t>
                        </w:r>
                        <w:r>
                          <w:rPr>
                            <w:rFonts w:ascii="宋体" w:hAnsi="宋体" w:cs="宋体" w:eastAsia="宋体" w:hint="default"/>
                            <w:sz w:val="18"/>
                            <w:szCs w:val="18"/>
                          </w:rPr>
                          <w:t>、检查与商誉减值相关的信息是否已在财务报表中 作出恰当列报和披露。</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Heading4"/>
        <w:spacing w:line="240" w:lineRule="auto" w:before="44"/>
        <w:ind w:left="152" w:right="1133"/>
        <w:jc w:val="left"/>
        <w:rPr>
          <w:b w:val="0"/>
          <w:bCs w:val="0"/>
        </w:rPr>
      </w:pPr>
      <w:r>
        <w:rPr/>
        <w:t>四、其他信息</w:t>
      </w:r>
      <w:r>
        <w:rPr>
          <w:b w:val="0"/>
          <w:bCs w:val="0"/>
        </w:rPr>
      </w:r>
    </w:p>
    <w:p>
      <w:pPr>
        <w:spacing w:line="240" w:lineRule="auto" w:before="0"/>
        <w:rPr>
          <w:rFonts w:ascii="宋体" w:hAnsi="宋体" w:cs="宋体" w:eastAsia="宋体" w:hint="default"/>
          <w:b/>
          <w:bCs/>
          <w:sz w:val="18"/>
          <w:szCs w:val="18"/>
        </w:rPr>
      </w:pPr>
    </w:p>
    <w:p>
      <w:pPr>
        <w:pStyle w:val="BodyText"/>
        <w:spacing w:line="463" w:lineRule="auto" w:before="153"/>
        <w:ind w:left="513" w:right="1033"/>
        <w:jc w:val="left"/>
      </w:pPr>
      <w:r>
        <w:rPr/>
        <w:t>管理层对其他信息负责。其他信息包括恒久科技</w:t>
      </w:r>
      <w:r>
        <w:rPr>
          <w:rFonts w:ascii="Times New Roman" w:hAnsi="Times New Roman" w:cs="Times New Roman" w:eastAsia="Times New Roman" w:hint="default"/>
        </w:rPr>
        <w:t>2019</w:t>
      </w:r>
      <w:r>
        <w:rPr/>
        <w:t>年年度报告中涵盖的信息，但不包括财务报表和我们的审计报告。 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477" w:lineRule="auto" w:before="65"/>
        <w:ind w:left="513" w:right="1129" w:hanging="361"/>
        <w:jc w:val="left"/>
      </w:pPr>
      <w:r>
        <w:rPr/>
        <w:t>程中了解到的情况存在重大不一致或者似乎存在重大错报。 </w:t>
      </w:r>
      <w:r>
        <w:rPr>
          <w:spacing w:val="-2"/>
        </w:rPr>
        <w:t>基于我们已执行的工作，如果我们确定其他信息存在重大错报，我们应当报告该事实。在这方面，我们无任何事项需要</w:t>
      </w:r>
    </w:p>
    <w:p>
      <w:pPr>
        <w:pStyle w:val="Heading4"/>
        <w:spacing w:line="636" w:lineRule="auto" w:before="54"/>
        <w:ind w:left="152" w:right="7682"/>
        <w:jc w:val="left"/>
        <w:rPr>
          <w:b w:val="0"/>
          <w:bCs w:val="0"/>
        </w:rPr>
      </w:pPr>
      <w:r>
        <w:rPr>
          <w:rFonts w:ascii="宋体" w:hAnsi="宋体" w:cs="宋体" w:eastAsia="宋体" w:hint="default"/>
          <w:b w:val="0"/>
          <w:bCs w:val="0"/>
        </w:rPr>
        <w:t>报告。 </w:t>
      </w:r>
      <w:r>
        <w:rPr/>
        <w:t>五、管理层和治理层对财务报表的责任</w:t>
      </w:r>
      <w:r>
        <w:rPr>
          <w:b w:val="0"/>
          <w:bCs w:val="0"/>
        </w:rPr>
      </w:r>
    </w:p>
    <w:p>
      <w:pPr>
        <w:pStyle w:val="BodyText"/>
        <w:spacing w:line="240" w:lineRule="auto" w:before="91"/>
        <w:ind w:left="513" w:right="0"/>
        <w:jc w:val="left"/>
      </w:pPr>
      <w:r>
        <w:rPr/>
        <w:t>管理层负责按照企业会计准则的规定编制财务报表，使其实现公允反映，并设计、执行和维护必要的内部控制，以使财</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7"/>
          <w:szCs w:val="27"/>
        </w:rPr>
      </w:pPr>
    </w:p>
    <w:p>
      <w:pPr>
        <w:pStyle w:val="BodyText"/>
        <w:spacing w:line="477" w:lineRule="auto" w:before="44"/>
        <w:ind w:left="513" w:right="1133" w:hanging="361"/>
        <w:jc w:val="left"/>
      </w:pPr>
      <w:r>
        <w:rPr/>
        <w:t>务报表不存在由于舞弊或错误导致的重大错报。 </w:t>
      </w:r>
      <w:r>
        <w:rPr>
          <w:spacing w:val="-2"/>
        </w:rPr>
        <w:t>在编制财务报表时，管理层负责评估恒久科技的持续经营能力，披露与持续经营相关的事项（如适用），并运用持续经</w:t>
      </w:r>
    </w:p>
    <w:p>
      <w:pPr>
        <w:pStyle w:val="BodyText"/>
        <w:spacing w:line="477" w:lineRule="auto" w:before="54"/>
        <w:ind w:left="513" w:right="5714" w:hanging="361"/>
        <w:jc w:val="left"/>
      </w:pPr>
      <w:r>
        <w:rPr/>
        <w:t>营假设，除非计划进行清算、终止运营或别无其他现实的选择。 治理层负责监督恒久科技的财务报告过程。</w:t>
      </w:r>
    </w:p>
    <w:p>
      <w:pPr>
        <w:spacing w:line="240" w:lineRule="auto" w:before="1"/>
        <w:rPr>
          <w:rFonts w:ascii="宋体" w:hAnsi="宋体" w:cs="宋体" w:eastAsia="宋体" w:hint="default"/>
          <w:sz w:val="16"/>
          <w:szCs w:val="16"/>
        </w:rPr>
      </w:pPr>
    </w:p>
    <w:p>
      <w:pPr>
        <w:pStyle w:val="Heading4"/>
        <w:spacing w:line="240" w:lineRule="auto"/>
        <w:ind w:left="152" w:right="1133"/>
        <w:jc w:val="left"/>
        <w:rPr>
          <w:b w:val="0"/>
          <w:bCs w:val="0"/>
        </w:rPr>
      </w:pPr>
      <w:r>
        <w:rPr/>
        <w:t>六、注册会计师对财务报表审计的责任</w:t>
      </w:r>
      <w:r>
        <w:rPr>
          <w:b w:val="0"/>
          <w:bCs w:val="0"/>
        </w:rPr>
      </w:r>
    </w:p>
    <w:p>
      <w:pPr>
        <w:spacing w:line="240" w:lineRule="auto" w:before="0"/>
        <w:rPr>
          <w:rFonts w:ascii="宋体" w:hAnsi="宋体" w:cs="宋体" w:eastAsia="宋体" w:hint="default"/>
          <w:b/>
          <w:bCs/>
          <w:sz w:val="18"/>
          <w:szCs w:val="18"/>
        </w:rPr>
      </w:pPr>
    </w:p>
    <w:p>
      <w:pPr>
        <w:pStyle w:val="BodyText"/>
        <w:spacing w:line="477" w:lineRule="auto" w:before="153"/>
        <w:ind w:right="1130" w:firstLine="360"/>
        <w:jc w:val="both"/>
      </w:pPr>
      <w:r>
        <w:rPr>
          <w:spacing w:val="-2"/>
        </w:rPr>
        <w:t>我们的目标是对财务报表整体是否不存在由于舞弊或错误导致的重大错报获取合理保证，并出具包含审计意见的审计报</w:t>
      </w:r>
      <w:r>
        <w:rPr/>
        <w:t> </w:t>
      </w:r>
      <w:r>
        <w:rPr>
          <w:spacing w:val="-2"/>
        </w:rPr>
        <w:t>告。合理保证是高水平的保证，但并不能保证按照审计准则执行的审计在某一重大错报存在时总能发现。错报可能由于舞弊</w:t>
      </w:r>
      <w:r>
        <w:rPr>
          <w:spacing w:val="-63"/>
        </w:rPr>
        <w:t> </w:t>
      </w:r>
      <w:r>
        <w:rPr>
          <w:spacing w:val="-63"/>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pStyle w:val="BodyText"/>
        <w:spacing w:line="240" w:lineRule="auto" w:before="54"/>
        <w:ind w:left="513" w:right="1133"/>
        <w:jc w:val="left"/>
      </w:pPr>
      <w:r>
        <w:rPr/>
        <w:t>在按照审计准则执行审计工作的过程中，我们运用职业判断，并保持职业怀疑。同时，我们也执行以下工作：</w:t>
      </w:r>
    </w:p>
    <w:p>
      <w:pPr>
        <w:spacing w:line="240" w:lineRule="auto" w:before="10"/>
        <w:rPr>
          <w:rFonts w:ascii="宋体" w:hAnsi="宋体" w:cs="宋体" w:eastAsia="宋体" w:hint="default"/>
          <w:sz w:val="17"/>
          <w:szCs w:val="17"/>
        </w:rPr>
      </w:pPr>
    </w:p>
    <w:p>
      <w:pPr>
        <w:pStyle w:val="BodyText"/>
        <w:spacing w:line="463" w:lineRule="auto"/>
        <w:ind w:right="1034" w:firstLine="360"/>
        <w:jc w:val="left"/>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65"/>
        <w:ind w:left="513" w:right="1133"/>
        <w:jc w:val="left"/>
      </w:pPr>
      <w:r>
        <w:rPr/>
        <w:t>（</w:t>
      </w:r>
      <w:r>
        <w:rPr>
          <w:rFonts w:ascii="Times New Roman" w:hAnsi="Times New Roman" w:cs="Times New Roman" w:eastAsia="Times New Roman" w:hint="default"/>
        </w:rPr>
        <w:t>2</w:t>
      </w:r>
      <w:r>
        <w:rPr/>
        <w:t>）了解与审计相关的内部控制，以设计恰当的审计程序，但目的并非对内部控制的有效性发表意见。</w:t>
      </w:r>
    </w:p>
    <w:p>
      <w:pPr>
        <w:spacing w:line="240" w:lineRule="auto" w:before="9"/>
        <w:rPr>
          <w:rFonts w:ascii="宋体" w:hAnsi="宋体" w:cs="宋体" w:eastAsia="宋体" w:hint="default"/>
          <w:sz w:val="16"/>
          <w:szCs w:val="16"/>
        </w:rPr>
      </w:pPr>
    </w:p>
    <w:p>
      <w:pPr>
        <w:pStyle w:val="BodyText"/>
        <w:spacing w:line="240" w:lineRule="auto"/>
        <w:ind w:left="513" w:right="1133"/>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spacing w:line="240" w:lineRule="auto" w:before="9"/>
        <w:rPr>
          <w:rFonts w:ascii="宋体" w:hAnsi="宋体" w:cs="宋体" w:eastAsia="宋体" w:hint="default"/>
          <w:sz w:val="16"/>
          <w:szCs w:val="16"/>
        </w:rPr>
      </w:pPr>
    </w:p>
    <w:p>
      <w:pPr>
        <w:pStyle w:val="BodyText"/>
        <w:spacing w:line="468" w:lineRule="auto"/>
        <w:ind w:right="1132" w:firstLine="360"/>
        <w:jc w:val="both"/>
      </w:pPr>
      <w:r>
        <w:rPr/>
        <w:t>（</w:t>
      </w:r>
      <w:r>
        <w:rPr>
          <w:rFonts w:ascii="Times New Roman" w:hAnsi="Times New Roman" w:cs="Times New Roman" w:eastAsia="Times New Roman" w:hint="default"/>
        </w:rPr>
        <w:t>4</w:t>
      </w:r>
      <w:r>
        <w:rPr/>
        <w:t>）对管理层使用持续经营假设的恰当性得出结论。同时，根据获取的审计证据，就可能导致对恒久科技持续经营能 </w:t>
      </w:r>
      <w:r>
        <w:rPr>
          <w:spacing w:val="-2"/>
        </w:rPr>
        <w:t>力产生重大疑虑的事项或情况是否存在重大不确定性得出结论。如果我们得出结论认为存在重大不确定性，审计准则要求我</w:t>
      </w:r>
      <w:r>
        <w:rPr>
          <w:spacing w:val="-64"/>
        </w:rPr>
        <w:t> </w:t>
      </w:r>
      <w:r>
        <w:rPr>
          <w:spacing w:val="-64"/>
        </w:rPr>
      </w:r>
      <w:r>
        <w:rPr>
          <w:spacing w:val="-2"/>
        </w:rPr>
        <w:t>们在审计报告中提请报表使用者注意财务报表中的相关披露；如果披露不充分，我们应当发表非无保留意见。我们的结论基</w:t>
      </w:r>
      <w:r>
        <w:rPr>
          <w:spacing w:val="-66"/>
        </w:rPr>
        <w:t> </w:t>
      </w:r>
      <w:r>
        <w:rPr>
          <w:spacing w:val="-66"/>
        </w:rPr>
      </w:r>
      <w:r>
        <w:rPr/>
        <w:t>于截至审计报告日可获得的信息。然而，未来的事项或情况可能导致恒久科技不能持续经营。</w:t>
      </w:r>
    </w:p>
    <w:p>
      <w:pPr>
        <w:pStyle w:val="BodyText"/>
        <w:spacing w:line="240" w:lineRule="auto" w:before="61"/>
        <w:ind w:left="513" w:right="1133"/>
        <w:jc w:val="left"/>
      </w:pPr>
      <w:r>
        <w:rPr/>
        <w:t>（</w:t>
      </w:r>
      <w:r>
        <w:rPr>
          <w:rFonts w:ascii="Times New Roman" w:hAnsi="Times New Roman" w:cs="Times New Roman" w:eastAsia="Times New Roman" w:hint="default"/>
        </w:rPr>
        <w:t>5</w:t>
      </w:r>
      <w:r>
        <w:rPr/>
        <w:t>）评价财务报表的总体列报、结构和内容（包括披露），并评价财务报表是否公允反映相关交易和事项。</w:t>
      </w:r>
    </w:p>
    <w:p>
      <w:pPr>
        <w:spacing w:line="240" w:lineRule="auto" w:before="9"/>
        <w:rPr>
          <w:rFonts w:ascii="宋体" w:hAnsi="宋体" w:cs="宋体" w:eastAsia="宋体" w:hint="default"/>
          <w:sz w:val="16"/>
          <w:szCs w:val="16"/>
        </w:rPr>
      </w:pPr>
    </w:p>
    <w:p>
      <w:pPr>
        <w:pStyle w:val="BodyText"/>
        <w:spacing w:line="451" w:lineRule="auto"/>
        <w:ind w:right="1131" w:firstLine="360"/>
        <w:jc w:val="both"/>
      </w:pPr>
      <w:r>
        <w:rPr/>
        <w:t>（</w:t>
      </w:r>
      <w:r>
        <w:rPr>
          <w:rFonts w:ascii="Times New Roman" w:hAnsi="Times New Roman" w:cs="Times New Roman" w:eastAsia="Times New Roman" w:hint="default"/>
        </w:rPr>
        <w:t>6</w:t>
      </w:r>
      <w:r>
        <w:rPr/>
        <w:t>）就恒久科技中实体或业务活动的财务信息获取充分、适当的审计证据，以对财务报表发表审计意见。我们负责指 导、监督和执行集团审计，并对审计意见承担全部责任。</w:t>
      </w:r>
    </w:p>
    <w:p>
      <w:pPr>
        <w:pStyle w:val="BodyText"/>
        <w:spacing w:line="477" w:lineRule="auto" w:before="74"/>
        <w:ind w:right="1132" w:firstLine="360"/>
        <w:jc w:val="both"/>
      </w:pPr>
      <w:r>
        <w:rPr>
          <w:spacing w:val="-2"/>
        </w:rPr>
        <w:t>我们与治理层就计划的审计范围、时间安排和重大审计发现等事项进行沟通，包括沟通我们在审计中识别出的值得关注</w:t>
      </w:r>
      <w:r>
        <w:rPr/>
        <w:t> 的内部控制缺陷。</w:t>
      </w:r>
    </w:p>
    <w:p>
      <w:pPr>
        <w:pStyle w:val="BodyText"/>
        <w:spacing w:line="477" w:lineRule="auto" w:before="55"/>
        <w:ind w:right="1132" w:firstLine="360"/>
        <w:jc w:val="both"/>
      </w:pPr>
      <w:r>
        <w:rPr>
          <w:spacing w:val="-2"/>
        </w:rPr>
        <w:t>我们还就已遵守与独立性相关的职业道德要求向治理层提供声明，并与治理层沟通可能被合理认为影响我们独立性的所</w:t>
      </w:r>
      <w:r>
        <w:rPr/>
        <w:t> 有关系和其他事项，以及相关的防范措施（如适用）。</w:t>
      </w:r>
    </w:p>
    <w:p>
      <w:pPr>
        <w:pStyle w:val="BodyText"/>
        <w:spacing w:line="477" w:lineRule="auto" w:before="54"/>
        <w:ind w:right="1129"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2"/>
        </w:rPr>
        <w:t> </w:t>
      </w:r>
      <w:r>
        <w:rPr>
          <w:spacing w:val="-62"/>
        </w:rPr>
      </w:r>
      <w:r>
        <w:rPr/>
        <w:t>的负面后果超过在公众利益方面产生的益处，我们确定不应在审计报告中沟通该事项。</w:t>
      </w:r>
    </w:p>
    <w:p>
      <w:pPr>
        <w:spacing w:after="0" w:line="477" w:lineRule="auto"/>
        <w:jc w:val="both"/>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tabs>
          <w:tab w:pos="6456" w:val="left" w:leader="none"/>
        </w:tabs>
        <w:spacing w:line="240" w:lineRule="auto"/>
        <w:ind w:left="1773" w:right="1133"/>
        <w:jc w:val="left"/>
      </w:pPr>
      <w:r>
        <w:rPr/>
        <w:t>永拓会计师事务所（特殊普通合伙）</w:t>
        <w:tab/>
        <w:t>中国注册会计师：</w:t>
      </w:r>
    </w:p>
    <w:p>
      <w:pPr>
        <w:pStyle w:val="BodyText"/>
        <w:spacing w:line="240" w:lineRule="auto" w:before="76"/>
        <w:ind w:left="6994" w:right="1133"/>
        <w:jc w:val="left"/>
      </w:pPr>
      <w:r>
        <w:rPr/>
        <w:t>（合伙人）</w:t>
      </w:r>
    </w:p>
    <w:p>
      <w:pPr>
        <w:spacing w:line="240" w:lineRule="auto" w:before="0"/>
        <w:rPr>
          <w:rFonts w:ascii="宋体" w:hAnsi="宋体" w:cs="宋体" w:eastAsia="宋体" w:hint="default"/>
          <w:sz w:val="18"/>
          <w:szCs w:val="18"/>
        </w:rPr>
      </w:pPr>
    </w:p>
    <w:p>
      <w:pPr>
        <w:pStyle w:val="BodyText"/>
        <w:tabs>
          <w:tab w:pos="6881" w:val="left" w:leader="none"/>
        </w:tabs>
        <w:spacing w:line="240" w:lineRule="auto" w:before="153"/>
        <w:ind w:left="3487" w:right="1133"/>
        <w:jc w:val="left"/>
      </w:pPr>
      <w:r>
        <w:rPr>
          <w:spacing w:val="-1"/>
        </w:rPr>
        <w:t>中国</w:t>
      </w:r>
      <w:r>
        <w:rPr>
          <w:rFonts w:ascii="Times New Roman" w:hAnsi="Times New Roman" w:cs="Times New Roman" w:eastAsia="Times New Roman" w:hint="default"/>
          <w:spacing w:val="-1"/>
        </w:rPr>
        <w:t>•</w:t>
      </w:r>
      <w:r>
        <w:rPr>
          <w:spacing w:val="-1"/>
        </w:rPr>
        <w:t>北京</w:t>
        <w:tab/>
        <w:t>中国注册会计师：</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6"/>
          <w:szCs w:val="16"/>
        </w:rPr>
      </w:pPr>
    </w:p>
    <w:p>
      <w:pPr>
        <w:pStyle w:val="BodyText"/>
        <w:spacing w:line="240" w:lineRule="auto"/>
        <w:ind w:left="7272" w:right="1133"/>
        <w:jc w:val="left"/>
      </w:pPr>
      <w:r>
        <w:rPr/>
        <w:t>二〇二〇年四月二十日</w:t>
      </w:r>
    </w:p>
    <w:p>
      <w:pPr>
        <w:spacing w:after="0" w:line="240" w:lineRule="auto"/>
        <w:jc w:val="left"/>
        <w:sectPr>
          <w:pgSz w:w="11910" w:h="16840"/>
          <w:pgMar w:header="877" w:footer="980"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1133"/>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财务附注中报表的单位为：元</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100" w:bottom="1160" w:left="980" w:right="0"/>
        </w:sectPr>
      </w:pPr>
    </w:p>
    <w:p>
      <w:pPr>
        <w:pStyle w:val="BodyText"/>
        <w:spacing w:line="240" w:lineRule="auto" w:before="44"/>
        <w:ind w:right="-20"/>
        <w:jc w:val="left"/>
      </w:pPr>
      <w:r>
        <w:rPr/>
        <w:t>编制单位：苏州恒久光电科技股份有限公司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3"/>
        <w:jc w:val="left"/>
      </w:pPr>
      <w:r>
        <w:rPr>
          <w:rFonts w:ascii="Times New Roman" w:hAnsi="Times New Roman" w:cs="Times New Roman" w:eastAsia="Times New Roman" w:hint="default"/>
        </w:rPr>
        <w:t>2019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3" w:equalWidth="0">
            <w:col w:w="3573" w:space="503"/>
            <w:col w:w="1642" w:space="3202"/>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188,725,949.70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160,416,538.74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74,812.50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629,738.00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861,938.00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171,472,615.83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115,708,365.92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15,805,620.04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8,104,420.64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8,064,351.33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1,226,940.39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1,469,917.78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89,047,228.92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106,658,120.35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5,115,888.37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33,540,000.00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43,460,726.03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108,673,282.01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555,862,118.22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501,724,418.55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29,377,168.51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18,504,873.81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37,147,586.86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32,005,861.47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2,104,188.41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106,786,020.40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100,336,397.91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59,639.62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20,002,732.28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16,219,484.14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105,781,039.86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99,542.18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195,938.65</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4,068,517.32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2,262,390.23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355,550.00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76,078.97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289,767,965.35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185,615,045.27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845,630,083.57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687,339,463.82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58,002,658.41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49,709,548.09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15,398,653.60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4,656,208.40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2,318,467.21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1,256,012.62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9,048,706.80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2,749,866.83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43,492,078.49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1,125,321.94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558,241.66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248,260,564.51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119,496,957.88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412,500.00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4,284,646.83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805,064.23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4,647,146.83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1,217,564.23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252,907,711.34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120,714,522.11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268,800,000.00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54,826,048.15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131,626,048.15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-64,178.44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704,658.57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35,211,508.71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34,853,865.73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218,590,181.61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207,440,369.26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577,363,560.03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566,624,941.71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15,358,812.20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592,722,372.23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566,624,941.71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845,630,083.57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687,339,463.82</w:t>
            </w:r>
          </w:p>
        </w:tc>
      </w:tr>
    </w:tbl>
    <w:p>
      <w:pPr>
        <w:spacing w:line="240" w:lineRule="auto" w:before="11"/>
        <w:rPr>
          <w:rFonts w:ascii="Times New Roman" w:hAnsi="Times New Roman" w:cs="Times New Roman" w:eastAsia="Times New Roman" w:hint="default"/>
          <w:sz w:val="22"/>
          <w:szCs w:val="22"/>
        </w:rPr>
      </w:pPr>
    </w:p>
    <w:p>
      <w:pPr>
        <w:pStyle w:val="BodyText"/>
        <w:tabs>
          <w:tab w:pos="3425" w:val="left" w:leader="none"/>
          <w:tab w:pos="7568" w:val="left" w:leader="none"/>
        </w:tabs>
        <w:spacing w:line="240" w:lineRule="auto" w:before="44"/>
        <w:ind w:left="0" w:right="1223"/>
        <w:jc w:val="right"/>
      </w:pPr>
      <w:r>
        <w:rPr/>
        <w:t>法定代表人：余荣清</w:t>
        <w:tab/>
      </w:r>
      <w:r>
        <w:rPr>
          <w:spacing w:val="-1"/>
        </w:rPr>
        <w:t>主管会计工作负责人：冯芬兰</w:t>
        <w:tab/>
      </w:r>
      <w:r>
        <w:rPr/>
        <w:t>会计机构负责人：冯芬兰</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160,598,949.50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144,261,609.25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74,812.50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629,738.00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861,938.00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75,658,736.34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89,797,300.55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4,591,374.23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3,122,427.24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8,630,576.95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21,133,927.55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20"/>
              <w:jc w:val="right"/>
              <w:rPr>
                <w:rFonts w:ascii="宋体" w:hAnsi="宋体" w:cs="宋体" w:eastAsia="宋体" w:hint="default"/>
                <w:sz w:val="18"/>
                <w:szCs w:val="18"/>
              </w:rPr>
            </w:pPr>
            <w:r>
              <w:rPr>
                <w:rFonts w:ascii="宋体" w:hAnsi="宋体" w:cs="宋体" w:eastAsia="宋体" w:hint="default"/>
                <w:sz w:val="18"/>
                <w:szCs w:val="18"/>
              </w:rPr>
              <w:t>其中：应收利息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1,250,558.75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20"/>
              <w:jc w:val="righ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36,717,860.06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31,014,511.39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5,115,888.37</w:t>
            </w: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1,144,606.19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48,931,405.86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303,087,729.64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339,197,932.34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9,395,185.44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395,108,260.17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243,886,455.97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6,804,923.65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11,936,304.86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14,109,961.28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4,080,869.59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4,102,464.12</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99,542.18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172,526.78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1,629,599.96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1,266,951.56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419,684,500.41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272,958,545.15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722,772,230.05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612,156,477.49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35,585,825.27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17,813,026.75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5,702,244.04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4,148,566.40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641,635.60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705,508.75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86,104.15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695,401.81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40,482,930.60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249,607.04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202,498,739.66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83,612,110.75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412,500.00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229,013.49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224,597.95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591,513.49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637,097.95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203,090,253.15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84,249,208.70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268,800,000.00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54,826,048.15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131,626,048.15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-4,806,537.23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35,211,508.71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34,853,865.73</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165,650,957.27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169,427,354.91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519,681,976.90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527,907,268.79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722,772,230.05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612,156,477.49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316,379,060.65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318,813,645.89</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316,379,060.65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318,813,645.89</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93"/>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272,127,303.79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279,814,646.10</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238,635,126.06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255,016,244.18</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93"/>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提取保险责任合同准备金</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2,123,010.66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2,016,933.52</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12,272,866.59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11,562,936.50</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9,568,411.93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7,646,467.08</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14,257,020.37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14,719,202.15</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-4,729,131.82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-11,147,137.33</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93"/>
              <w:jc w:val="right"/>
              <w:rPr>
                <w:rFonts w:ascii="宋体" w:hAnsi="宋体" w:cs="宋体" w:eastAsia="宋体" w:hint="default"/>
                <w:sz w:val="18"/>
                <w:szCs w:val="18"/>
              </w:rPr>
            </w:pPr>
            <w:r>
              <w:rPr>
                <w:rFonts w:ascii="宋体" w:hAnsi="宋体" w:cs="宋体" w:eastAsia="宋体" w:hint="default"/>
                <w:sz w:val="18"/>
                <w:szCs w:val="18"/>
              </w:rPr>
              <w:t>其中：利息费用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3,579,920.84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1,337,670.91</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93"/>
              <w:jc w:val="righ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5,535,781.88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3,714,807.25</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1,288,660.93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607,416.73</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-11,068,995.55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6,029,267.55</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-13,526,824.68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4,912,260.28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r>
        <w:rPr/>
        <w:pict>
          <v:group style="position:absolute;margin-left:211.009995pt;margin-top:107.719986pt;width:158.9pt;height:20.65pt;mso-position-horizontal-relative:page;mso-position-vertical-relative:page;z-index:-1094080" coordorigin="4220,2154" coordsize="3178,413">
            <v:group style="position:absolute;left:4231;top:2165;width:2;height:392" coordorigin="4231,2165" coordsize="2,392">
              <v:shape style="position:absolute;left:4231;top:2165;width:2;height:392" coordorigin="4231,2165" coordsize="0,392" path="m4231,2165l4231,2556e" filled="false" stroked="true" strokeweight="1.08pt" strokecolor="#ffffff">
                <v:path arrowok="t"/>
              </v:shape>
            </v:group>
            <v:group style="position:absolute;left:4242;top:2165;width:3157;height:392" coordorigin="4242,2165" coordsize="3157,392">
              <v:shape style="position:absolute;left:4242;top:2165;width:3157;height:392" coordorigin="4242,2165" coordsize="3157,392" path="m4242,2556l7398,2556,7398,2165,4242,2165,4242,2556xe" filled="true" fillcolor="#ffffff" stroked="false">
                <v:path arrowok="t"/>
                <v:fill type="solid"/>
              </v:shape>
            </v:group>
            <w10:wrap type="none"/>
          </v:group>
        </w:pict>
      </w:r>
      <w:r>
        <w:rPr/>
        <w:pict>
          <v:group style="position:absolute;margin-left:211.009995pt;margin-top:366.589996pt;width:158.9pt;height:20.65pt;mso-position-horizontal-relative:page;mso-position-vertical-relative:page;z-index:-1094056" coordorigin="4220,7332" coordsize="3178,413">
            <v:group style="position:absolute;left:4231;top:7343;width:2;height:392" coordorigin="4231,7343" coordsize="2,392">
              <v:shape style="position:absolute;left:4231;top:7343;width:2;height:392" coordorigin="4231,7343" coordsize="0,392" path="m4231,7343l4231,7734e" filled="false" stroked="true" strokeweight="1.08pt" strokecolor="#ffffff">
                <v:path arrowok="t"/>
              </v:shape>
            </v:group>
            <v:group style="position:absolute;left:4242;top:7343;width:3157;height:392" coordorigin="4242,7343" coordsize="3157,392">
              <v:shape style="position:absolute;left:4242;top:7343;width:3157;height:392" coordorigin="4242,7343" coordsize="3157,392" path="m4242,7734l7398,7734,7398,7343,4242,7343,4242,7734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057"/>
        <w:gridCol w:w="1117"/>
        <w:gridCol w:w="2105"/>
        <w:gridCol w:w="3277"/>
      </w:tblGrid>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53"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2"/>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净敞口套期收益（损失以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-74,812.50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751,287.50</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信用减值损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-3,544,321.35</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资产减值损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-1,195,870.69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-7,625,157.51</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7"/>
                <w:sz w:val="18"/>
                <w:szCs w:val="18"/>
              </w:rPr>
              <w:t>益</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67,080.00</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29,723,497.70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38,761,814.06</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179.00</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234,882.79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24,662.18</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17"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2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2" w:right="0"/>
              <w:jc w:val="left"/>
              <w:rPr>
                <w:rFonts w:ascii="Times New Roman" w:hAnsi="Times New Roman" w:cs="Times New Roman" w:eastAsia="Times New Roman" w:hint="default"/>
                <w:sz w:val="18"/>
                <w:szCs w:val="18"/>
              </w:rPr>
            </w:pPr>
            <w:r>
              <w:rPr>
                <w:rFonts w:ascii="Times New Roman"/>
                <w:sz w:val="18"/>
              </w:rPr>
              <w:t>29,488,839.91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38,737,330.88</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5,985,060.02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4,077,583.56</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23,503,779.89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34,659,747.32</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23,503,779.89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34,659,747.32</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20,928,978.84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34,659,747.32</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2,574,801.05</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-1,842,876.68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608,027.28</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-1,842,876.68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608,027.28</w:t>
            </w: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（一）不能重分类进损益的其他综</w:t>
            </w:r>
            <w:r>
              <w:rPr>
                <w:rFonts w:ascii="宋体" w:hAnsi="宋体" w:cs="宋体" w:eastAsia="宋体" w:hint="default"/>
                <w:sz w:val="18"/>
                <w:szCs w:val="18"/>
              </w:rPr>
              <w:t> 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-1,954,305.71</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动额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1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其他权益工具投资公允价</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-1,954,305.71</w:t>
            </w: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36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z w:val="18"/>
                <w:szCs w:val="18"/>
              </w:rPr>
              <w:t> 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111,429.03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608,027.28</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 值变动损益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 综合收益的金额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备</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111,429.03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608,027.28</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21,660,903.21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35,267,774.60</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19,086,102.16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35,267,774.60</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3"/>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2,574,801.05</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0.078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0.129</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0.078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0.129</w:t>
            </w:r>
          </w:p>
        </w:tc>
      </w:tr>
    </w:tbl>
    <w:p>
      <w:pPr>
        <w:pStyle w:val="BodyText"/>
        <w:tabs>
          <w:tab w:pos="3578" w:val="left" w:leader="none"/>
          <w:tab w:pos="7721" w:val="left" w:leader="none"/>
        </w:tabs>
        <w:spacing w:line="595" w:lineRule="auto" w:before="49"/>
        <w:ind w:right="1223"/>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 </w:t>
      </w:r>
      <w:r>
        <w:rPr>
          <w:spacing w:val="-3"/>
        </w:rPr>
        <w:t>元。 </w:t>
      </w:r>
      <w:r>
        <w:rPr/>
        <w:t>法定代表人：余荣清</w:t>
        <w:tab/>
      </w:r>
      <w:r>
        <w:rPr>
          <w:spacing w:val="-1"/>
        </w:rPr>
        <w:t>主管会计工作负责人：冯芬兰</w:t>
        <w:tab/>
      </w:r>
      <w:r>
        <w:rPr/>
        <w:t>会计机构负责人：冯芬兰</w:t>
      </w:r>
      <w:r>
        <w:rPr/>
        <w:t>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291"/>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260,602,359.28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292,709,665.07</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218,398,623.12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250,523,156.01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898,672.20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1,142,589.80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9,065,345.71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8,935,753.33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6,373,502.23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5,945,043.46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9,931,007.52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10,957,918.68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-4,137,099.23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-10,791,278.74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3,579,920.84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1,337,670.91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4,854,082.08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3,564,094.47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1,018,713.90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357,862.98</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-12,058,659.66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4,628,414.42</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-13,526,824.68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4,912,260.28</w:t>
            </w:r>
          </w:p>
        </w:tc>
      </w:tr>
      <w:tr>
        <w:trPr>
          <w:trHeight w:val="102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1"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-74,812.50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751,287.50</w:t>
            </w: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-785,103.86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-2,193,885.54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-4,539,450.43</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5,978,560.07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27,194,597.00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179.00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206,781.63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1,000.00</w:t>
            </w: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5,771,928.44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27,193,776.00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2,195,498.66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2,172,087.64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3,576,429.78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25,021,688.36</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3,576,429.78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25,021,688.36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83" w:right="0"/>
              <w:jc w:val="left"/>
              <w:rPr>
                <w:rFonts w:ascii="宋体" w:hAnsi="宋体" w:cs="宋体" w:eastAsia="宋体" w:hint="default"/>
                <w:sz w:val="18"/>
                <w:szCs w:val="18"/>
              </w:rPr>
            </w:pPr>
            <w:r>
              <w:rPr>
                <w:rFonts w:ascii="宋体" w:hAnsi="宋体" w:cs="宋体" w:eastAsia="宋体" w:hint="default"/>
                <w:sz w:val="18"/>
                <w:szCs w:val="18"/>
              </w:rPr>
              <w:t>（二）终止经营净利润（净亏损</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-2,501,899.97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-2,501,899.97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-2,501,899.97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 他综合收益的金额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1,074,529.81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25,021,688.36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after="0" w:line="240" w:lineRule="auto"/>
        <w:jc w:val="right"/>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329,451,686.07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329,174,686.12</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4,282,329.14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3,323,730.51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91,348,416.81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33,943,596.41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425,082,432.02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366,442,013.04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224,810,795.22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295,725,226.18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33,693,879.25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41,280,628.86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13,211,381.11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7,632,105.54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99,985,640.38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56,820,290.97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371,701,695.96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401,458,251.55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53,380,736.06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-35,016,238.51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327,067,941.00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361,929,847.50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2,462,414.60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3,067,159.77</w:t>
            </w:r>
          </w:p>
        </w:tc>
      </w:tr>
    </w:tbl>
    <w:p>
      <w:pPr>
        <w:spacing w:after="0" w:line="240" w:lineRule="auto"/>
        <w:jc w:val="right"/>
        <w:rPr>
          <w:rFonts w:ascii="Times New Roman" w:hAnsi="Times New Roman" w:cs="Times New Roman" w:eastAsia="Times New Roman" w:hint="default"/>
          <w:sz w:val="18"/>
          <w:szCs w:val="18"/>
        </w:rPr>
        <w:sectPr>
          <w:footerReference w:type="default" r:id="rId18"/>
          <w:pgSz w:w="11910" w:h="16840"/>
          <w:pgMar w:footer="980" w:header="877"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91,800.00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340,055.00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3,896,160.00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329,622,155.60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369,233,222.27</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6,359,463.73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10,332,805.06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422,676,526.02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423,218,983.00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429,035,989.75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433,551,788.06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-99,413,834.15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-64,318,565.79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514,740.00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3,174,188.98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150,714,740.00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63,174,188.98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66,694,193.09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13,465,328.33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11,017,784.81</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1,309,115.00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80,159,521.42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12,326,899.81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70,555,218.58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50,847,289.17</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4,302,030.47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8,243,893.20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28,824,150.96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-40,243,621.93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pacing w:val="-1"/>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159,901,798.74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200,145,420.67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188,725,949.70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159,901,798.74</w:t>
            </w:r>
          </w:p>
        </w:tc>
      </w:tr>
    </w:tbl>
    <w:p>
      <w:pPr>
        <w:spacing w:after="0" w:line="240" w:lineRule="auto"/>
        <w:jc w:val="right"/>
        <w:rPr>
          <w:rFonts w:ascii="Times New Roman" w:hAnsi="Times New Roman" w:cs="Times New Roman" w:eastAsia="Times New Roman" w:hint="default"/>
          <w:sz w:val="18"/>
          <w:szCs w:val="18"/>
        </w:rPr>
        <w:sectPr>
          <w:footerReference w:type="default" r:id="rId19"/>
          <w:pgSz w:w="11910" w:h="16840"/>
          <w:pgMar w:footer="980" w:header="877" w:top="1100" w:bottom="1160" w:left="980" w:right="0"/>
          <w:pgNumType w:start="101"/>
        </w:sectPr>
      </w:pPr>
    </w:p>
    <w:p>
      <w:pPr>
        <w:spacing w:line="240" w:lineRule="auto" w:before="8"/>
        <w:rPr>
          <w:rFonts w:ascii="Times New Roman" w:hAnsi="Times New Roman" w:cs="Times New Roman" w:eastAsia="Times New Roman"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0"/>
        <w:gridCol w:w="3316"/>
        <w:gridCol w:w="3303"/>
      </w:tblGrid>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338,970,558.72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298,184,544.64</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3,748,458.65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2,156,013.38</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7,280,544.21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3,276,668.67</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349,999,561.58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303,617,226.69</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271,928,111.21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285,094,216.68</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15,842,112.53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18,087,419.25</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4,798,543.55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5,219,078.76</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13,302,521.16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9,928,661.33</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305,871,288.45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318,329,376.02</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44,128,273.13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-14,712,149.33</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202,763,201.00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213,489,847.50</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1,468,592.52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1,666,306.64</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3,800.00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18,718,339.34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10,515,464.75</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222,953,932.86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225,671,618.89</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757,057.46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1,264,783.35</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294,198,710.35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284,729,369.04</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5,762,448.95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14,251,097.95</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300,718,216.76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300,245,250.34</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-77,764,283.90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-74,573,631.45</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4,642,573.23</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120,000,000.00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64,642,573.23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13,437,316.44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11,017,784.81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353,344.98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8,596,443.20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73,790,661.42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19,614,228.01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46,209,338.58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45,028,345.22</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4,278,752.44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7,564,251.71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16,852,080.25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-36,693,183.85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143,746,869.25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180,440,053.10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160,598,949.50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143,746,869.25</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本期金额</w:t>
      </w:r>
    </w:p>
    <w:p>
      <w:pPr>
        <w:pStyle w:val="BodyText"/>
        <w:spacing w:line="240" w:lineRule="auto" w:before="117"/>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41"/>
        <w:gridCol w:w="494"/>
        <w:gridCol w:w="466"/>
        <w:gridCol w:w="466"/>
        <w:gridCol w:w="468"/>
        <w:gridCol w:w="583"/>
        <w:gridCol w:w="586"/>
        <w:gridCol w:w="583"/>
        <w:gridCol w:w="584"/>
        <w:gridCol w:w="583"/>
        <w:gridCol w:w="583"/>
        <w:gridCol w:w="586"/>
        <w:gridCol w:w="584"/>
        <w:gridCol w:w="583"/>
        <w:gridCol w:w="586"/>
        <w:gridCol w:w="578"/>
      </w:tblGrid>
      <w:tr>
        <w:trPr>
          <w:trHeight w:val="401" w:hRule="exact"/>
        </w:trPr>
        <w:tc>
          <w:tcPr>
            <w:tcW w:w="1241" w:type="dxa"/>
            <w:vMerge w:val="restart"/>
            <w:tcBorders>
              <w:top w:val="single" w:sz="4" w:space="0" w:color="000000"/>
              <w:left w:val="single" w:sz="4" w:space="0" w:color="000000"/>
              <w:right w:val="single" w:sz="4" w:space="0" w:color="000000"/>
            </w:tcBorders>
            <w:shd w:val="clear" w:color="auto" w:fill="D2D2D2"/>
          </w:tcPr>
          <w:p>
            <w:pPr/>
          </w:p>
        </w:tc>
        <w:tc>
          <w:tcPr>
            <w:tcW w:w="8313"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96" w:hRule="exact"/>
        </w:trPr>
        <w:tc>
          <w:tcPr>
            <w:tcW w:w="1241" w:type="dxa"/>
            <w:vMerge/>
            <w:tcBorders>
              <w:left w:val="single" w:sz="4" w:space="0" w:color="000000"/>
              <w:right w:val="single" w:sz="4" w:space="0" w:color="000000"/>
            </w:tcBorders>
            <w:shd w:val="clear" w:color="auto" w:fill="D2D2D2"/>
          </w:tcPr>
          <w:p>
            <w:pPr/>
          </w:p>
        </w:tc>
        <w:tc>
          <w:tcPr>
            <w:tcW w:w="7149"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6" w:type="dxa"/>
            <w:vMerge w:val="restart"/>
            <w:tcBorders>
              <w:top w:val="single" w:sz="4" w:space="0" w:color="000000"/>
              <w:left w:val="single" w:sz="4" w:space="0" w:color="000000"/>
              <w:right w:val="single" w:sz="4" w:space="0" w:color="000000"/>
            </w:tcBorders>
            <w:shd w:val="clear" w:color="auto" w:fill="D2D2D2"/>
          </w:tcPr>
          <w:p>
            <w:pPr/>
          </w:p>
        </w:tc>
        <w:tc>
          <w:tcPr>
            <w:tcW w:w="57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241" w:type="dxa"/>
            <w:vMerge/>
            <w:tcBorders>
              <w:left w:val="single" w:sz="4" w:space="0" w:color="000000"/>
              <w:right w:val="single" w:sz="4" w:space="0" w:color="000000"/>
            </w:tcBorders>
            <w:shd w:val="clear" w:color="auto" w:fill="D2D2D2"/>
          </w:tcPr>
          <w:p>
            <w:pPr/>
          </w:p>
        </w:tc>
        <w:tc>
          <w:tcPr>
            <w:tcW w:w="7149" w:type="dxa"/>
            <w:gridSpan w:val="13"/>
            <w:vMerge/>
            <w:tcBorders>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5" w:right="101"/>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151" w:hRule="exact"/>
        </w:trPr>
        <w:tc>
          <w:tcPr>
            <w:tcW w:w="1241" w:type="dxa"/>
            <w:vMerge/>
            <w:tcBorders>
              <w:left w:val="single" w:sz="4" w:space="0" w:color="000000"/>
              <w:bottom w:val="single" w:sz="4" w:space="0" w:color="FFFFFF"/>
              <w:right w:val="single" w:sz="4" w:space="0" w:color="000000"/>
            </w:tcBorders>
            <w:shd w:val="clear" w:color="auto" w:fill="D2D2D2"/>
          </w:tcPr>
          <w:p>
            <w:pPr/>
          </w:p>
        </w:tc>
        <w:tc>
          <w:tcPr>
            <w:tcW w:w="7149" w:type="dxa"/>
            <w:gridSpan w:val="13"/>
            <w:vMerge/>
            <w:tcBorders>
              <w:left w:val="single" w:sz="4" w:space="0" w:color="000000"/>
              <w:bottom w:val="single" w:sz="4" w:space="0" w:color="FFFFFF"/>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0" w:right="103"/>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78" w:type="dxa"/>
            <w:vMerge/>
            <w:tcBorders>
              <w:left w:val="single" w:sz="4" w:space="0" w:color="000000"/>
              <w:right w:val="single" w:sz="4" w:space="0" w:color="000000"/>
            </w:tcBorders>
            <w:shd w:val="clear" w:color="auto" w:fill="D2D2D2"/>
          </w:tcPr>
          <w:p>
            <w:pPr/>
          </w:p>
        </w:tc>
      </w:tr>
      <w:tr>
        <w:trPr>
          <w:trHeight w:val="204" w:hRule="exact"/>
        </w:trPr>
        <w:tc>
          <w:tcPr>
            <w:tcW w:w="124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3"/>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494" w:type="dxa"/>
            <w:vMerge w:val="restart"/>
            <w:tcBorders>
              <w:top w:val="single" w:sz="4" w:space="0" w:color="FFFFFF"/>
              <w:left w:val="single" w:sz="4" w:space="0" w:color="000000"/>
              <w:right w:val="single" w:sz="4" w:space="0" w:color="000000"/>
            </w:tcBorders>
            <w:shd w:val="clear" w:color="auto" w:fill="D2D2D2"/>
          </w:tcPr>
          <w:p>
            <w:pPr/>
          </w:p>
        </w:tc>
        <w:tc>
          <w:tcPr>
            <w:tcW w:w="1400" w:type="dxa"/>
            <w:gridSpan w:val="3"/>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5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3" w:type="dxa"/>
            <w:tcBorders>
              <w:top w:val="single" w:sz="4" w:space="0" w:color="FFFFFF"/>
              <w:left w:val="single" w:sz="4" w:space="0" w:color="000000"/>
              <w:bottom w:val="nil" w:sz="6" w:space="0" w:color="auto"/>
              <w:right w:val="single" w:sz="4" w:space="0" w:color="000000"/>
            </w:tcBorders>
            <w:shd w:val="clear" w:color="auto" w:fill="D2D2D2"/>
          </w:tcPr>
          <w:p>
            <w:pPr/>
          </w:p>
        </w:tc>
        <w:tc>
          <w:tcPr>
            <w:tcW w:w="586" w:type="dxa"/>
            <w:tcBorders>
              <w:top w:val="single" w:sz="4" w:space="0" w:color="FFFFFF"/>
              <w:left w:val="single" w:sz="4" w:space="0" w:color="000000"/>
              <w:bottom w:val="nil" w:sz="6" w:space="0" w:color="auto"/>
              <w:right w:val="single" w:sz="4" w:space="0" w:color="000000"/>
            </w:tcBorders>
            <w:shd w:val="clear" w:color="auto" w:fill="D2D2D2"/>
          </w:tcPr>
          <w:p>
            <w:pPr/>
          </w:p>
        </w:tc>
        <w:tc>
          <w:tcPr>
            <w:tcW w:w="583"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2"/>
              <w:ind w:left="108"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4" w:type="dxa"/>
            <w:tcBorders>
              <w:top w:val="single" w:sz="4" w:space="0" w:color="FFFFFF"/>
              <w:left w:val="single" w:sz="4" w:space="0" w:color="000000"/>
              <w:bottom w:val="nil" w:sz="6" w:space="0" w:color="auto"/>
              <w:right w:val="single" w:sz="4" w:space="0" w:color="000000"/>
            </w:tcBorders>
            <w:shd w:val="clear" w:color="auto" w:fill="D2D2D2"/>
          </w:tcPr>
          <w:p>
            <w:pPr/>
          </w:p>
        </w:tc>
        <w:tc>
          <w:tcPr>
            <w:tcW w:w="583" w:type="dxa"/>
            <w:tcBorders>
              <w:top w:val="single" w:sz="4" w:space="0" w:color="FFFFFF"/>
              <w:left w:val="single" w:sz="4" w:space="0" w:color="000000"/>
              <w:bottom w:val="nil" w:sz="6" w:space="0" w:color="auto"/>
              <w:right w:val="single" w:sz="4" w:space="0" w:color="000000"/>
            </w:tcBorders>
            <w:shd w:val="clear" w:color="auto" w:fill="D2D2D2"/>
          </w:tcPr>
          <w:p>
            <w:pPr/>
          </w:p>
        </w:tc>
        <w:tc>
          <w:tcPr>
            <w:tcW w:w="583"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2"/>
              <w:ind w:left="107"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2"/>
              <w:ind w:left="110" w:right="103"/>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4" w:type="dxa"/>
            <w:vMerge w:val="restart"/>
            <w:tcBorders>
              <w:top w:val="single" w:sz="4" w:space="0" w:color="FFFFFF"/>
              <w:left w:val="single" w:sz="4" w:space="0" w:color="000000"/>
              <w:right w:val="single" w:sz="4" w:space="0" w:color="000000"/>
            </w:tcBorders>
            <w:shd w:val="clear" w:color="auto" w:fill="D2D2D2"/>
          </w:tcPr>
          <w:p>
            <w:pPr/>
          </w:p>
        </w:tc>
        <w:tc>
          <w:tcPr>
            <w:tcW w:w="583" w:type="dxa"/>
            <w:vMerge w:val="restart"/>
            <w:tcBorders>
              <w:top w:val="single" w:sz="4" w:space="0" w:color="FFFFFF"/>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65" w:hRule="exact"/>
        </w:trPr>
        <w:tc>
          <w:tcPr>
            <w:tcW w:w="1241" w:type="dxa"/>
            <w:vMerge/>
            <w:tcBorders>
              <w:left w:val="single" w:sz="4" w:space="0" w:color="000000"/>
              <w:bottom w:val="nil" w:sz="6" w:space="0" w:color="auto"/>
              <w:right w:val="single" w:sz="4" w:space="0" w:color="000000"/>
            </w:tcBorders>
            <w:shd w:val="clear" w:color="auto" w:fill="D2D2D2"/>
          </w:tcPr>
          <w:p>
            <w:pPr/>
          </w:p>
        </w:tc>
        <w:tc>
          <w:tcPr>
            <w:tcW w:w="494" w:type="dxa"/>
            <w:vMerge/>
            <w:tcBorders>
              <w:left w:val="single" w:sz="4" w:space="0" w:color="000000"/>
              <w:bottom w:val="nil" w:sz="6" w:space="0" w:color="auto"/>
              <w:right w:val="single" w:sz="4" w:space="0" w:color="000000"/>
            </w:tcBorders>
            <w:shd w:val="clear" w:color="auto" w:fill="D2D2D2"/>
          </w:tcPr>
          <w:p>
            <w:pPr/>
          </w:p>
        </w:tc>
        <w:tc>
          <w:tcPr>
            <w:tcW w:w="1400" w:type="dxa"/>
            <w:gridSpan w:val="3"/>
            <w:vMerge/>
            <w:tcBorders>
              <w:left w:val="single" w:sz="4" w:space="0" w:color="000000"/>
              <w:bottom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108" w:right="103"/>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107" w:right="22" w:hanging="84"/>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583"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108" w:right="10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107"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93" w:hRule="exact"/>
        </w:trPr>
        <w:tc>
          <w:tcPr>
            <w:tcW w:w="1241" w:type="dxa"/>
            <w:vMerge w:val="restart"/>
            <w:tcBorders>
              <w:top w:val="nil" w:sz="6" w:space="0" w:color="auto"/>
              <w:left w:val="single" w:sz="4" w:space="0" w:color="000000"/>
              <w:right w:val="single" w:sz="4" w:space="0" w:color="000000"/>
            </w:tcBorders>
            <w:shd w:val="clear" w:color="auto" w:fill="D2D2D2"/>
          </w:tcPr>
          <w:p>
            <w:pPr/>
          </w:p>
        </w:tc>
        <w:tc>
          <w:tcPr>
            <w:tcW w:w="4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1"/>
              <w:ind w:left="139" w:right="47"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1"/>
              <w:ind w:left="139" w:right="46"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468" w:type="dxa"/>
            <w:tcBorders>
              <w:top w:val="single" w:sz="4" w:space="0" w:color="000000"/>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0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92" w:hRule="exact"/>
        </w:trPr>
        <w:tc>
          <w:tcPr>
            <w:tcW w:w="1241" w:type="dxa"/>
            <w:vMerge/>
            <w:tcBorders>
              <w:left w:val="single" w:sz="4" w:space="0" w:color="000000"/>
              <w:right w:val="single" w:sz="4" w:space="0" w:color="000000"/>
            </w:tcBorders>
            <w:shd w:val="clear" w:color="auto" w:fill="D2D2D2"/>
          </w:tcPr>
          <w:p>
            <w:pPr/>
          </w:p>
        </w:tc>
        <w:tc>
          <w:tcPr>
            <w:tcW w:w="494" w:type="dxa"/>
            <w:vMerge/>
            <w:tcBorders>
              <w:left w:val="single" w:sz="4" w:space="0" w:color="000000"/>
              <w:bottom w:val="nil" w:sz="6" w:space="0" w:color="auto"/>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33" w:hRule="exact"/>
        </w:trPr>
        <w:tc>
          <w:tcPr>
            <w:tcW w:w="1241" w:type="dxa"/>
            <w:vMerge/>
            <w:tcBorders>
              <w:left w:val="single" w:sz="4" w:space="0" w:color="000000"/>
              <w:right w:val="single" w:sz="4" w:space="0" w:color="000000"/>
            </w:tcBorders>
            <w:shd w:val="clear" w:color="auto" w:fill="D2D2D2"/>
          </w:tcPr>
          <w:p>
            <w:pPr/>
          </w:p>
        </w:tc>
        <w:tc>
          <w:tcPr>
            <w:tcW w:w="494" w:type="dxa"/>
            <w:vMerge w:val="restart"/>
            <w:tcBorders>
              <w:top w:val="nil" w:sz="6" w:space="0" w:color="auto"/>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22" w:hRule="exact"/>
        </w:trPr>
        <w:tc>
          <w:tcPr>
            <w:tcW w:w="1241" w:type="dxa"/>
            <w:vMerge/>
            <w:tcBorders>
              <w:left w:val="single" w:sz="4" w:space="0" w:color="000000"/>
              <w:right w:val="single" w:sz="4" w:space="0" w:color="000000"/>
            </w:tcBorders>
            <w:shd w:val="clear" w:color="auto" w:fill="D2D2D2"/>
          </w:tcPr>
          <w:p>
            <w:pPr/>
          </w:p>
        </w:tc>
        <w:tc>
          <w:tcPr>
            <w:tcW w:w="494"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78" w:type="dxa"/>
            <w:vMerge/>
            <w:tcBorders>
              <w:left w:val="single" w:sz="4" w:space="0" w:color="000000"/>
              <w:bottom w:val="nil" w:sz="6" w:space="0" w:color="auto"/>
              <w:right w:val="single" w:sz="4" w:space="0" w:color="000000"/>
            </w:tcBorders>
            <w:shd w:val="clear" w:color="auto" w:fill="D2D2D2"/>
          </w:tcPr>
          <w:p>
            <w:pPr/>
          </w:p>
        </w:tc>
      </w:tr>
      <w:tr>
        <w:trPr>
          <w:trHeight w:val="96" w:hRule="exact"/>
        </w:trPr>
        <w:tc>
          <w:tcPr>
            <w:tcW w:w="1241" w:type="dxa"/>
            <w:vMerge/>
            <w:tcBorders>
              <w:left w:val="single" w:sz="4" w:space="0" w:color="000000"/>
              <w:bottom w:val="single" w:sz="4" w:space="0" w:color="000000"/>
              <w:right w:val="single" w:sz="4" w:space="0" w:color="000000"/>
            </w:tcBorders>
            <w:shd w:val="clear" w:color="auto" w:fill="D2D2D2"/>
          </w:tcPr>
          <w:p>
            <w:pPr/>
          </w:p>
        </w:tc>
        <w:tc>
          <w:tcPr>
            <w:tcW w:w="494"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8"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7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9" w:space="0" w:color="D2D2D2"/>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192,0</w:t>
            </w:r>
          </w:p>
          <w:p>
            <w:pPr>
              <w:pStyle w:val="TableParagraph"/>
              <w:spacing w:line="240" w:lineRule="auto" w:before="102"/>
              <w:ind w:left="4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140" w:right="0"/>
              <w:jc w:val="left"/>
              <w:rPr>
                <w:rFonts w:ascii="Times New Roman" w:hAnsi="Times New Roman" w:cs="Times New Roman" w:eastAsia="Times New Roman" w:hint="default"/>
                <w:sz w:val="18"/>
                <w:szCs w:val="18"/>
              </w:rPr>
            </w:pPr>
            <w:r>
              <w:rPr>
                <w:rFonts w:ascii="Times New Roman"/>
                <w:sz w:val="18"/>
              </w:rPr>
              <w:t>0.00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131,62</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6,048.</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15</w:t>
            </w: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18" w:space="0" w:color="D2D2D2"/>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704,65</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8.57</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34,853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,865.7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83" w:type="dxa"/>
            <w:vMerge w:val="restart"/>
            <w:tcBorders>
              <w:top w:val="single" w:sz="18" w:space="0" w:color="D2D2D2"/>
              <w:left w:val="single" w:sz="4" w:space="0" w:color="000000"/>
              <w:right w:val="single" w:sz="4" w:space="0" w:color="000000"/>
            </w:tcBorders>
          </w:tcPr>
          <w:p>
            <w:pPr/>
          </w:p>
        </w:tc>
        <w:tc>
          <w:tcPr>
            <w:tcW w:w="586" w:type="dxa"/>
            <w:vMerge w:val="restart"/>
            <w:tcBorders>
              <w:top w:val="single" w:sz="18" w:space="0" w:color="D2D2D2"/>
              <w:left w:val="single" w:sz="4" w:space="0" w:color="000000"/>
              <w:right w:val="single" w:sz="4" w:space="0" w:color="000000"/>
            </w:tcBorders>
          </w:tcPr>
          <w:p>
            <w:pPr>
              <w:pStyle w:val="TableParagraph"/>
              <w:spacing w:line="240" w:lineRule="auto" w:before="73"/>
              <w:ind w:left="60" w:right="0"/>
              <w:jc w:val="left"/>
              <w:rPr>
                <w:rFonts w:ascii="Times New Roman" w:hAnsi="Times New Roman" w:cs="Times New Roman" w:eastAsia="Times New Roman" w:hint="default"/>
                <w:sz w:val="18"/>
                <w:szCs w:val="18"/>
              </w:rPr>
            </w:pPr>
            <w:r>
              <w:rPr>
                <w:rFonts w:ascii="Times New Roman"/>
                <w:sz w:val="18"/>
              </w:rPr>
              <w:t>207,44</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0,369.</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26</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566,62</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4,941.</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71</w:t>
            </w:r>
          </w:p>
        </w:tc>
        <w:tc>
          <w:tcPr>
            <w:tcW w:w="58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36" w:space="0" w:color="D2D2D2"/>
              <w:left w:val="single" w:sz="4" w:space="0" w:color="000000"/>
              <w:right w:val="single" w:sz="4" w:space="0" w:color="000000"/>
            </w:tcBorders>
          </w:tcPr>
          <w:p>
            <w:pPr>
              <w:pStyle w:val="TableParagraph"/>
              <w:spacing w:line="240" w:lineRule="auto" w:before="50"/>
              <w:ind w:left="52" w:right="0"/>
              <w:jc w:val="left"/>
              <w:rPr>
                <w:rFonts w:ascii="Times New Roman" w:hAnsi="Times New Roman" w:cs="Times New Roman" w:eastAsia="Times New Roman" w:hint="default"/>
                <w:sz w:val="18"/>
                <w:szCs w:val="18"/>
              </w:rPr>
            </w:pPr>
            <w:r>
              <w:rPr>
                <w:rFonts w:ascii="Times New Roman"/>
                <w:sz w:val="18"/>
              </w:rPr>
              <w:t>566,62</w:t>
            </w:r>
          </w:p>
          <w:p>
            <w:pPr>
              <w:pStyle w:val="TableParagraph"/>
              <w:spacing w:line="240" w:lineRule="auto" w:before="102"/>
              <w:ind w:left="95" w:right="0"/>
              <w:jc w:val="left"/>
              <w:rPr>
                <w:rFonts w:ascii="Times New Roman" w:hAnsi="Times New Roman" w:cs="Times New Roman" w:eastAsia="Times New Roman" w:hint="default"/>
                <w:sz w:val="18"/>
                <w:szCs w:val="18"/>
              </w:rPr>
            </w:pPr>
            <w:r>
              <w:rPr>
                <w:rFonts w:ascii="Times New Roman"/>
                <w:sz w:val="18"/>
              </w:rPr>
              <w:t>4,941.</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71</w:t>
            </w:r>
          </w:p>
        </w:tc>
      </w:tr>
      <w:tr>
        <w:trPr>
          <w:trHeight w:val="703" w:hRule="exact"/>
        </w:trPr>
        <w:tc>
          <w:tcPr>
            <w:tcW w:w="12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20"/>
              <w:jc w:val="left"/>
              <w:rPr>
                <w:rFonts w:ascii="宋体" w:hAnsi="宋体" w:cs="宋体" w:eastAsia="宋体" w:hint="default"/>
                <w:sz w:val="18"/>
                <w:szCs w:val="18"/>
              </w:rPr>
            </w:pPr>
            <w:r>
              <w:rPr>
                <w:rFonts w:ascii="宋体" w:hAnsi="宋体" w:cs="宋体" w:eastAsia="宋体" w:hint="default"/>
                <w:spacing w:val="-9"/>
                <w:sz w:val="18"/>
                <w:szCs w:val="18"/>
              </w:rPr>
              <w:t>一、上年期末余</w:t>
            </w:r>
            <w:r>
              <w:rPr>
                <w:rFonts w:ascii="宋体" w:hAnsi="宋体" w:cs="宋体" w:eastAsia="宋体" w:hint="default"/>
                <w:sz w:val="18"/>
                <w:szCs w:val="18"/>
              </w:rPr>
              <w:t> 额</w:t>
            </w:r>
          </w:p>
        </w:tc>
        <w:tc>
          <w:tcPr>
            <w:tcW w:w="494"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1" w:hRule="exact"/>
        </w:trPr>
        <w:tc>
          <w:tcPr>
            <w:tcW w:w="1241"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715"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9" w:firstLine="360"/>
              <w:jc w:val="left"/>
              <w:rPr>
                <w:rFonts w:ascii="宋体" w:hAnsi="宋体" w:cs="宋体" w:eastAsia="宋体" w:hint="default"/>
                <w:sz w:val="18"/>
                <w:szCs w:val="18"/>
              </w:rPr>
            </w:pPr>
            <w:r>
              <w:rPr>
                <w:rFonts w:ascii="宋体" w:hAnsi="宋体" w:cs="宋体" w:eastAsia="宋体" w:hint="default"/>
                <w:spacing w:val="-13"/>
                <w:sz w:val="18"/>
                <w:szCs w:val="18"/>
              </w:rPr>
              <w:t>加：会计政</w:t>
            </w:r>
            <w:r>
              <w:rPr>
                <w:rFonts w:ascii="宋体" w:hAnsi="宋体" w:cs="宋体" w:eastAsia="宋体" w:hint="default"/>
                <w:sz w:val="18"/>
                <w:szCs w:val="18"/>
              </w:rPr>
              <w:t> 策变更</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1,074,</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039.67</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2,604,</w:t>
            </w:r>
          </w:p>
          <w:p>
            <w:pPr>
              <w:pStyle w:val="TableParagraph"/>
              <w:spacing w:line="240" w:lineRule="auto" w:before="105"/>
              <w:ind w:left="60" w:right="0"/>
              <w:jc w:val="left"/>
              <w:rPr>
                <w:rFonts w:ascii="Times New Roman" w:hAnsi="Times New Roman" w:cs="Times New Roman" w:eastAsia="Times New Roman" w:hint="default"/>
                <w:sz w:val="18"/>
                <w:szCs w:val="18"/>
              </w:rPr>
            </w:pPr>
            <w:r>
              <w:rPr>
                <w:rFonts w:ascii="Times New Roman"/>
                <w:sz w:val="18"/>
              </w:rPr>
              <w:t>815.56</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3,678,</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855.23</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3,678,</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855.23</w:t>
            </w:r>
          </w:p>
        </w:tc>
      </w:tr>
      <w:tr>
        <w:trPr>
          <w:trHeight w:val="713"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37"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7"/>
              <w:jc w:val="right"/>
              <w:rPr>
                <w:rFonts w:ascii="宋体" w:hAnsi="宋体" w:cs="宋体" w:eastAsia="宋体" w:hint="default"/>
                <w:sz w:val="18"/>
                <w:szCs w:val="18"/>
              </w:rPr>
            </w:pPr>
            <w:r>
              <w:rPr>
                <w:rFonts w:ascii="宋体" w:hAnsi="宋体" w:cs="宋体" w:eastAsia="宋体" w:hint="default"/>
                <w:sz w:val="18"/>
                <w:szCs w:val="18"/>
              </w:rPr>
              <w:t>其他</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9" w:space="0" w:color="D2D2D2"/>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192,0</w:t>
            </w:r>
          </w:p>
          <w:p>
            <w:pPr>
              <w:pStyle w:val="TableParagraph"/>
              <w:spacing w:line="240" w:lineRule="auto" w:before="105"/>
              <w:ind w:left="4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140" w:right="0"/>
              <w:jc w:val="left"/>
              <w:rPr>
                <w:rFonts w:ascii="Times New Roman" w:hAnsi="Times New Roman" w:cs="Times New Roman" w:eastAsia="Times New Roman" w:hint="default"/>
                <w:sz w:val="18"/>
                <w:szCs w:val="18"/>
              </w:rPr>
            </w:pPr>
            <w:r>
              <w:rPr>
                <w:rFonts w:ascii="Times New Roman"/>
                <w:sz w:val="18"/>
              </w:rPr>
              <w:t>0.00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131,62</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6,048.</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15</w:t>
            </w: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1,778,</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698.24</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34,853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,865.7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210,04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5,184.</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82</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570,30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3,796.</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94</w:t>
            </w:r>
          </w:p>
        </w:tc>
        <w:tc>
          <w:tcPr>
            <w:tcW w:w="58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570,30</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3,796.</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94</w:t>
            </w:r>
          </w:p>
        </w:tc>
      </w:tr>
      <w:tr>
        <w:trPr>
          <w:trHeight w:val="703" w:hRule="exact"/>
        </w:trPr>
        <w:tc>
          <w:tcPr>
            <w:tcW w:w="12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9"/>
                <w:sz w:val="18"/>
                <w:szCs w:val="18"/>
              </w:rPr>
              <w:t>二、本年期初余</w:t>
            </w:r>
            <w:r>
              <w:rPr>
                <w:rFonts w:ascii="宋体" w:hAnsi="宋体" w:cs="宋体" w:eastAsia="宋体" w:hint="default"/>
                <w:sz w:val="18"/>
                <w:szCs w:val="18"/>
              </w:rPr>
              <w:t> 额</w:t>
            </w:r>
          </w:p>
        </w:tc>
        <w:tc>
          <w:tcPr>
            <w:tcW w:w="494"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1" w:hRule="exact"/>
        </w:trPr>
        <w:tc>
          <w:tcPr>
            <w:tcW w:w="1241"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403"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20"/>
              <w:jc w:val="right"/>
              <w:rPr>
                <w:rFonts w:ascii="宋体" w:hAnsi="宋体" w:cs="宋体" w:eastAsia="宋体" w:hint="default"/>
                <w:sz w:val="18"/>
                <w:szCs w:val="18"/>
              </w:rPr>
            </w:pPr>
            <w:r>
              <w:rPr>
                <w:rFonts w:ascii="宋体" w:hAnsi="宋体" w:cs="宋体" w:eastAsia="宋体" w:hint="default"/>
                <w:spacing w:val="-9"/>
                <w:w w:val="95"/>
                <w:sz w:val="18"/>
                <w:szCs w:val="18"/>
              </w:rPr>
              <w:t>三、本期增减变</w:t>
            </w:r>
          </w:p>
        </w:tc>
        <w:tc>
          <w:tcPr>
            <w:tcW w:w="4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2"/>
              <w:ind w:left="44" w:right="0"/>
              <w:jc w:val="left"/>
              <w:rPr>
                <w:rFonts w:ascii="Times New Roman" w:hAnsi="Times New Roman" w:cs="Times New Roman" w:eastAsia="Times New Roman" w:hint="default"/>
                <w:sz w:val="18"/>
                <w:szCs w:val="18"/>
              </w:rPr>
            </w:pPr>
            <w:r>
              <w:rPr>
                <w:rFonts w:ascii="Times New Roman"/>
                <w:sz w:val="18"/>
              </w:rPr>
              <w:t>76,80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86" w:right="0"/>
              <w:jc w:val="left"/>
              <w:rPr>
                <w:rFonts w:ascii="Times New Roman" w:hAnsi="Times New Roman" w:cs="Times New Roman" w:eastAsia="Times New Roman" w:hint="default"/>
                <w:sz w:val="18"/>
                <w:szCs w:val="18"/>
              </w:rPr>
            </w:pPr>
            <w:r>
              <w:rPr>
                <w:rFonts w:ascii="Times New Roman"/>
                <w:sz w:val="18"/>
              </w:rPr>
              <w:t>-76,80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3" w:right="0"/>
              <w:jc w:val="left"/>
              <w:rPr>
                <w:rFonts w:ascii="Times New Roman" w:hAnsi="Times New Roman" w:cs="Times New Roman" w:eastAsia="Times New Roman" w:hint="default"/>
                <w:sz w:val="18"/>
                <w:szCs w:val="18"/>
              </w:rPr>
            </w:pPr>
            <w:r>
              <w:rPr>
                <w:rFonts w:ascii="Times New Roman"/>
                <w:sz w:val="18"/>
              </w:rPr>
              <w:t>-1,842,</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57" w:right="0"/>
              <w:jc w:val="left"/>
              <w:rPr>
                <w:rFonts w:ascii="Times New Roman" w:hAnsi="Times New Roman" w:cs="Times New Roman" w:eastAsia="Times New Roman" w:hint="default"/>
                <w:sz w:val="18"/>
                <w:szCs w:val="18"/>
              </w:rPr>
            </w:pPr>
            <w:r>
              <w:rPr>
                <w:rFonts w:ascii="Times New Roman"/>
                <w:sz w:val="18"/>
              </w:rPr>
              <w:t>357,64</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0"/>
              <w:jc w:val="left"/>
              <w:rPr>
                <w:rFonts w:ascii="Times New Roman" w:hAnsi="Times New Roman" w:cs="Times New Roman" w:eastAsia="Times New Roman" w:hint="default"/>
                <w:sz w:val="18"/>
                <w:szCs w:val="18"/>
              </w:rPr>
            </w:pPr>
            <w:r>
              <w:rPr>
                <w:rFonts w:ascii="Times New Roman"/>
                <w:sz w:val="18"/>
              </w:rPr>
              <w:t>8,544,</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0" w:right="0"/>
              <w:jc w:val="left"/>
              <w:rPr>
                <w:rFonts w:ascii="Times New Roman" w:hAnsi="Times New Roman" w:cs="Times New Roman" w:eastAsia="Times New Roman" w:hint="default"/>
                <w:sz w:val="18"/>
                <w:szCs w:val="18"/>
              </w:rPr>
            </w:pPr>
            <w:r>
              <w:rPr>
                <w:rFonts w:ascii="Times New Roman"/>
                <w:sz w:val="18"/>
              </w:rPr>
              <w:t>7,059,</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59" w:right="0"/>
              <w:jc w:val="left"/>
              <w:rPr>
                <w:rFonts w:ascii="Times New Roman" w:hAnsi="Times New Roman" w:cs="Times New Roman" w:eastAsia="Times New Roman" w:hint="default"/>
                <w:sz w:val="18"/>
                <w:szCs w:val="18"/>
              </w:rPr>
            </w:pPr>
            <w:r>
              <w:rPr>
                <w:rFonts w:ascii="Times New Roman"/>
                <w:sz w:val="18"/>
              </w:rPr>
              <w:t>15,358</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52" w:right="0"/>
              <w:jc w:val="left"/>
              <w:rPr>
                <w:rFonts w:ascii="Times New Roman" w:hAnsi="Times New Roman" w:cs="Times New Roman" w:eastAsia="Times New Roman" w:hint="default"/>
                <w:sz w:val="18"/>
                <w:szCs w:val="18"/>
              </w:rPr>
            </w:pPr>
            <w:r>
              <w:rPr>
                <w:rFonts w:ascii="Times New Roman"/>
                <w:sz w:val="18"/>
              </w:rPr>
              <w:t>22,418</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67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pacing w:val="-9"/>
                <w:sz w:val="18"/>
                <w:szCs w:val="18"/>
              </w:rPr>
              <w:t>动金额（减少以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1"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7" w:right="0"/>
              <w:jc w:val="left"/>
              <w:rPr>
                <w:rFonts w:ascii="Times New Roman" w:hAnsi="Times New Roman" w:cs="Times New Roman" w:eastAsia="Times New Roman" w:hint="default"/>
                <w:sz w:val="18"/>
                <w:szCs w:val="18"/>
              </w:rPr>
            </w:pPr>
            <w:r>
              <w:rPr>
                <w:rFonts w:ascii="Times New Roman"/>
                <w:sz w:val="18"/>
              </w:rPr>
              <w:t>876.68</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7" w:right="0"/>
              <w:jc w:val="left"/>
              <w:rPr>
                <w:rFonts w:ascii="Times New Roman" w:hAnsi="Times New Roman" w:cs="Times New Roman" w:eastAsia="Times New Roman" w:hint="default"/>
                <w:sz w:val="18"/>
                <w:szCs w:val="18"/>
              </w:rPr>
            </w:pPr>
            <w:r>
              <w:rPr>
                <w:rFonts w:ascii="Times New Roman"/>
                <w:sz w:val="18"/>
              </w:rPr>
              <w:t>2.98</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0" w:right="0"/>
              <w:jc w:val="left"/>
              <w:rPr>
                <w:rFonts w:ascii="Times New Roman" w:hAnsi="Times New Roman" w:cs="Times New Roman" w:eastAsia="Times New Roman" w:hint="default"/>
                <w:sz w:val="18"/>
                <w:szCs w:val="18"/>
              </w:rPr>
            </w:pPr>
            <w:r>
              <w:rPr>
                <w:rFonts w:ascii="Times New Roman"/>
                <w:sz w:val="18"/>
              </w:rPr>
              <w:t>996.79</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7" w:right="0"/>
              <w:jc w:val="left"/>
              <w:rPr>
                <w:rFonts w:ascii="Times New Roman" w:hAnsi="Times New Roman" w:cs="Times New Roman" w:eastAsia="Times New Roman" w:hint="default"/>
                <w:sz w:val="18"/>
                <w:szCs w:val="18"/>
              </w:rPr>
            </w:pPr>
            <w:r>
              <w:rPr>
                <w:rFonts w:ascii="Times New Roman"/>
                <w:sz w:val="18"/>
              </w:rPr>
              <w:t>763.09</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,812.2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,575.2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（一）综合收益</w:t>
            </w:r>
            <w:r>
              <w:rPr>
                <w:rFonts w:ascii="宋体" w:hAnsi="宋体" w:cs="宋体" w:eastAsia="宋体" w:hint="default"/>
                <w:sz w:val="18"/>
                <w:szCs w:val="18"/>
              </w:rPr>
              <w:t> 总额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-1,842,</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876.68</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20,928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,978.8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19,086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,102.1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2,574,</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801.05</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21,660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,903.2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9"/>
                <w:sz w:val="18"/>
                <w:szCs w:val="18"/>
              </w:rPr>
              <w:t>（二）所有者投</w:t>
            </w:r>
            <w:r>
              <w:rPr>
                <w:rFonts w:ascii="宋体" w:hAnsi="宋体" w:cs="宋体" w:eastAsia="宋体" w:hint="default"/>
                <w:sz w:val="18"/>
                <w:szCs w:val="18"/>
              </w:rPr>
              <w:t> 入和减少资本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9"/>
                <w:sz w:val="18"/>
                <w:szCs w:val="18"/>
              </w:rPr>
              <w:t>（三）利润分配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357,64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2.98</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-9,957,</w:t>
            </w:r>
          </w:p>
          <w:p>
            <w:pPr>
              <w:pStyle w:val="TableParagraph"/>
              <w:spacing w:line="240" w:lineRule="auto" w:before="105"/>
              <w:ind w:left="60" w:right="0"/>
              <w:jc w:val="left"/>
              <w:rPr>
                <w:rFonts w:ascii="Times New Roman" w:hAnsi="Times New Roman" w:cs="Times New Roman" w:eastAsia="Times New Roman" w:hint="default"/>
                <w:sz w:val="18"/>
                <w:szCs w:val="18"/>
              </w:rPr>
            </w:pPr>
            <w:r>
              <w:rPr>
                <w:rFonts w:ascii="Times New Roman"/>
                <w:sz w:val="18"/>
              </w:rPr>
              <w:t>642.98</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-9,600,</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000.00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-9,600,</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000.00</w:t>
            </w: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357,64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2.98</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-357,6</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42.98</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0"/>
              <w:jc w:val="left"/>
              <w:rPr>
                <w:rFonts w:ascii="宋体" w:hAnsi="宋体" w:cs="宋体" w:eastAsia="宋体" w:hint="default"/>
                <w:sz w:val="18"/>
                <w:szCs w:val="18"/>
              </w:rPr>
            </w:pPr>
            <w:r>
              <w:rPr>
                <w:rFonts w:ascii="Times New Roman" w:hAnsi="Times New Roman" w:cs="Times New Roman" w:eastAsia="Times New Roman" w:hint="default"/>
                <w:spacing w:val="-20"/>
                <w:sz w:val="18"/>
                <w:szCs w:val="18"/>
              </w:rPr>
              <w:t>3</w:t>
            </w:r>
            <w:r>
              <w:rPr>
                <w:rFonts w:ascii="宋体" w:hAnsi="宋体" w:cs="宋体" w:eastAsia="宋体" w:hint="default"/>
                <w:spacing w:val="-20"/>
                <w:sz w:val="18"/>
                <w:szCs w:val="18"/>
              </w:rPr>
              <w:t>．对所有者（或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股东）的分配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-9,600,</w:t>
            </w:r>
          </w:p>
          <w:p>
            <w:pPr>
              <w:pStyle w:val="TableParagraph"/>
              <w:spacing w:line="240" w:lineRule="auto" w:before="105"/>
              <w:ind w:left="60" w:right="0"/>
              <w:jc w:val="left"/>
              <w:rPr>
                <w:rFonts w:ascii="Times New Roman" w:hAnsi="Times New Roman" w:cs="Times New Roman" w:eastAsia="Times New Roman" w:hint="default"/>
                <w:sz w:val="18"/>
                <w:szCs w:val="18"/>
              </w:rPr>
            </w:pPr>
            <w:r>
              <w:rPr>
                <w:rFonts w:ascii="Times New Roman"/>
                <w:sz w:val="18"/>
              </w:rPr>
              <w:t>000.00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-9,600,</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000.00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-9,600,</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000.00</w:t>
            </w: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（四）所有者权</w:t>
            </w:r>
            <w:r>
              <w:rPr>
                <w:rFonts w:ascii="宋体" w:hAnsi="宋体" w:cs="宋体" w:eastAsia="宋体" w:hint="default"/>
                <w:sz w:val="18"/>
                <w:szCs w:val="18"/>
              </w:rPr>
              <w:t> 益内部结转</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76,80</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-76,80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-2,426,</w:t>
            </w:r>
          </w:p>
          <w:p>
            <w:pPr>
              <w:pStyle w:val="TableParagraph"/>
              <w:spacing w:line="240" w:lineRule="auto" w:before="105"/>
              <w:ind w:left="60" w:right="0"/>
              <w:jc w:val="left"/>
              <w:rPr>
                <w:rFonts w:ascii="Times New Roman" w:hAnsi="Times New Roman" w:cs="Times New Roman" w:eastAsia="Times New Roman" w:hint="default"/>
                <w:sz w:val="18"/>
                <w:szCs w:val="18"/>
              </w:rPr>
            </w:pPr>
            <w:r>
              <w:rPr>
                <w:rFonts w:ascii="Times New Roman"/>
                <w:sz w:val="18"/>
              </w:rPr>
              <w:t>339.07</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-2,426,</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339.07</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12,784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2"/>
                <w:sz w:val="18"/>
              </w:rPr>
              <w:t>,011.1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10,357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,672.0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76,80</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-76,80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-2,426,</w:t>
            </w:r>
          </w:p>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339.07</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-2,426,</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339.07</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12,784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2"/>
                <w:sz w:val="18"/>
              </w:rPr>
              <w:t>,011.1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10,357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,672.0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四、本期期末余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268,8</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0.00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54,826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,048.1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-64,17</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8.44</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35,211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,508.7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218,59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0,181.</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61</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577,36</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3,560.</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03</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15,358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,812.2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592,72</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2,372.</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23</w:t>
            </w:r>
          </w:p>
        </w:tc>
      </w:tr>
    </w:tbl>
    <w:p>
      <w:pPr>
        <w:pStyle w:val="BodyText"/>
        <w:spacing w:line="240" w:lineRule="auto" w:before="49"/>
        <w:ind w:right="1133"/>
        <w:jc w:val="left"/>
      </w:pPr>
      <w:r>
        <w:rPr/>
        <w:t>上期金额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90"/>
        <w:gridCol w:w="500"/>
        <w:gridCol w:w="449"/>
        <w:gridCol w:w="449"/>
        <w:gridCol w:w="493"/>
        <w:gridCol w:w="576"/>
        <w:gridCol w:w="576"/>
        <w:gridCol w:w="578"/>
        <w:gridCol w:w="576"/>
        <w:gridCol w:w="576"/>
        <w:gridCol w:w="578"/>
        <w:gridCol w:w="588"/>
        <w:gridCol w:w="566"/>
        <w:gridCol w:w="569"/>
        <w:gridCol w:w="641"/>
        <w:gridCol w:w="653"/>
      </w:tblGrid>
      <w:tr>
        <w:trPr>
          <w:trHeight w:val="401" w:hRule="exact"/>
        </w:trPr>
        <w:tc>
          <w:tcPr>
            <w:tcW w:w="1190" w:type="dxa"/>
            <w:vMerge w:val="restart"/>
            <w:tcBorders>
              <w:top w:val="single" w:sz="4" w:space="0" w:color="000000"/>
              <w:left w:val="single" w:sz="4" w:space="0" w:color="000000"/>
              <w:right w:val="single" w:sz="4" w:space="0" w:color="000000"/>
            </w:tcBorders>
            <w:shd w:val="clear" w:color="auto" w:fill="D2D2D2"/>
          </w:tcPr>
          <w:p>
            <w:pPr/>
          </w:p>
        </w:tc>
        <w:tc>
          <w:tcPr>
            <w:tcW w:w="83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252" w:hRule="exact"/>
        </w:trPr>
        <w:tc>
          <w:tcPr>
            <w:tcW w:w="1190" w:type="dxa"/>
            <w:vMerge/>
            <w:tcBorders>
              <w:left w:val="single" w:sz="4" w:space="0" w:color="000000"/>
              <w:right w:val="single" w:sz="4" w:space="0" w:color="000000"/>
            </w:tcBorders>
            <w:shd w:val="clear" w:color="auto" w:fill="D2D2D2"/>
          </w:tcPr>
          <w:p>
            <w:pPr/>
          </w:p>
        </w:tc>
        <w:tc>
          <w:tcPr>
            <w:tcW w:w="7076"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41" w:type="dxa"/>
            <w:vMerge w:val="restart"/>
            <w:tcBorders>
              <w:top w:val="single" w:sz="4" w:space="0" w:color="000000"/>
              <w:left w:val="single" w:sz="4" w:space="0" w:color="000000"/>
              <w:right w:val="single" w:sz="4" w:space="0" w:color="000000"/>
            </w:tcBorders>
            <w:shd w:val="clear" w:color="auto" w:fill="D2D2D2"/>
          </w:tcPr>
          <w:p>
            <w:pPr/>
          </w:p>
        </w:tc>
        <w:tc>
          <w:tcPr>
            <w:tcW w:w="65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190" w:type="dxa"/>
            <w:vMerge/>
            <w:tcBorders>
              <w:left w:val="single" w:sz="4" w:space="0" w:color="000000"/>
              <w:bottom w:val="nil" w:sz="6" w:space="0" w:color="auto"/>
              <w:right w:val="single" w:sz="4" w:space="0" w:color="000000"/>
            </w:tcBorders>
            <w:shd w:val="clear" w:color="auto" w:fill="D2D2D2"/>
          </w:tcPr>
          <w:p>
            <w:pPr/>
          </w:p>
        </w:tc>
        <w:tc>
          <w:tcPr>
            <w:tcW w:w="7076" w:type="dxa"/>
            <w:gridSpan w:val="13"/>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48"/>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1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00" w:type="dxa"/>
            <w:vMerge w:val="restart"/>
            <w:tcBorders>
              <w:top w:val="single" w:sz="4" w:space="0" w:color="000000"/>
              <w:left w:val="single" w:sz="4" w:space="0" w:color="000000"/>
              <w:right w:val="single" w:sz="4" w:space="0" w:color="000000"/>
            </w:tcBorders>
            <w:shd w:val="clear" w:color="auto" w:fill="D2D2D2"/>
          </w:tcPr>
          <w:p>
            <w:pPr/>
          </w:p>
        </w:tc>
        <w:tc>
          <w:tcPr>
            <w:tcW w:w="139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3"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3"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10" w:right="107"/>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66" w:type="dxa"/>
            <w:vMerge w:val="restart"/>
            <w:tcBorders>
              <w:top w:val="single" w:sz="4" w:space="0" w:color="000000"/>
              <w:left w:val="single" w:sz="4" w:space="0" w:color="000000"/>
              <w:right w:val="single" w:sz="4" w:space="0" w:color="000000"/>
            </w:tcBorders>
            <w:shd w:val="clear" w:color="auto" w:fill="D2D2D2"/>
          </w:tcPr>
          <w:p>
            <w:pPr/>
          </w:p>
        </w:tc>
        <w:tc>
          <w:tcPr>
            <w:tcW w:w="569" w:type="dxa"/>
            <w:vMerge w:val="restart"/>
            <w:tcBorders>
              <w:top w:val="single" w:sz="4" w:space="0" w:color="000000"/>
              <w:left w:val="single" w:sz="4" w:space="0" w:color="000000"/>
              <w:right w:val="single" w:sz="4" w:space="0" w:color="000000"/>
            </w:tcBorders>
            <w:shd w:val="clear" w:color="auto" w:fill="D2D2D2"/>
          </w:tcPr>
          <w:p>
            <w:pPr/>
          </w:p>
        </w:tc>
        <w:tc>
          <w:tcPr>
            <w:tcW w:w="641"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3"/>
              <w:ind w:left="48" w:right="41"/>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3" w:type="dxa"/>
            <w:vMerge/>
            <w:tcBorders>
              <w:left w:val="single" w:sz="4" w:space="0" w:color="000000"/>
              <w:right w:val="single" w:sz="4" w:space="0" w:color="000000"/>
            </w:tcBorders>
            <w:shd w:val="clear" w:color="auto" w:fill="D2D2D2"/>
          </w:tcPr>
          <w:p>
            <w:pPr/>
          </w:p>
        </w:tc>
      </w:tr>
      <w:tr>
        <w:trPr>
          <w:trHeight w:val="164" w:hRule="exact"/>
        </w:trPr>
        <w:tc>
          <w:tcPr>
            <w:tcW w:w="1190" w:type="dxa"/>
            <w:vMerge/>
            <w:tcBorders>
              <w:left w:val="single" w:sz="4" w:space="0" w:color="000000"/>
              <w:bottom w:val="nil" w:sz="6" w:space="0" w:color="auto"/>
              <w:right w:val="single" w:sz="4" w:space="0" w:color="000000"/>
            </w:tcBorders>
            <w:shd w:val="clear" w:color="auto" w:fill="D2D2D2"/>
          </w:tcPr>
          <w:p>
            <w:pPr/>
          </w:p>
        </w:tc>
        <w:tc>
          <w:tcPr>
            <w:tcW w:w="500" w:type="dxa"/>
            <w:vMerge/>
            <w:tcBorders>
              <w:left w:val="single" w:sz="4" w:space="0" w:color="000000"/>
              <w:bottom w:val="nil" w:sz="6" w:space="0" w:color="auto"/>
              <w:right w:val="single" w:sz="4" w:space="0" w:color="000000"/>
            </w:tcBorders>
            <w:shd w:val="clear" w:color="auto" w:fill="D2D2D2"/>
          </w:tcPr>
          <w:p>
            <w:pPr/>
          </w:p>
        </w:tc>
        <w:tc>
          <w:tcPr>
            <w:tcW w:w="1390" w:type="dxa"/>
            <w:gridSpan w:val="3"/>
            <w:vMerge/>
            <w:tcBorders>
              <w:left w:val="single" w:sz="4" w:space="0" w:color="000000"/>
              <w:bottom w:val="single" w:sz="4" w:space="0" w:color="000000"/>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03" w:right="19" w:hanging="80"/>
              <w:jc w:val="left"/>
              <w:rPr>
                <w:rFonts w:ascii="宋体" w:hAnsi="宋体" w:cs="宋体" w:eastAsia="宋体" w:hint="default"/>
                <w:sz w:val="18"/>
                <w:szCs w:val="18"/>
              </w:rPr>
            </w:pPr>
            <w:r>
              <w:rPr>
                <w:rFonts w:ascii="宋体" w:hAnsi="宋体" w:cs="宋体" w:eastAsia="宋体" w:hint="default"/>
                <w:spacing w:val="-7"/>
                <w:sz w:val="18"/>
                <w:szCs w:val="18"/>
              </w:rPr>
              <w:t>减：库</w:t>
            </w:r>
            <w:r>
              <w:rPr>
                <w:rFonts w:ascii="宋体" w:hAnsi="宋体" w:cs="宋体" w:eastAsia="宋体" w:hint="default"/>
                <w:sz w:val="18"/>
                <w:szCs w:val="18"/>
              </w:rPr>
              <w:t> 存股</w:t>
            </w:r>
          </w:p>
        </w:tc>
        <w:tc>
          <w:tcPr>
            <w:tcW w:w="578" w:type="dxa"/>
            <w:vMerge/>
            <w:tcBorders>
              <w:left w:val="single" w:sz="4" w:space="0" w:color="000000"/>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91" w:hRule="exact"/>
        </w:trPr>
        <w:tc>
          <w:tcPr>
            <w:tcW w:w="1190" w:type="dxa"/>
            <w:vMerge w:val="restart"/>
            <w:tcBorders>
              <w:top w:val="nil" w:sz="6" w:space="0" w:color="auto"/>
              <w:left w:val="single" w:sz="4" w:space="0" w:color="000000"/>
              <w:right w:val="single" w:sz="4" w:space="0" w:color="000000"/>
            </w:tcBorders>
            <w:shd w:val="clear" w:color="auto" w:fill="D2D2D2"/>
          </w:tcPr>
          <w:p>
            <w:pPr/>
          </w:p>
        </w:tc>
        <w:tc>
          <w:tcPr>
            <w:tcW w:w="5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1"/>
              <w:ind w:left="7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4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9"/>
              <w:ind w:left="129" w:right="36"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4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9"/>
              <w:ind w:left="129" w:right="36"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493"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1"/>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1"/>
              <w:ind w:left="9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92" w:hRule="exact"/>
        </w:trPr>
        <w:tc>
          <w:tcPr>
            <w:tcW w:w="1190" w:type="dxa"/>
            <w:vMerge/>
            <w:tcBorders>
              <w:left w:val="single" w:sz="4" w:space="0" w:color="000000"/>
              <w:right w:val="single" w:sz="4" w:space="0" w:color="000000"/>
            </w:tcBorders>
            <w:shd w:val="clear" w:color="auto" w:fill="D2D2D2"/>
          </w:tcPr>
          <w:p>
            <w:pPr/>
          </w:p>
        </w:tc>
        <w:tc>
          <w:tcPr>
            <w:tcW w:w="500" w:type="dxa"/>
            <w:vMerge/>
            <w:tcBorders>
              <w:left w:val="single" w:sz="4" w:space="0" w:color="000000"/>
              <w:bottom w:val="nil" w:sz="6" w:space="0" w:color="auto"/>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641" w:type="dxa"/>
            <w:vMerge/>
            <w:tcBorders>
              <w:left w:val="single" w:sz="4" w:space="0" w:color="000000"/>
              <w:bottom w:val="nil" w:sz="6" w:space="0" w:color="auto"/>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33" w:hRule="exact"/>
        </w:trPr>
        <w:tc>
          <w:tcPr>
            <w:tcW w:w="1190" w:type="dxa"/>
            <w:vMerge/>
            <w:tcBorders>
              <w:left w:val="single" w:sz="4" w:space="0" w:color="000000"/>
              <w:right w:val="single" w:sz="4" w:space="0" w:color="000000"/>
            </w:tcBorders>
            <w:shd w:val="clear" w:color="auto" w:fill="D2D2D2"/>
          </w:tcPr>
          <w:p>
            <w:pPr/>
          </w:p>
        </w:tc>
        <w:tc>
          <w:tcPr>
            <w:tcW w:w="500" w:type="dxa"/>
            <w:vMerge w:val="restart"/>
            <w:tcBorders>
              <w:top w:val="nil" w:sz="6" w:space="0" w:color="auto"/>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93"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
        </w:tc>
        <w:tc>
          <w:tcPr>
            <w:tcW w:w="569" w:type="dxa"/>
            <w:vMerge w:val="restart"/>
            <w:tcBorders>
              <w:top w:val="nil" w:sz="6" w:space="0" w:color="auto"/>
              <w:left w:val="single" w:sz="4" w:space="0" w:color="000000"/>
              <w:right w:val="single" w:sz="4" w:space="0" w:color="000000"/>
            </w:tcBorders>
            <w:shd w:val="clear" w:color="auto" w:fill="D2D2D2"/>
          </w:tcPr>
          <w:p>
            <w:pPr/>
          </w:p>
        </w:tc>
        <w:tc>
          <w:tcPr>
            <w:tcW w:w="641" w:type="dxa"/>
            <w:vMerge w:val="restart"/>
            <w:tcBorders>
              <w:top w:val="nil" w:sz="6" w:space="0" w:color="auto"/>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r>
      <w:tr>
        <w:trPr>
          <w:trHeight w:val="218" w:hRule="exact"/>
        </w:trPr>
        <w:tc>
          <w:tcPr>
            <w:tcW w:w="1190" w:type="dxa"/>
            <w:vMerge/>
            <w:tcBorders>
              <w:left w:val="single" w:sz="4" w:space="0" w:color="000000"/>
              <w:bottom w:val="single" w:sz="4" w:space="0" w:color="000000"/>
              <w:right w:val="single" w:sz="4" w:space="0" w:color="000000"/>
            </w:tcBorders>
            <w:shd w:val="clear" w:color="auto" w:fill="D2D2D2"/>
          </w:tcPr>
          <w:p>
            <w:pPr/>
          </w:p>
        </w:tc>
        <w:tc>
          <w:tcPr>
            <w:tcW w:w="500" w:type="dxa"/>
            <w:vMerge/>
            <w:tcBorders>
              <w:left w:val="single" w:sz="4" w:space="0" w:color="000000"/>
              <w:bottom w:val="single" w:sz="4" w:space="0" w:color="000000"/>
              <w:right w:val="single" w:sz="4" w:space="0" w:color="000000"/>
            </w:tcBorders>
            <w:shd w:val="clear" w:color="auto" w:fill="D2D2D2"/>
          </w:tcPr>
          <w:p>
            <w:pPr/>
          </w:p>
        </w:tc>
        <w:tc>
          <w:tcPr>
            <w:tcW w:w="449" w:type="dxa"/>
            <w:vMerge/>
            <w:tcBorders>
              <w:left w:val="single" w:sz="4" w:space="0" w:color="000000"/>
              <w:bottom w:val="single" w:sz="4" w:space="0" w:color="000000"/>
              <w:right w:val="single" w:sz="4" w:space="0" w:color="000000"/>
            </w:tcBorders>
            <w:shd w:val="clear" w:color="auto" w:fill="D2D2D2"/>
          </w:tcPr>
          <w:p>
            <w:pPr/>
          </w:p>
        </w:tc>
        <w:tc>
          <w:tcPr>
            <w:tcW w:w="449" w:type="dxa"/>
            <w:vMerge/>
            <w:tcBorders>
              <w:left w:val="single" w:sz="4" w:space="0" w:color="000000"/>
              <w:bottom w:val="single" w:sz="4" w:space="0" w:color="000000"/>
              <w:right w:val="single" w:sz="4" w:space="0" w:color="000000"/>
            </w:tcBorders>
            <w:shd w:val="clear" w:color="auto" w:fill="D2D2D2"/>
          </w:tcPr>
          <w:p>
            <w:pPr/>
          </w:p>
        </w:tc>
        <w:tc>
          <w:tcPr>
            <w:tcW w:w="493"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88"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c>
          <w:tcPr>
            <w:tcW w:w="65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500" w:type="dxa"/>
            <w:vMerge w:val="restart"/>
            <w:tcBorders>
              <w:top w:val="single" w:sz="4" w:space="0" w:color="000000"/>
              <w:left w:val="single" w:sz="9" w:space="0" w:color="D2D2D2"/>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192,0</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0.00</w:t>
            </w: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131,62</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6,048.</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15</w:t>
            </w: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22" w:space="0" w:color="D2D2D2"/>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96,631</w:t>
            </w:r>
          </w:p>
          <w:p>
            <w:pPr>
              <w:pStyle w:val="TableParagraph"/>
              <w:spacing w:line="240" w:lineRule="auto" w:before="103"/>
              <w:ind w:left="319" w:right="0"/>
              <w:jc w:val="left"/>
              <w:rPr>
                <w:rFonts w:ascii="Times New Roman" w:hAnsi="Times New Roman" w:cs="Times New Roman" w:eastAsia="Times New Roman" w:hint="default"/>
                <w:sz w:val="18"/>
                <w:szCs w:val="18"/>
              </w:rPr>
            </w:pPr>
            <w:r>
              <w:rPr>
                <w:rFonts w:ascii="Times New Roman"/>
                <w:sz w:val="18"/>
              </w:rPr>
              <w:t>.29</w:t>
            </w: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32,351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,696.8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78" w:type="dxa"/>
            <w:vMerge w:val="restart"/>
            <w:tcBorders>
              <w:top w:val="single" w:sz="22" w:space="0" w:color="D2D2D2"/>
              <w:left w:val="single" w:sz="4" w:space="0" w:color="000000"/>
              <w:right w:val="single" w:sz="4" w:space="0" w:color="000000"/>
            </w:tcBorders>
          </w:tcPr>
          <w:p>
            <w:pPr/>
          </w:p>
        </w:tc>
        <w:tc>
          <w:tcPr>
            <w:tcW w:w="588" w:type="dxa"/>
            <w:vMerge w:val="restart"/>
            <w:tcBorders>
              <w:top w:val="single" w:sz="22" w:space="0" w:color="D2D2D2"/>
              <w:left w:val="single" w:sz="4" w:space="0" w:color="000000"/>
              <w:right w:val="single" w:sz="4" w:space="0" w:color="000000"/>
            </w:tcBorders>
          </w:tcPr>
          <w:p>
            <w:pPr>
              <w:pStyle w:val="TableParagraph"/>
              <w:spacing w:line="240" w:lineRule="auto" w:before="68"/>
              <w:ind w:left="62" w:right="0"/>
              <w:jc w:val="left"/>
              <w:rPr>
                <w:rFonts w:ascii="Times New Roman" w:hAnsi="Times New Roman" w:cs="Times New Roman" w:eastAsia="Times New Roman" w:hint="default"/>
                <w:sz w:val="18"/>
                <w:szCs w:val="18"/>
              </w:rPr>
            </w:pPr>
            <w:r>
              <w:rPr>
                <w:rFonts w:ascii="Times New Roman"/>
                <w:sz w:val="18"/>
              </w:rPr>
              <w:t>184,88</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2,790.</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78</w:t>
            </w:r>
          </w:p>
        </w:tc>
        <w:tc>
          <w:tcPr>
            <w:tcW w:w="566"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540,95</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7,167.</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c>
          <w:tcPr>
            <w:tcW w:w="641" w:type="dxa"/>
            <w:vMerge w:val="restart"/>
            <w:tcBorders>
              <w:top w:val="single" w:sz="4" w:space="0" w:color="000000"/>
              <w:left w:val="single" w:sz="4" w:space="0" w:color="000000"/>
              <w:right w:val="single" w:sz="4" w:space="0" w:color="000000"/>
            </w:tcBorders>
          </w:tcPr>
          <w:p>
            <w:pP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540,957</w:t>
            </w:r>
          </w:p>
          <w:p>
            <w:pPr>
              <w:pStyle w:val="TableParagraph"/>
              <w:spacing w:line="240" w:lineRule="auto" w:before="103"/>
              <w:ind w:left="88" w:right="0"/>
              <w:jc w:val="left"/>
              <w:rPr>
                <w:rFonts w:ascii="Times New Roman" w:hAnsi="Times New Roman" w:cs="Times New Roman" w:eastAsia="Times New Roman" w:hint="default"/>
                <w:sz w:val="18"/>
                <w:szCs w:val="18"/>
              </w:rPr>
            </w:pPr>
            <w:r>
              <w:rPr>
                <w:rFonts w:ascii="Times New Roman"/>
                <w:sz w:val="18"/>
              </w:rPr>
              <w:t>,167.11</w:t>
            </w:r>
          </w:p>
        </w:tc>
      </w:tr>
      <w:tr>
        <w:trPr>
          <w:trHeight w:val="704" w:hRule="exact"/>
        </w:trPr>
        <w:tc>
          <w:tcPr>
            <w:tcW w:w="1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87"/>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500" w:type="dxa"/>
            <w:vMerge/>
            <w:tcBorders>
              <w:left w:val="single" w:sz="9" w:space="0" w:color="D2D2D2"/>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3"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161" w:hRule="exact"/>
        </w:trPr>
        <w:tc>
          <w:tcPr>
            <w:tcW w:w="1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500" w:type="dxa"/>
            <w:vMerge/>
            <w:tcBorders>
              <w:left w:val="single" w:sz="9" w:space="0" w:color="D2D2D2"/>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715"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5" w:firstLine="360"/>
              <w:jc w:val="left"/>
              <w:rPr>
                <w:rFonts w:ascii="宋体" w:hAnsi="宋体" w:cs="宋体" w:eastAsia="宋体" w:hint="default"/>
                <w:sz w:val="18"/>
                <w:szCs w:val="18"/>
              </w:rPr>
            </w:pPr>
            <w:r>
              <w:rPr>
                <w:rFonts w:ascii="宋体" w:hAnsi="宋体" w:cs="宋体" w:eastAsia="宋体" w:hint="default"/>
                <w:sz w:val="18"/>
                <w:szCs w:val="18"/>
              </w:rPr>
              <w:t>加：会计 政策变更</w:t>
            </w:r>
          </w:p>
        </w:tc>
        <w:tc>
          <w:tcPr>
            <w:tcW w:w="50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0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5"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50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0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500" w:type="dxa"/>
            <w:vMerge w:val="restart"/>
            <w:tcBorders>
              <w:top w:val="single" w:sz="4" w:space="0" w:color="000000"/>
              <w:left w:val="single" w:sz="9" w:space="0" w:color="D2D2D2"/>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192,0</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0.00</w:t>
            </w: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131,62</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6,048.</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15</w:t>
            </w: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96,631</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.29</w:t>
            </w: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32,351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,696.8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78" w:type="dxa"/>
            <w:vMerge w:val="restart"/>
            <w:tcBorders>
              <w:top w:val="single" w:sz="4" w:space="0" w:color="000000"/>
              <w:left w:val="single" w:sz="4" w:space="0" w:color="000000"/>
              <w:right w:val="single" w:sz="4" w:space="0" w:color="000000"/>
            </w:tcBorders>
          </w:tcPr>
          <w:p>
            <w:pPr/>
          </w:p>
        </w:tc>
        <w:tc>
          <w:tcPr>
            <w:tcW w:w="588"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184,88</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2,790.</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78</w:t>
            </w:r>
          </w:p>
        </w:tc>
        <w:tc>
          <w:tcPr>
            <w:tcW w:w="566"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540,95</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7,167.</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c>
          <w:tcPr>
            <w:tcW w:w="641" w:type="dxa"/>
            <w:vMerge w:val="restart"/>
            <w:tcBorders>
              <w:top w:val="single" w:sz="4" w:space="0" w:color="000000"/>
              <w:left w:val="single" w:sz="4" w:space="0" w:color="000000"/>
              <w:right w:val="single" w:sz="4" w:space="0" w:color="000000"/>
            </w:tcBorders>
          </w:tcPr>
          <w:p>
            <w:pP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540,957</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,167.11</w:t>
            </w:r>
          </w:p>
        </w:tc>
      </w:tr>
      <w:tr>
        <w:trPr>
          <w:trHeight w:val="706" w:hRule="exact"/>
        </w:trPr>
        <w:tc>
          <w:tcPr>
            <w:tcW w:w="1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49"/>
              <w:ind w:left="12" w:right="87"/>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500" w:type="dxa"/>
            <w:vMerge/>
            <w:tcBorders>
              <w:left w:val="single" w:sz="9" w:space="0" w:color="D2D2D2"/>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3"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161" w:hRule="exact"/>
        </w:trPr>
        <w:tc>
          <w:tcPr>
            <w:tcW w:w="1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500" w:type="dxa"/>
            <w:vMerge/>
            <w:tcBorders>
              <w:left w:val="single" w:sz="9" w:space="0" w:color="D2D2D2"/>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1337"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12" w:right="87"/>
              <w:jc w:val="both"/>
              <w:rPr>
                <w:rFonts w:ascii="宋体" w:hAnsi="宋体" w:cs="宋体" w:eastAsia="宋体" w:hint="default"/>
                <w:sz w:val="18"/>
                <w:szCs w:val="18"/>
              </w:rPr>
            </w:pPr>
            <w:r>
              <w:rPr>
                <w:rFonts w:ascii="宋体" w:hAnsi="宋体" w:cs="宋体" w:eastAsia="宋体" w:hint="default"/>
                <w:sz w:val="18"/>
                <w:szCs w:val="18"/>
              </w:rPr>
              <w:t>三、本期增减 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50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608,02</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7.28</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2,502,</w:t>
            </w:r>
          </w:p>
          <w:p>
            <w:pPr>
              <w:pStyle w:val="TableParagraph"/>
              <w:spacing w:line="240" w:lineRule="auto" w:before="102"/>
              <w:ind w:left="50" w:right="0"/>
              <w:jc w:val="left"/>
              <w:rPr>
                <w:rFonts w:ascii="Times New Roman" w:hAnsi="Times New Roman" w:cs="Times New Roman" w:eastAsia="Times New Roman" w:hint="default"/>
                <w:sz w:val="18"/>
                <w:szCs w:val="18"/>
              </w:rPr>
            </w:pPr>
            <w:r>
              <w:rPr>
                <w:rFonts w:ascii="Times New Roman"/>
                <w:sz w:val="18"/>
              </w:rPr>
              <w:t>168.84</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22,557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,578.4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25,667</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,774.6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25,667,</w:t>
            </w:r>
          </w:p>
          <w:p>
            <w:pPr>
              <w:pStyle w:val="TableParagraph"/>
              <w:spacing w:line="240" w:lineRule="auto" w:before="102"/>
              <w:ind w:left="127" w:right="0"/>
              <w:jc w:val="left"/>
              <w:rPr>
                <w:rFonts w:ascii="Times New Roman" w:hAnsi="Times New Roman" w:cs="Times New Roman" w:eastAsia="Times New Roman" w:hint="default"/>
                <w:sz w:val="18"/>
                <w:szCs w:val="18"/>
              </w:rPr>
            </w:pPr>
            <w:r>
              <w:rPr>
                <w:rFonts w:ascii="Times New Roman"/>
                <w:sz w:val="18"/>
              </w:rPr>
              <w:t>774.60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3"/>
        <w:gridCol w:w="576"/>
        <w:gridCol w:w="576"/>
        <w:gridCol w:w="578"/>
        <w:gridCol w:w="576"/>
        <w:gridCol w:w="576"/>
        <w:gridCol w:w="578"/>
        <w:gridCol w:w="588"/>
        <w:gridCol w:w="566"/>
        <w:gridCol w:w="569"/>
        <w:gridCol w:w="641"/>
        <w:gridCol w:w="653"/>
      </w:tblGrid>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2" w:right="96"/>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608,02</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7.28</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34,659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,747.3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35,267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,774.6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35,267,</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774.60</w:t>
            </w: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z w:val="18"/>
                <w:szCs w:val="18"/>
              </w:rPr>
              <w:t> 的普通股</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z w:val="18"/>
                <w:szCs w:val="18"/>
              </w:rPr>
              <w:t> 具持有者投入 资本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z w:val="18"/>
                <w:szCs w:val="18"/>
              </w:rPr>
              <w:t> 入所有者权益 的金额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2,502,</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168.84</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-12,10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2,168.</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84</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-9,600,</w:t>
            </w:r>
          </w:p>
          <w:p>
            <w:pPr>
              <w:pStyle w:val="TableParagraph"/>
              <w:spacing w:line="240" w:lineRule="auto" w:before="105"/>
              <w:ind w:left="41" w:right="0"/>
              <w:jc w:val="left"/>
              <w:rPr>
                <w:rFonts w:ascii="Times New Roman" w:hAnsi="Times New Roman" w:cs="Times New Roman" w:eastAsia="Times New Roman" w:hint="default"/>
                <w:sz w:val="18"/>
                <w:szCs w:val="18"/>
              </w:rPr>
            </w:pPr>
            <w:r>
              <w:rPr>
                <w:rFonts w:ascii="Times New Roman"/>
                <w:sz w:val="18"/>
              </w:rPr>
              <w:t>000.00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-9,600,</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000.00</w:t>
            </w: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z w:val="18"/>
                <w:szCs w:val="18"/>
              </w:rPr>
              <w:t> 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2,502,</w:t>
            </w:r>
          </w:p>
          <w:p>
            <w:pPr>
              <w:pStyle w:val="TableParagraph"/>
              <w:spacing w:line="240" w:lineRule="auto" w:before="102"/>
              <w:ind w:left="50" w:right="0"/>
              <w:jc w:val="left"/>
              <w:rPr>
                <w:rFonts w:ascii="Times New Roman" w:hAnsi="Times New Roman" w:cs="Times New Roman" w:eastAsia="Times New Roman" w:hint="default"/>
                <w:sz w:val="18"/>
                <w:szCs w:val="18"/>
              </w:rPr>
            </w:pPr>
            <w:r>
              <w:rPr>
                <w:rFonts w:ascii="Times New Roman"/>
                <w:sz w:val="18"/>
              </w:rPr>
              <w:t>168.84</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 w:right="0"/>
              <w:jc w:val="left"/>
              <w:rPr>
                <w:rFonts w:ascii="Times New Roman" w:hAnsi="Times New Roman" w:cs="Times New Roman" w:eastAsia="Times New Roman" w:hint="default"/>
                <w:sz w:val="18"/>
                <w:szCs w:val="18"/>
              </w:rPr>
            </w:pPr>
            <w:r>
              <w:rPr>
                <w:rFonts w:ascii="Times New Roman"/>
                <w:sz w:val="18"/>
              </w:rPr>
              <w:t>-2,502,</w:t>
            </w:r>
          </w:p>
          <w:p>
            <w:pPr>
              <w:pStyle w:val="TableParagraph"/>
              <w:spacing w:line="240" w:lineRule="auto" w:before="102"/>
              <w:ind w:left="62" w:right="0"/>
              <w:jc w:val="left"/>
              <w:rPr>
                <w:rFonts w:ascii="Times New Roman" w:hAnsi="Times New Roman" w:cs="Times New Roman" w:eastAsia="Times New Roman" w:hint="default"/>
                <w:sz w:val="18"/>
                <w:szCs w:val="18"/>
              </w:rPr>
            </w:pPr>
            <w:r>
              <w:rPr>
                <w:rFonts w:ascii="Times New Roman"/>
                <w:sz w:val="18"/>
              </w:rPr>
              <w:t>168.84</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w:t>
            </w:r>
            <w:r>
              <w:rPr>
                <w:rFonts w:ascii="宋体" w:hAnsi="宋体" w:cs="宋体" w:eastAsia="宋体" w:hint="default"/>
                <w:sz w:val="18"/>
                <w:szCs w:val="18"/>
              </w:rPr>
              <w:t> 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16" w:lineRule="auto" w:before="61"/>
              <w:ind w:left="22" w:right="96"/>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-9,600,</w:t>
            </w:r>
          </w:p>
          <w:p>
            <w:pPr>
              <w:pStyle w:val="TableParagraph"/>
              <w:spacing w:line="240" w:lineRule="auto" w:before="102"/>
              <w:ind w:left="62" w:right="0"/>
              <w:jc w:val="left"/>
              <w:rPr>
                <w:rFonts w:ascii="Times New Roman" w:hAnsi="Times New Roman" w:cs="Times New Roman" w:eastAsia="Times New Roman" w:hint="default"/>
                <w:sz w:val="18"/>
                <w:szCs w:val="18"/>
              </w:rPr>
            </w:pPr>
            <w:r>
              <w:rPr>
                <w:rFonts w:ascii="Times New Roman"/>
                <w:sz w:val="18"/>
              </w:rPr>
              <w:t>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-9,600,</w:t>
            </w:r>
          </w:p>
          <w:p>
            <w:pPr>
              <w:pStyle w:val="TableParagraph"/>
              <w:spacing w:line="240" w:lineRule="auto" w:before="102"/>
              <w:ind w:left="41" w:right="0"/>
              <w:jc w:val="left"/>
              <w:rPr>
                <w:rFonts w:ascii="Times New Roman" w:hAnsi="Times New Roman" w:cs="Times New Roman" w:eastAsia="Times New Roman" w:hint="default"/>
                <w:sz w:val="18"/>
                <w:szCs w:val="18"/>
              </w:rPr>
            </w:pPr>
            <w:r>
              <w:rPr>
                <w:rFonts w:ascii="Times New Roman"/>
                <w:sz w:val="18"/>
              </w:rPr>
              <w:t>000.00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-9,600,</w:t>
            </w:r>
          </w:p>
          <w:p>
            <w:pPr>
              <w:pStyle w:val="TableParagraph"/>
              <w:spacing w:line="240" w:lineRule="auto" w:before="102"/>
              <w:ind w:left="127" w:right="0"/>
              <w:jc w:val="left"/>
              <w:rPr>
                <w:rFonts w:ascii="Times New Roman" w:hAnsi="Times New Roman" w:cs="Times New Roman" w:eastAsia="Times New Roman" w:hint="default"/>
                <w:sz w:val="18"/>
                <w:szCs w:val="18"/>
              </w:rPr>
            </w:pPr>
            <w:r>
              <w:rPr>
                <w:rFonts w:ascii="Times New Roman"/>
                <w:sz w:val="18"/>
              </w:rPr>
              <w:t>000.00</w:t>
            </w: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z w:val="18"/>
                <w:szCs w:val="18"/>
              </w:rPr>
              <w:t> 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z w:val="18"/>
                <w:szCs w:val="18"/>
              </w:rPr>
              <w:t> 划变动额结转 留存收益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3"/>
        <w:gridCol w:w="576"/>
        <w:gridCol w:w="576"/>
        <w:gridCol w:w="578"/>
        <w:gridCol w:w="576"/>
        <w:gridCol w:w="576"/>
        <w:gridCol w:w="578"/>
        <w:gridCol w:w="588"/>
        <w:gridCol w:w="566"/>
        <w:gridCol w:w="569"/>
        <w:gridCol w:w="641"/>
        <w:gridCol w:w="653"/>
      </w:tblGrid>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z w:val="18"/>
                <w:szCs w:val="18"/>
              </w:rPr>
              <w:t> 益结转留存收 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192,0</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0.00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131,62</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6,048.</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15</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704,65</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8.57</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34,853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,865.7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207,44</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0,369.</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26</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566,62</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4,941.</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71</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566,624</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,941.71</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本期金额</w:t>
      </w:r>
    </w:p>
    <w:p>
      <w:pPr>
        <w:pStyle w:val="BodyText"/>
        <w:spacing w:line="240" w:lineRule="auto" w:before="117"/>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83"/>
        <w:gridCol w:w="640"/>
        <w:gridCol w:w="605"/>
        <w:gridCol w:w="603"/>
        <w:gridCol w:w="605"/>
        <w:gridCol w:w="727"/>
        <w:gridCol w:w="727"/>
        <w:gridCol w:w="725"/>
        <w:gridCol w:w="727"/>
        <w:gridCol w:w="727"/>
        <w:gridCol w:w="615"/>
        <w:gridCol w:w="710"/>
        <w:gridCol w:w="862"/>
      </w:tblGrid>
      <w:tr>
        <w:trPr>
          <w:trHeight w:val="401" w:hRule="exact"/>
        </w:trPr>
        <w:tc>
          <w:tcPr>
            <w:tcW w:w="128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206" w:hRule="exact"/>
        </w:trPr>
        <w:tc>
          <w:tcPr>
            <w:tcW w:w="12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8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8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19" w:hanging="245"/>
              <w:jc w:val="left"/>
              <w:rPr>
                <w:rFonts w:ascii="宋体" w:hAnsi="宋体" w:cs="宋体" w:eastAsia="宋体" w:hint="default"/>
                <w:sz w:val="18"/>
                <w:szCs w:val="18"/>
              </w:rPr>
            </w:pPr>
            <w:r>
              <w:rPr>
                <w:rFonts w:ascii="宋体" w:hAnsi="宋体" w:cs="宋体" w:eastAsia="宋体" w:hint="default"/>
                <w:spacing w:val="-13"/>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89" w:right="84"/>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8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8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22" w:right="29"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8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55" w:right="6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283" w:type="dxa"/>
            <w:vMerge/>
            <w:tcBorders>
              <w:left w:val="single" w:sz="4" w:space="0" w:color="000000"/>
              <w:bottom w:val="nil" w:sz="6" w:space="0" w:color="auto"/>
              <w:right w:val="single" w:sz="4" w:space="0" w:color="000000"/>
            </w:tcBorders>
            <w:shd w:val="clear" w:color="auto" w:fill="D2D2D2"/>
          </w:tcPr>
          <w:p>
            <w:pPr/>
          </w:p>
        </w:tc>
        <w:tc>
          <w:tcPr>
            <w:tcW w:w="6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3" w:type="dxa"/>
            <w:gridSpan w:val="3"/>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615" w:type="dxa"/>
            <w:vMerge/>
            <w:tcBorders>
              <w:left w:val="single" w:sz="4" w:space="0" w:color="000000"/>
              <w:right w:val="single" w:sz="4" w:space="0" w:color="000000"/>
            </w:tcBorders>
            <w:shd w:val="clear" w:color="auto" w:fill="D2D2D2"/>
          </w:tcPr>
          <w:p>
            <w:pP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2" w:type="dxa"/>
            <w:vMerge/>
            <w:tcBorders>
              <w:left w:val="single" w:sz="4" w:space="0" w:color="000000"/>
              <w:right w:val="single" w:sz="4" w:space="0" w:color="000000"/>
            </w:tcBorders>
            <w:shd w:val="clear" w:color="auto" w:fill="D2D2D2"/>
          </w:tcPr>
          <w:p>
            <w:pPr/>
          </w:p>
        </w:tc>
      </w:tr>
      <w:tr>
        <w:trPr>
          <w:trHeight w:val="199" w:hRule="exact"/>
        </w:trPr>
        <w:tc>
          <w:tcPr>
            <w:tcW w:w="1283" w:type="dxa"/>
            <w:vMerge w:val="restart"/>
            <w:tcBorders>
              <w:top w:val="nil" w:sz="6" w:space="0" w:color="auto"/>
              <w:left w:val="single" w:sz="4" w:space="0" w:color="000000"/>
              <w:right w:val="single" w:sz="4" w:space="0" w:color="000000"/>
            </w:tcBorders>
            <w:shd w:val="clear" w:color="auto" w:fill="D2D2D2"/>
          </w:tcPr>
          <w:p>
            <w:pPr/>
          </w:p>
        </w:tc>
        <w:tc>
          <w:tcPr>
            <w:tcW w:w="640" w:type="dxa"/>
            <w:vMerge/>
            <w:tcBorders>
              <w:left w:val="single" w:sz="4" w:space="0" w:color="000000"/>
              <w:bottom w:val="nil" w:sz="6" w:space="0" w:color="auto"/>
              <w:right w:val="single" w:sz="4" w:space="0" w:color="000000"/>
            </w:tcBorders>
            <w:shd w:val="clear" w:color="auto" w:fill="D2D2D2"/>
          </w:tcPr>
          <w:p>
            <w:pP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615" w:type="dxa"/>
            <w:vMerge/>
            <w:tcBorders>
              <w:left w:val="single" w:sz="4" w:space="0" w:color="000000"/>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r>
      <w:tr>
        <w:trPr>
          <w:trHeight w:val="184" w:hRule="exact"/>
        </w:trPr>
        <w:tc>
          <w:tcPr>
            <w:tcW w:w="1283" w:type="dxa"/>
            <w:vMerge/>
            <w:tcBorders>
              <w:left w:val="single" w:sz="4" w:space="0" w:color="000000"/>
              <w:bottom w:val="single" w:sz="4" w:space="0" w:color="000000"/>
              <w:right w:val="single" w:sz="4" w:space="0" w:color="000000"/>
            </w:tcBorders>
            <w:shd w:val="clear" w:color="auto" w:fill="D2D2D2"/>
          </w:tcPr>
          <w:p>
            <w:pPr/>
          </w:p>
        </w:tc>
        <w:tc>
          <w:tcPr>
            <w:tcW w:w="640" w:type="dxa"/>
            <w:tcBorders>
              <w:top w:val="nil" w:sz="6" w:space="0" w:color="auto"/>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603" w:type="dxa"/>
            <w:vMerge/>
            <w:tcBorders>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615" w:type="dxa"/>
            <w:vMerge/>
            <w:tcBorders>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4" w:space="0" w:color="000000"/>
            </w:tcBorders>
            <w:shd w:val="clear" w:color="auto" w:fill="D2D2D2"/>
          </w:tcPr>
          <w:p>
            <w:pPr/>
          </w:p>
        </w:tc>
      </w:tr>
      <w:tr>
        <w:trPr>
          <w:trHeight w:val="184" w:hRule="exact"/>
        </w:trPr>
        <w:tc>
          <w:tcPr>
            <w:tcW w:w="1283" w:type="dxa"/>
            <w:tcBorders>
              <w:top w:val="single" w:sz="4" w:space="0" w:color="000000"/>
              <w:left w:val="single" w:sz="4" w:space="0" w:color="000000"/>
              <w:bottom w:val="nil" w:sz="6" w:space="0" w:color="auto"/>
              <w:right w:val="single" w:sz="4" w:space="0" w:color="000000"/>
            </w:tcBorders>
            <w:shd w:val="clear" w:color="auto" w:fill="D2D2D2"/>
          </w:tcPr>
          <w:p>
            <w:pPr/>
          </w:p>
        </w:tc>
        <w:tc>
          <w:tcPr>
            <w:tcW w:w="640" w:type="dxa"/>
            <w:vMerge w:val="restart"/>
            <w:tcBorders>
              <w:top w:val="single" w:sz="4" w:space="0" w:color="000000"/>
              <w:left w:val="single" w:sz="10" w:space="0" w:color="D2D2D2"/>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8"/>
                <w:szCs w:val="18"/>
              </w:rPr>
            </w:pPr>
            <w:r>
              <w:rPr>
                <w:rFonts w:ascii="Times New Roman"/>
                <w:spacing w:val="-1"/>
                <w:sz w:val="18"/>
              </w:rPr>
              <w:t>192,00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vMerge w:val="restart"/>
            <w:tcBorders>
              <w:top w:val="single" w:sz="4" w:space="0" w:color="000000"/>
              <w:left w:val="single" w:sz="4" w:space="0" w:color="000000"/>
              <w:right w:val="single" w:sz="4" w:space="0" w:color="000000"/>
            </w:tcBorders>
          </w:tcPr>
          <w:p>
            <w:pPr/>
          </w:p>
        </w:tc>
        <w:tc>
          <w:tcPr>
            <w:tcW w:w="603"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18" w:space="0" w:color="D2D2D2"/>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131,626,</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048.15</w:t>
            </w:r>
          </w:p>
        </w:tc>
        <w:tc>
          <w:tcPr>
            <w:tcW w:w="727" w:type="dxa"/>
            <w:vMerge w:val="restart"/>
            <w:tcBorders>
              <w:top w:val="single" w:sz="18" w:space="0" w:color="D2D2D2"/>
              <w:left w:val="single" w:sz="4" w:space="0" w:color="000000"/>
              <w:right w:val="single" w:sz="4" w:space="0" w:color="000000"/>
            </w:tcBorders>
          </w:tcPr>
          <w:p>
            <w:pPr/>
          </w:p>
        </w:tc>
        <w:tc>
          <w:tcPr>
            <w:tcW w:w="725" w:type="dxa"/>
            <w:vMerge w:val="restart"/>
            <w:tcBorders>
              <w:top w:val="single" w:sz="18" w:space="0" w:color="D2D2D2"/>
              <w:left w:val="single" w:sz="4" w:space="0" w:color="000000"/>
              <w:right w:val="single" w:sz="4" w:space="0" w:color="000000"/>
            </w:tcBorders>
          </w:tcPr>
          <w:p>
            <w:pPr/>
          </w:p>
        </w:tc>
        <w:tc>
          <w:tcPr>
            <w:tcW w:w="727" w:type="dxa"/>
            <w:vMerge w:val="restart"/>
            <w:tcBorders>
              <w:top w:val="single" w:sz="18" w:space="0" w:color="D2D2D2"/>
              <w:left w:val="single" w:sz="4" w:space="0" w:color="000000"/>
              <w:right w:val="single" w:sz="4" w:space="0" w:color="000000"/>
            </w:tcBorders>
          </w:tcPr>
          <w:p>
            <w:pPr/>
          </w:p>
        </w:tc>
        <w:tc>
          <w:tcPr>
            <w:tcW w:w="727" w:type="dxa"/>
            <w:vMerge w:val="restart"/>
            <w:tcBorders>
              <w:top w:val="single" w:sz="18" w:space="0" w:color="D2D2D2"/>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34,853,8</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65.73</w:t>
            </w:r>
          </w:p>
        </w:tc>
        <w:tc>
          <w:tcPr>
            <w:tcW w:w="615" w:type="dxa"/>
            <w:vMerge w:val="restart"/>
            <w:tcBorders>
              <w:top w:val="single" w:sz="18" w:space="0" w:color="D2D2D2"/>
              <w:left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169,42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7,354.9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18" w:space="0" w:color="D2D2D2"/>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527,907,2</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68.79</w:t>
            </w:r>
          </w:p>
        </w:tc>
      </w:tr>
      <w:tr>
        <w:trPr>
          <w:trHeight w:val="706" w:hRule="exact"/>
        </w:trPr>
        <w:tc>
          <w:tcPr>
            <w:tcW w:w="12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2"/>
                <w:sz w:val="18"/>
                <w:szCs w:val="18"/>
              </w:rPr>
              <w:t>一、上年期末余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40"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161" w:hRule="exact"/>
        </w:trPr>
        <w:tc>
          <w:tcPr>
            <w:tcW w:w="1283" w:type="dxa"/>
            <w:tcBorders>
              <w:top w:val="nil" w:sz="6" w:space="0" w:color="auto"/>
              <w:left w:val="single" w:sz="4" w:space="0" w:color="000000"/>
              <w:bottom w:val="single" w:sz="4" w:space="0" w:color="000000"/>
              <w:right w:val="single" w:sz="4" w:space="0" w:color="000000"/>
            </w:tcBorders>
            <w:shd w:val="clear" w:color="auto" w:fill="D2D2D2"/>
          </w:tcPr>
          <w:p>
            <w:pPr/>
          </w:p>
        </w:tc>
        <w:tc>
          <w:tcPr>
            <w:tcW w:w="640"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713" w:hRule="exact"/>
        </w:trPr>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8" w:firstLine="360"/>
              <w:jc w:val="left"/>
              <w:rPr>
                <w:rFonts w:ascii="宋体" w:hAnsi="宋体" w:cs="宋体" w:eastAsia="宋体" w:hint="default"/>
                <w:sz w:val="18"/>
                <w:szCs w:val="18"/>
              </w:rPr>
            </w:pPr>
            <w:r>
              <w:rPr>
                <w:rFonts w:ascii="宋体" w:hAnsi="宋体" w:cs="宋体" w:eastAsia="宋体" w:hint="default"/>
                <w:spacing w:val="-2"/>
                <w:sz w:val="18"/>
                <w:szCs w:val="18"/>
              </w:rPr>
              <w:t>加：会计政</w:t>
            </w:r>
            <w:r>
              <w:rPr>
                <w:rFonts w:ascii="宋体" w:hAnsi="宋体" w:cs="宋体" w:eastAsia="宋体" w:hint="default"/>
                <w:sz w:val="18"/>
                <w:szCs w:val="18"/>
              </w:rPr>
              <w:t> 策变更</w:t>
            </w:r>
          </w:p>
        </w:tc>
        <w:tc>
          <w:tcPr>
            <w:tcW w:w="640"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-2,304,6</w:t>
            </w:r>
          </w:p>
          <w:p>
            <w:pPr>
              <w:pStyle w:val="TableParagraph"/>
              <w:spacing w:line="240" w:lineRule="auto" w:before="102"/>
              <w:ind w:left="267" w:right="0"/>
              <w:jc w:val="center"/>
              <w:rPr>
                <w:rFonts w:ascii="Times New Roman" w:hAnsi="Times New Roman" w:cs="Times New Roman" w:eastAsia="Times New Roman" w:hint="default"/>
                <w:sz w:val="18"/>
                <w:szCs w:val="18"/>
              </w:rPr>
            </w:pPr>
            <w:r>
              <w:rPr>
                <w:rFonts w:ascii="Times New Roman"/>
                <w:sz w:val="18"/>
              </w:rPr>
              <w:t>37.26</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2,604,8</w:t>
            </w:r>
          </w:p>
          <w:p>
            <w:pPr>
              <w:pStyle w:val="TableParagraph"/>
              <w:spacing w:line="240" w:lineRule="auto" w:before="102"/>
              <w:ind w:left="156" w:right="0"/>
              <w:jc w:val="center"/>
              <w:rPr>
                <w:rFonts w:ascii="Times New Roman" w:hAnsi="Times New Roman" w:cs="Times New Roman" w:eastAsia="Times New Roman" w:hint="default"/>
                <w:sz w:val="18"/>
                <w:szCs w:val="18"/>
              </w:rPr>
            </w:pPr>
            <w:r>
              <w:rPr>
                <w:rFonts w:ascii="Times New Roman"/>
                <w:sz w:val="18"/>
              </w:rPr>
              <w:t>15.56</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300,178.3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40"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9"/>
              <w:jc w:val="right"/>
              <w:rPr>
                <w:rFonts w:ascii="宋体" w:hAnsi="宋体" w:cs="宋体" w:eastAsia="宋体" w:hint="default"/>
                <w:sz w:val="18"/>
                <w:szCs w:val="18"/>
              </w:rPr>
            </w:pPr>
            <w:r>
              <w:rPr>
                <w:rFonts w:ascii="宋体" w:hAnsi="宋体" w:cs="宋体" w:eastAsia="宋体" w:hint="default"/>
                <w:sz w:val="18"/>
                <w:szCs w:val="18"/>
              </w:rPr>
              <w:t>其他</w:t>
            </w:r>
          </w:p>
        </w:tc>
        <w:tc>
          <w:tcPr>
            <w:tcW w:w="640"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83" w:type="dxa"/>
            <w:tcBorders>
              <w:top w:val="single" w:sz="4" w:space="0" w:color="000000"/>
              <w:left w:val="single" w:sz="4" w:space="0" w:color="000000"/>
              <w:bottom w:val="nil" w:sz="6" w:space="0" w:color="auto"/>
              <w:right w:val="single" w:sz="4" w:space="0" w:color="000000"/>
            </w:tcBorders>
            <w:shd w:val="clear" w:color="auto" w:fill="D2D2D2"/>
          </w:tcPr>
          <w:p>
            <w:pPr/>
          </w:p>
        </w:tc>
        <w:tc>
          <w:tcPr>
            <w:tcW w:w="640"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vMerge w:val="restart"/>
            <w:tcBorders>
              <w:top w:val="single" w:sz="4" w:space="0" w:color="000000"/>
              <w:left w:val="single" w:sz="4" w:space="0" w:color="000000"/>
              <w:right w:val="single" w:sz="4" w:space="0" w:color="000000"/>
            </w:tcBorders>
          </w:tcPr>
          <w:p>
            <w:pPr/>
          </w:p>
        </w:tc>
        <w:tc>
          <w:tcPr>
            <w:tcW w:w="603"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131,626,</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048.15</w:t>
            </w:r>
          </w:p>
        </w:tc>
        <w:tc>
          <w:tcPr>
            <w:tcW w:w="727"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-2,304,6</w:t>
            </w:r>
          </w:p>
          <w:p>
            <w:pPr>
              <w:pStyle w:val="TableParagraph"/>
              <w:spacing w:line="240" w:lineRule="auto" w:before="105"/>
              <w:ind w:left="267" w:right="0"/>
              <w:jc w:val="center"/>
              <w:rPr>
                <w:rFonts w:ascii="Times New Roman" w:hAnsi="Times New Roman" w:cs="Times New Roman" w:eastAsia="Times New Roman" w:hint="default"/>
                <w:sz w:val="18"/>
                <w:szCs w:val="18"/>
              </w:rPr>
            </w:pPr>
            <w:r>
              <w:rPr>
                <w:rFonts w:ascii="Times New Roman"/>
                <w:sz w:val="18"/>
              </w:rPr>
              <w:t>37.26</w:t>
            </w:r>
          </w:p>
        </w:tc>
        <w:tc>
          <w:tcPr>
            <w:tcW w:w="727"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34,853,8</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65.73</w:t>
            </w:r>
          </w:p>
        </w:tc>
        <w:tc>
          <w:tcPr>
            <w:tcW w:w="61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172,03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2,170.4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528,207,4</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47.09</w:t>
            </w:r>
          </w:p>
        </w:tc>
      </w:tr>
      <w:tr>
        <w:trPr>
          <w:trHeight w:val="706" w:hRule="exact"/>
        </w:trPr>
        <w:tc>
          <w:tcPr>
            <w:tcW w:w="12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2"/>
                <w:sz w:val="18"/>
                <w:szCs w:val="18"/>
              </w:rPr>
              <w:t>二、本年期初余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40"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161" w:hRule="exact"/>
        </w:trPr>
        <w:tc>
          <w:tcPr>
            <w:tcW w:w="1283" w:type="dxa"/>
            <w:tcBorders>
              <w:top w:val="nil" w:sz="6" w:space="0" w:color="auto"/>
              <w:left w:val="single" w:sz="4" w:space="0" w:color="000000"/>
              <w:bottom w:val="single" w:sz="4" w:space="0" w:color="000000"/>
              <w:right w:val="single" w:sz="4" w:space="0" w:color="000000"/>
            </w:tcBorders>
            <w:shd w:val="clear" w:color="auto" w:fill="D2D2D2"/>
          </w:tcPr>
          <w:p>
            <w:pPr/>
          </w:p>
        </w:tc>
        <w:tc>
          <w:tcPr>
            <w:tcW w:w="640"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1025" w:hRule="exact"/>
        </w:trPr>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pacing w:val="-2"/>
                <w:sz w:val="18"/>
                <w:szCs w:val="18"/>
              </w:rPr>
              <w:t>三、本期增减变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动金额（减少以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76,800,</w:t>
            </w:r>
          </w:p>
          <w:p>
            <w:pPr>
              <w:pStyle w:val="TableParagraph"/>
              <w:spacing w:line="240" w:lineRule="auto" w:before="103"/>
              <w:ind w:left="104" w:right="0"/>
              <w:jc w:val="left"/>
              <w:rPr>
                <w:rFonts w:ascii="Times New Roman" w:hAnsi="Times New Roman" w:cs="Times New Roman" w:eastAsia="Times New Roman" w:hint="default"/>
                <w:sz w:val="18"/>
                <w:szCs w:val="18"/>
              </w:rPr>
            </w:pPr>
            <w:r>
              <w:rPr>
                <w:rFonts w:ascii="Times New Roman"/>
                <w:sz w:val="18"/>
              </w:rPr>
              <w:t>000.00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-76,800,</w:t>
            </w:r>
          </w:p>
          <w:p>
            <w:pPr>
              <w:pStyle w:val="TableParagraph"/>
              <w:spacing w:line="240" w:lineRule="auto" w:before="103"/>
              <w:ind w:left="175" w:right="0"/>
              <w:jc w:val="center"/>
              <w:rPr>
                <w:rFonts w:ascii="Times New Roman" w:hAnsi="Times New Roman" w:cs="Times New Roman" w:eastAsia="Times New Roman" w:hint="default"/>
                <w:sz w:val="18"/>
                <w:szCs w:val="18"/>
              </w:rPr>
            </w:pPr>
            <w:r>
              <w:rPr>
                <w:rFonts w:ascii="Times New Roman"/>
                <w:sz w:val="18"/>
              </w:rPr>
              <w:t>000.00</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-2,501,8</w:t>
            </w:r>
          </w:p>
          <w:p>
            <w:pPr>
              <w:pStyle w:val="TableParagraph"/>
              <w:spacing w:line="240" w:lineRule="auto" w:before="103"/>
              <w:ind w:left="267" w:right="0"/>
              <w:jc w:val="center"/>
              <w:rPr>
                <w:rFonts w:ascii="Times New Roman" w:hAnsi="Times New Roman" w:cs="Times New Roman" w:eastAsia="Times New Roman" w:hint="default"/>
                <w:sz w:val="18"/>
                <w:szCs w:val="18"/>
              </w:rPr>
            </w:pPr>
            <w:r>
              <w:rPr>
                <w:rFonts w:ascii="Times New Roman"/>
                <w:sz w:val="18"/>
              </w:rPr>
              <w:t>99.97</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357,642.</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98</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-6,381,</w:t>
            </w:r>
          </w:p>
          <w:p>
            <w:pPr>
              <w:pStyle w:val="TableParagraph"/>
              <w:spacing w:line="240" w:lineRule="auto" w:before="103"/>
              <w:ind w:left="88" w:right="0"/>
              <w:jc w:val="left"/>
              <w:rPr>
                <w:rFonts w:ascii="Times New Roman" w:hAnsi="Times New Roman" w:cs="Times New Roman" w:eastAsia="Times New Roman" w:hint="default"/>
                <w:sz w:val="18"/>
                <w:szCs w:val="18"/>
              </w:rPr>
            </w:pPr>
            <w:r>
              <w:rPr>
                <w:rFonts w:ascii="Times New Roman"/>
                <w:sz w:val="18"/>
              </w:rPr>
              <w:t>213.20</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-8,525,470</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.19</w:t>
            </w:r>
          </w:p>
        </w:tc>
      </w:tr>
      <w:tr>
        <w:trPr>
          <w:trHeight w:val="713" w:hRule="exact"/>
        </w:trPr>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2"/>
                <w:sz w:val="18"/>
                <w:szCs w:val="18"/>
              </w:rPr>
              <w:t>（一）综合收益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640"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-2,501,8</w:t>
            </w:r>
          </w:p>
          <w:p>
            <w:pPr>
              <w:pStyle w:val="TableParagraph"/>
              <w:spacing w:line="240" w:lineRule="auto" w:before="105"/>
              <w:ind w:left="267" w:right="0"/>
              <w:jc w:val="center"/>
              <w:rPr>
                <w:rFonts w:ascii="Times New Roman" w:hAnsi="Times New Roman" w:cs="Times New Roman" w:eastAsia="Times New Roman" w:hint="default"/>
                <w:sz w:val="18"/>
                <w:szCs w:val="18"/>
              </w:rPr>
            </w:pPr>
            <w:r>
              <w:rPr>
                <w:rFonts w:ascii="Times New Roman"/>
                <w:sz w:val="18"/>
              </w:rPr>
              <w:t>99.97</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3,576,4</w:t>
            </w:r>
          </w:p>
          <w:p>
            <w:pPr>
              <w:pStyle w:val="TableParagraph"/>
              <w:spacing w:line="240" w:lineRule="auto" w:before="105"/>
              <w:ind w:left="156" w:right="0"/>
              <w:jc w:val="center"/>
              <w:rPr>
                <w:rFonts w:ascii="Times New Roman" w:hAnsi="Times New Roman" w:cs="Times New Roman" w:eastAsia="Times New Roman" w:hint="default"/>
                <w:sz w:val="18"/>
                <w:szCs w:val="18"/>
              </w:rPr>
            </w:pPr>
            <w:r>
              <w:rPr>
                <w:rFonts w:ascii="Times New Roman"/>
                <w:sz w:val="18"/>
              </w:rPr>
              <w:t>29.78</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1,074,529.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81</w:t>
            </w:r>
          </w:p>
        </w:tc>
      </w:tr>
      <w:tr>
        <w:trPr>
          <w:trHeight w:val="715" w:hRule="exact"/>
        </w:trPr>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jc w:val="left"/>
              <w:rPr>
                <w:rFonts w:ascii="宋体" w:hAnsi="宋体" w:cs="宋体" w:eastAsia="宋体" w:hint="default"/>
                <w:sz w:val="18"/>
                <w:szCs w:val="18"/>
              </w:rPr>
            </w:pPr>
            <w:r>
              <w:rPr>
                <w:rFonts w:ascii="宋体" w:hAnsi="宋体" w:cs="宋体" w:eastAsia="宋体" w:hint="default"/>
                <w:spacing w:val="-2"/>
                <w:sz w:val="18"/>
                <w:szCs w:val="18"/>
              </w:rPr>
              <w:t>（二）所有者投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入和减少资本</w:t>
            </w:r>
          </w:p>
        </w:tc>
        <w:tc>
          <w:tcPr>
            <w:tcW w:w="640"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88"/>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w:t>
            </w:r>
          </w:p>
        </w:tc>
        <w:tc>
          <w:tcPr>
            <w:tcW w:w="640"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605"/>
        <w:gridCol w:w="603"/>
        <w:gridCol w:w="605"/>
        <w:gridCol w:w="727"/>
        <w:gridCol w:w="727"/>
        <w:gridCol w:w="725"/>
        <w:gridCol w:w="727"/>
        <w:gridCol w:w="727"/>
        <w:gridCol w:w="615"/>
        <w:gridCol w:w="710"/>
        <w:gridCol w:w="862"/>
      </w:tblGrid>
      <w:tr>
        <w:trPr>
          <w:trHeight w:val="362"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的普通股</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357,642.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98</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-9,957,</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642.98</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357,642.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98</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-357,64</w:t>
            </w:r>
          </w:p>
          <w:p>
            <w:pPr>
              <w:pStyle w:val="TableParagraph"/>
              <w:spacing w:line="240" w:lineRule="auto" w:before="105"/>
              <w:ind w:left="268" w:right="0"/>
              <w:jc w:val="left"/>
              <w:rPr>
                <w:rFonts w:ascii="Times New Roman" w:hAnsi="Times New Roman" w:cs="Times New Roman" w:eastAsia="Times New Roman" w:hint="default"/>
                <w:sz w:val="18"/>
                <w:szCs w:val="18"/>
              </w:rPr>
            </w:pPr>
            <w:r>
              <w:rPr>
                <w:rFonts w:ascii="Times New Roman"/>
                <w:sz w:val="18"/>
              </w:rPr>
              <w:t>2.98</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-9,600,</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2"/>
                <w:sz w:val="18"/>
                <w:szCs w:val="18"/>
              </w:rPr>
              <w:t>（四）所有者权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益内部结转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76,800,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000.00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-76,800,</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000.00</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76,800,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000.00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-76,800,</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000.00</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四、本期期末余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268,80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54,826,0</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48.15</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-4,806,5</w:t>
            </w:r>
          </w:p>
          <w:p>
            <w:pPr>
              <w:pStyle w:val="TableParagraph"/>
              <w:spacing w:line="240" w:lineRule="auto" w:before="105"/>
              <w:ind w:left="267" w:right="0"/>
              <w:jc w:val="center"/>
              <w:rPr>
                <w:rFonts w:ascii="Times New Roman" w:hAnsi="Times New Roman" w:cs="Times New Roman" w:eastAsia="Times New Roman" w:hint="default"/>
                <w:sz w:val="18"/>
                <w:szCs w:val="18"/>
              </w:rPr>
            </w:pPr>
            <w:r>
              <w:rPr>
                <w:rFonts w:ascii="Times New Roman"/>
                <w:sz w:val="18"/>
              </w:rPr>
              <w:t>37.23</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35,211,5</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08.71</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165,65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0,957.2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519,681,9</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76.90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9"/>
        <w:rPr>
          <w:rFonts w:ascii="Times New Roman" w:hAnsi="Times New Roman" w:cs="Times New Roman" w:eastAsia="Times New Roman" w:hint="default"/>
          <w:sz w:val="24"/>
          <w:szCs w:val="24"/>
        </w:rPr>
      </w:pPr>
    </w:p>
    <w:p>
      <w:pPr>
        <w:pStyle w:val="BodyText"/>
        <w:spacing w:line="240" w:lineRule="auto" w:before="44"/>
        <w:ind w:right="1133"/>
        <w:jc w:val="left"/>
      </w:pPr>
      <w:r>
        <w:rPr/>
        <w:t>上期金额</w:t>
      </w:r>
    </w:p>
    <w:p>
      <w:pPr>
        <w:pStyle w:val="BodyText"/>
        <w:spacing w:line="240" w:lineRule="auto" w:before="117"/>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20"/>
        <w:gridCol w:w="593"/>
        <w:gridCol w:w="574"/>
        <w:gridCol w:w="572"/>
        <w:gridCol w:w="571"/>
        <w:gridCol w:w="686"/>
        <w:gridCol w:w="686"/>
        <w:gridCol w:w="684"/>
        <w:gridCol w:w="782"/>
        <w:gridCol w:w="665"/>
        <w:gridCol w:w="797"/>
        <w:gridCol w:w="797"/>
        <w:gridCol w:w="931"/>
      </w:tblGrid>
      <w:tr>
        <w:trPr>
          <w:trHeight w:val="398" w:hRule="exact"/>
        </w:trPr>
        <w:tc>
          <w:tcPr>
            <w:tcW w:w="1220" w:type="dxa"/>
            <w:vMerge w:val="restart"/>
            <w:tcBorders>
              <w:top w:val="single" w:sz="4" w:space="0" w:color="000000"/>
              <w:left w:val="single" w:sz="4" w:space="0" w:color="000000"/>
              <w:right w:val="single" w:sz="4" w:space="0" w:color="000000"/>
            </w:tcBorders>
            <w:shd w:val="clear" w:color="auto" w:fill="D2D2D2"/>
          </w:tcPr>
          <w:p>
            <w:pPr/>
          </w:p>
        </w:tc>
        <w:tc>
          <w:tcPr>
            <w:tcW w:w="833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188" w:hRule="exact"/>
        </w:trPr>
        <w:tc>
          <w:tcPr>
            <w:tcW w:w="1220" w:type="dxa"/>
            <w:vMerge/>
            <w:tcBorders>
              <w:left w:val="single" w:sz="4" w:space="0" w:color="000000"/>
              <w:bottom w:val="nil" w:sz="6" w:space="0" w:color="auto"/>
              <w:right w:val="single" w:sz="4" w:space="0" w:color="000000"/>
            </w:tcBorders>
            <w:shd w:val="clear" w:color="auto" w:fill="D2D2D2"/>
          </w:tcPr>
          <w:p>
            <w:pPr/>
          </w:p>
        </w:tc>
        <w:tc>
          <w:tcPr>
            <w:tcW w:w="593" w:type="dxa"/>
            <w:vMerge w:val="restart"/>
            <w:tcBorders>
              <w:top w:val="single" w:sz="4" w:space="0" w:color="000000"/>
              <w:left w:val="single" w:sz="4" w:space="0" w:color="000000"/>
              <w:right w:val="single" w:sz="4" w:space="0" w:color="000000"/>
            </w:tcBorders>
            <w:shd w:val="clear" w:color="auto" w:fill="D2D2D2"/>
          </w:tcPr>
          <w:p>
            <w:pPr/>
          </w:p>
        </w:tc>
        <w:tc>
          <w:tcPr>
            <w:tcW w:w="171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2" w:type="dxa"/>
            <w:vMerge w:val="restart"/>
            <w:tcBorders>
              <w:top w:val="single" w:sz="4" w:space="0" w:color="000000"/>
              <w:left w:val="single" w:sz="4" w:space="0" w:color="000000"/>
              <w:right w:val="single" w:sz="4" w:space="0" w:color="FFFFFF"/>
            </w:tcBorders>
            <w:shd w:val="clear" w:color="auto" w:fill="D2D2D2"/>
          </w:tcPr>
          <w:p>
            <w:pPr/>
          </w:p>
        </w:tc>
        <w:tc>
          <w:tcPr>
            <w:tcW w:w="665" w:type="dxa"/>
            <w:tcBorders>
              <w:top w:val="single" w:sz="4" w:space="0" w:color="000000"/>
              <w:left w:val="single" w:sz="4" w:space="0" w:color="FFFFFF"/>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8" w:hRule="exact"/>
        </w:trPr>
        <w:tc>
          <w:tcPr>
            <w:tcW w:w="12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593" w:type="dxa"/>
            <w:vMerge/>
            <w:tcBorders>
              <w:left w:val="single" w:sz="4" w:space="0" w:color="000000"/>
              <w:bottom w:val="nil" w:sz="6" w:space="0" w:color="auto"/>
              <w:right w:val="single" w:sz="4" w:space="0" w:color="000000"/>
            </w:tcBorders>
            <w:shd w:val="clear" w:color="auto" w:fill="D2D2D2"/>
          </w:tcPr>
          <w:p>
            <w:pPr/>
          </w:p>
        </w:tc>
        <w:tc>
          <w:tcPr>
            <w:tcW w:w="1717" w:type="dxa"/>
            <w:gridSpan w:val="3"/>
            <w:vMerge/>
            <w:tcBorders>
              <w:left w:val="single" w:sz="4" w:space="0" w:color="000000"/>
              <w:bottom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60"/>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60"/>
              <w:ind w:left="249" w:right="23"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60"/>
              <w:ind w:left="67" w:right="6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82" w:type="dxa"/>
            <w:vMerge/>
            <w:tcBorders>
              <w:left w:val="single" w:sz="4" w:space="0" w:color="000000"/>
              <w:bottom w:val="nil" w:sz="6" w:space="0" w:color="auto"/>
              <w:right w:val="single" w:sz="4" w:space="0" w:color="FFFFFF"/>
            </w:tcBorders>
            <w:shd w:val="clear" w:color="auto" w:fill="D2D2D2"/>
          </w:tcPr>
          <w:p>
            <w:pPr/>
          </w:p>
        </w:tc>
        <w:tc>
          <w:tcPr>
            <w:tcW w:w="665" w:type="dxa"/>
            <w:vMerge w:val="restart"/>
            <w:tcBorders>
              <w:top w:val="nil" w:sz="6" w:space="0" w:color="auto"/>
              <w:left w:val="single" w:sz="4" w:space="0" w:color="FFFFFF"/>
              <w:right w:val="single" w:sz="4" w:space="0" w:color="000000"/>
            </w:tcBorders>
            <w:shd w:val="clear" w:color="auto" w:fill="D2D2D2"/>
          </w:tcPr>
          <w:p>
            <w:pPr>
              <w:pStyle w:val="TableParagraph"/>
              <w:spacing w:line="314" w:lineRule="auto" w:before="54"/>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4"/>
              <w:ind w:left="304" w:right="32"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97"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4"/>
              <w:ind w:left="189" w:right="98"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86" w:hRule="exact"/>
        </w:trPr>
        <w:tc>
          <w:tcPr>
            <w:tcW w:w="1220" w:type="dxa"/>
            <w:vMerge/>
            <w:tcBorders>
              <w:left w:val="single" w:sz="4" w:space="0" w:color="000000"/>
              <w:bottom w:val="nil" w:sz="6" w:space="0" w:color="auto"/>
              <w:right w:val="single" w:sz="4" w:space="0" w:color="000000"/>
            </w:tcBorders>
            <w:shd w:val="clear" w:color="auto" w:fill="D2D2D2"/>
          </w:tcPr>
          <w:p>
            <w:pPr/>
          </w:p>
        </w:tc>
        <w:tc>
          <w:tcPr>
            <w:tcW w:w="5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2"/>
              <w:ind w:left="11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7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194" w:right="98"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191" w:right="99"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71"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782"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40"/>
              <w:ind w:left="2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65" w:type="dxa"/>
            <w:vMerge/>
            <w:tcBorders>
              <w:left w:val="single" w:sz="4" w:space="0" w:color="FFFFFF"/>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1" w:type="dxa"/>
            <w:vMerge/>
            <w:tcBorders>
              <w:left w:val="single" w:sz="4" w:space="0" w:color="000000"/>
              <w:right w:val="single" w:sz="4" w:space="0" w:color="000000"/>
            </w:tcBorders>
            <w:shd w:val="clear" w:color="auto" w:fill="D2D2D2"/>
          </w:tcPr>
          <w:p>
            <w:pPr/>
          </w:p>
        </w:tc>
      </w:tr>
      <w:tr>
        <w:trPr>
          <w:trHeight w:val="197" w:hRule="exact"/>
        </w:trPr>
        <w:tc>
          <w:tcPr>
            <w:tcW w:w="1220" w:type="dxa"/>
            <w:vMerge w:val="restart"/>
            <w:tcBorders>
              <w:top w:val="nil" w:sz="6" w:space="0" w:color="auto"/>
              <w:left w:val="single" w:sz="4" w:space="0" w:color="000000"/>
              <w:right w:val="single" w:sz="4" w:space="0" w:color="000000"/>
            </w:tcBorders>
            <w:shd w:val="clear" w:color="auto" w:fill="D2D2D2"/>
          </w:tcPr>
          <w:p>
            <w:pPr/>
          </w:p>
        </w:tc>
        <w:tc>
          <w:tcPr>
            <w:tcW w:w="593"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782" w:type="dxa"/>
            <w:vMerge/>
            <w:tcBorders>
              <w:left w:val="single" w:sz="4" w:space="0" w:color="000000"/>
              <w:bottom w:val="nil" w:sz="6" w:space="0" w:color="auto"/>
              <w:right w:val="single" w:sz="4" w:space="0" w:color="FFFFFF"/>
            </w:tcBorders>
            <w:shd w:val="clear" w:color="auto" w:fill="D2D2D2"/>
          </w:tcPr>
          <w:p>
            <w:pPr/>
          </w:p>
        </w:tc>
        <w:tc>
          <w:tcPr>
            <w:tcW w:w="665" w:type="dxa"/>
            <w:vMerge/>
            <w:tcBorders>
              <w:left w:val="single" w:sz="4" w:space="0" w:color="FFFFFF"/>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931" w:type="dxa"/>
            <w:vMerge/>
            <w:tcBorders>
              <w:left w:val="single" w:sz="4" w:space="0" w:color="000000"/>
              <w:right w:val="single" w:sz="4" w:space="0" w:color="000000"/>
            </w:tcBorders>
            <w:shd w:val="clear" w:color="auto" w:fill="D2D2D2"/>
          </w:tcPr>
          <w:p>
            <w:pPr/>
          </w:p>
        </w:tc>
      </w:tr>
      <w:tr>
        <w:trPr>
          <w:trHeight w:val="156" w:hRule="exact"/>
        </w:trPr>
        <w:tc>
          <w:tcPr>
            <w:tcW w:w="1220" w:type="dxa"/>
            <w:vMerge/>
            <w:tcBorders>
              <w:left w:val="single" w:sz="4" w:space="0" w:color="000000"/>
              <w:right w:val="single" w:sz="4" w:space="0" w:color="000000"/>
            </w:tcBorders>
            <w:shd w:val="clear" w:color="auto" w:fill="D2D2D2"/>
          </w:tcPr>
          <w:p>
            <w:pPr/>
          </w:p>
        </w:tc>
        <w:tc>
          <w:tcPr>
            <w:tcW w:w="593" w:type="dxa"/>
            <w:vMerge w:val="restart"/>
            <w:tcBorders>
              <w:top w:val="nil" w:sz="6" w:space="0" w:color="auto"/>
              <w:left w:val="single" w:sz="4" w:space="0" w:color="000000"/>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1"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782" w:type="dxa"/>
            <w:vMerge w:val="restart"/>
            <w:tcBorders>
              <w:top w:val="nil" w:sz="6" w:space="0" w:color="auto"/>
              <w:left w:val="single" w:sz="4" w:space="0" w:color="000000"/>
              <w:right w:val="single" w:sz="4" w:space="0" w:color="FFFFFF"/>
            </w:tcBorders>
            <w:shd w:val="clear" w:color="auto" w:fill="D2D2D2"/>
          </w:tcPr>
          <w:p>
            <w:pPr/>
          </w:p>
        </w:tc>
        <w:tc>
          <w:tcPr>
            <w:tcW w:w="665" w:type="dxa"/>
            <w:vMerge/>
            <w:tcBorders>
              <w:left w:val="single" w:sz="4" w:space="0" w:color="FFFFFF"/>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220" w:type="dxa"/>
            <w:vMerge/>
            <w:tcBorders>
              <w:left w:val="single" w:sz="4" w:space="0" w:color="000000"/>
              <w:bottom w:val="single" w:sz="4" w:space="0" w:color="000000"/>
              <w:right w:val="single" w:sz="4" w:space="0" w:color="000000"/>
            </w:tcBorders>
            <w:shd w:val="clear" w:color="auto" w:fill="D2D2D2"/>
          </w:tcPr>
          <w:p>
            <w:pPr/>
          </w:p>
        </w:tc>
        <w:tc>
          <w:tcPr>
            <w:tcW w:w="593"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571"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FFFFFF"/>
            </w:tcBorders>
            <w:shd w:val="clear" w:color="auto" w:fill="D2D2D2"/>
          </w:tcPr>
          <w:p>
            <w:pPr/>
          </w:p>
        </w:tc>
        <w:tc>
          <w:tcPr>
            <w:tcW w:w="665" w:type="dxa"/>
            <w:tcBorders>
              <w:top w:val="nil" w:sz="6" w:space="0" w:color="auto"/>
              <w:left w:val="single" w:sz="4" w:space="0" w:color="FFFFFF"/>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3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220" w:type="dxa"/>
            <w:tcBorders>
              <w:top w:val="single" w:sz="4" w:space="0" w:color="000000"/>
              <w:left w:val="single" w:sz="4" w:space="0" w:color="000000"/>
              <w:bottom w:val="nil" w:sz="6" w:space="0" w:color="auto"/>
              <w:right w:val="single" w:sz="4" w:space="0" w:color="000000"/>
            </w:tcBorders>
            <w:shd w:val="clear" w:color="auto" w:fill="D2D2D2"/>
          </w:tcPr>
          <w:p>
            <w:pPr/>
          </w:p>
        </w:tc>
        <w:tc>
          <w:tcPr>
            <w:tcW w:w="593" w:type="dxa"/>
            <w:vMerge w:val="restart"/>
            <w:tcBorders>
              <w:top w:val="single" w:sz="4" w:space="0" w:color="000000"/>
              <w:left w:val="single" w:sz="9" w:space="0" w:color="D2D2D2"/>
              <w:right w:val="single" w:sz="4" w:space="0" w:color="000000"/>
            </w:tcBorders>
          </w:tcPr>
          <w:p>
            <w:pPr>
              <w:pStyle w:val="TableParagraph"/>
              <w:spacing w:line="240" w:lineRule="auto" w:before="91"/>
              <w:ind w:left="61" w:right="0"/>
              <w:jc w:val="left"/>
              <w:rPr>
                <w:rFonts w:ascii="Times New Roman" w:hAnsi="Times New Roman" w:cs="Times New Roman" w:eastAsia="Times New Roman" w:hint="default"/>
                <w:sz w:val="18"/>
                <w:szCs w:val="18"/>
              </w:rPr>
            </w:pPr>
            <w:r>
              <w:rPr>
                <w:rFonts w:ascii="Times New Roman"/>
                <w:sz w:val="18"/>
              </w:rPr>
              <w:t>192,00</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75" w:right="0"/>
              <w:jc w:val="left"/>
              <w:rPr>
                <w:rFonts w:ascii="Times New Roman" w:hAnsi="Times New Roman" w:cs="Times New Roman" w:eastAsia="Times New Roman" w:hint="default"/>
                <w:sz w:val="18"/>
                <w:szCs w:val="18"/>
              </w:rPr>
            </w:pPr>
            <w:r>
              <w:rPr>
                <w:rFonts w:ascii="Times New Roman"/>
                <w:sz w:val="18"/>
              </w:rPr>
              <w:t>00</w:t>
            </w: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131,626</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,048.15</w:t>
            </w: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FFFFFF"/>
            </w:tcBorders>
          </w:tcPr>
          <w:p>
            <w:pPr/>
          </w:p>
        </w:tc>
        <w:tc>
          <w:tcPr>
            <w:tcW w:w="665" w:type="dxa"/>
            <w:vMerge w:val="restart"/>
            <w:tcBorders>
              <w:top w:val="single" w:sz="4" w:space="0" w:color="000000"/>
              <w:left w:val="single" w:sz="4" w:space="0" w:color="FFFFFF"/>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32,351,</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696.89</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156,507,8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35.39</w:t>
            </w: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512,485,58</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0.43</w:t>
            </w:r>
          </w:p>
        </w:tc>
      </w:tr>
      <w:tr>
        <w:trPr>
          <w:trHeight w:val="703" w:hRule="exact"/>
        </w:trPr>
        <w:tc>
          <w:tcPr>
            <w:tcW w:w="12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13"/>
                <w:sz w:val="18"/>
                <w:szCs w:val="18"/>
              </w:rPr>
              <w:t>一、上年期末余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vMerge/>
            <w:tcBorders>
              <w:left w:val="single" w:sz="9" w:space="0" w:color="D2D2D2"/>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FFFFFF"/>
            </w:tcBorders>
          </w:tcPr>
          <w:p>
            <w:pPr/>
          </w:p>
        </w:tc>
        <w:tc>
          <w:tcPr>
            <w:tcW w:w="665" w:type="dxa"/>
            <w:vMerge/>
            <w:tcBorders>
              <w:left w:val="single" w:sz="4" w:space="0" w:color="FFFFFF"/>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220" w:type="dxa"/>
            <w:tcBorders>
              <w:top w:val="nil" w:sz="6" w:space="0" w:color="auto"/>
              <w:left w:val="single" w:sz="4" w:space="0" w:color="000000"/>
              <w:bottom w:val="single" w:sz="4" w:space="0" w:color="000000"/>
              <w:right w:val="single" w:sz="4" w:space="0" w:color="000000"/>
            </w:tcBorders>
            <w:shd w:val="clear" w:color="auto" w:fill="D2D2D2"/>
          </w:tcPr>
          <w:p>
            <w:pPr/>
          </w:p>
        </w:tc>
        <w:tc>
          <w:tcPr>
            <w:tcW w:w="593" w:type="dxa"/>
            <w:vMerge/>
            <w:tcBorders>
              <w:left w:val="single" w:sz="9" w:space="0" w:color="D2D2D2"/>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FFFFFF"/>
            </w:tcBorders>
          </w:tcPr>
          <w:p>
            <w:pPr/>
          </w:p>
        </w:tc>
        <w:tc>
          <w:tcPr>
            <w:tcW w:w="665" w:type="dxa"/>
            <w:vMerge/>
            <w:tcBorders>
              <w:left w:val="single" w:sz="4" w:space="0" w:color="FFFFFF"/>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715"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9" w:firstLine="360"/>
              <w:jc w:val="left"/>
              <w:rPr>
                <w:rFonts w:ascii="宋体" w:hAnsi="宋体" w:cs="宋体" w:eastAsia="宋体" w:hint="default"/>
                <w:sz w:val="18"/>
                <w:szCs w:val="18"/>
              </w:rPr>
            </w:pPr>
            <w:r>
              <w:rPr>
                <w:rFonts w:ascii="宋体" w:hAnsi="宋体" w:cs="宋体" w:eastAsia="宋体" w:hint="default"/>
                <w:spacing w:val="-17"/>
                <w:sz w:val="18"/>
                <w:szCs w:val="18"/>
              </w:rPr>
              <w:t>加：会计政</w:t>
            </w:r>
            <w:r>
              <w:rPr>
                <w:rFonts w:ascii="宋体" w:hAnsi="宋体" w:cs="宋体" w:eastAsia="宋体" w:hint="default"/>
                <w:sz w:val="18"/>
                <w:szCs w:val="18"/>
              </w:rPr>
              <w:t> 策变更</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FFFFFF"/>
            </w:tcBorders>
          </w:tcPr>
          <w:p>
            <w:pPr/>
          </w:p>
        </w:tc>
        <w:tc>
          <w:tcPr>
            <w:tcW w:w="665" w:type="dxa"/>
            <w:tcBorders>
              <w:top w:val="single" w:sz="4" w:space="0" w:color="000000"/>
              <w:left w:val="single" w:sz="4" w:space="0" w:color="FFFFFF"/>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FFFFFF"/>
            </w:tcBorders>
          </w:tcPr>
          <w:p>
            <w:pPr/>
          </w:p>
        </w:tc>
        <w:tc>
          <w:tcPr>
            <w:tcW w:w="665" w:type="dxa"/>
            <w:tcBorders>
              <w:top w:val="single" w:sz="4" w:space="0" w:color="000000"/>
              <w:left w:val="single" w:sz="4" w:space="0" w:color="FFFFFF"/>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FFFFFF"/>
            </w:tcBorders>
          </w:tcPr>
          <w:p>
            <w:pPr/>
          </w:p>
        </w:tc>
        <w:tc>
          <w:tcPr>
            <w:tcW w:w="665" w:type="dxa"/>
            <w:tcBorders>
              <w:top w:val="single" w:sz="4" w:space="0" w:color="000000"/>
              <w:left w:val="single" w:sz="4" w:space="0" w:color="FFFFFF"/>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20" w:type="dxa"/>
            <w:tcBorders>
              <w:top w:val="single" w:sz="4" w:space="0" w:color="000000"/>
              <w:left w:val="single" w:sz="4" w:space="0" w:color="000000"/>
              <w:bottom w:val="nil" w:sz="6" w:space="0" w:color="auto"/>
              <w:right w:val="single" w:sz="4" w:space="0" w:color="000000"/>
            </w:tcBorders>
            <w:shd w:val="clear" w:color="auto" w:fill="D2D2D2"/>
          </w:tcPr>
          <w:p>
            <w:pPr/>
          </w:p>
        </w:tc>
        <w:tc>
          <w:tcPr>
            <w:tcW w:w="593" w:type="dxa"/>
            <w:vMerge w:val="restart"/>
            <w:tcBorders>
              <w:top w:val="single" w:sz="4" w:space="0" w:color="000000"/>
              <w:left w:val="single" w:sz="9" w:space="0" w:color="D2D2D2"/>
              <w:right w:val="single" w:sz="4" w:space="0" w:color="000000"/>
            </w:tcBorders>
          </w:tcPr>
          <w:p>
            <w:pPr>
              <w:pStyle w:val="TableParagraph"/>
              <w:spacing w:line="240" w:lineRule="auto" w:before="91"/>
              <w:ind w:left="61" w:right="0"/>
              <w:jc w:val="left"/>
              <w:rPr>
                <w:rFonts w:ascii="Times New Roman" w:hAnsi="Times New Roman" w:cs="Times New Roman" w:eastAsia="Times New Roman" w:hint="default"/>
                <w:sz w:val="18"/>
                <w:szCs w:val="18"/>
              </w:rPr>
            </w:pPr>
            <w:r>
              <w:rPr>
                <w:rFonts w:ascii="Times New Roman"/>
                <w:sz w:val="18"/>
              </w:rPr>
              <w:t>192,00</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75" w:right="0"/>
              <w:jc w:val="left"/>
              <w:rPr>
                <w:rFonts w:ascii="Times New Roman" w:hAnsi="Times New Roman" w:cs="Times New Roman" w:eastAsia="Times New Roman" w:hint="default"/>
                <w:sz w:val="18"/>
                <w:szCs w:val="18"/>
              </w:rPr>
            </w:pPr>
            <w:r>
              <w:rPr>
                <w:rFonts w:ascii="Times New Roman"/>
                <w:sz w:val="18"/>
              </w:rPr>
              <w:t>00</w:t>
            </w: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131,626</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,048.15</w:t>
            </w: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FFFFFF"/>
            </w:tcBorders>
          </w:tcPr>
          <w:p>
            <w:pPr/>
          </w:p>
        </w:tc>
        <w:tc>
          <w:tcPr>
            <w:tcW w:w="665" w:type="dxa"/>
            <w:vMerge w:val="restart"/>
            <w:tcBorders>
              <w:top w:val="single" w:sz="4" w:space="0" w:color="000000"/>
              <w:left w:val="single" w:sz="4" w:space="0" w:color="FFFFFF"/>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32,351,</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696.89</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156,507,8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35.39</w:t>
            </w: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512,485,58</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0.43</w:t>
            </w:r>
          </w:p>
        </w:tc>
      </w:tr>
      <w:tr>
        <w:trPr>
          <w:trHeight w:val="703" w:hRule="exact"/>
        </w:trPr>
        <w:tc>
          <w:tcPr>
            <w:tcW w:w="12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13"/>
                <w:sz w:val="18"/>
                <w:szCs w:val="18"/>
              </w:rPr>
              <w:t>二、本年期初余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vMerge/>
            <w:tcBorders>
              <w:left w:val="single" w:sz="9" w:space="0" w:color="D2D2D2"/>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FFFFFF"/>
            </w:tcBorders>
          </w:tcPr>
          <w:p>
            <w:pPr/>
          </w:p>
        </w:tc>
        <w:tc>
          <w:tcPr>
            <w:tcW w:w="665" w:type="dxa"/>
            <w:vMerge/>
            <w:tcBorders>
              <w:left w:val="single" w:sz="4" w:space="0" w:color="FFFFFF"/>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220" w:type="dxa"/>
            <w:tcBorders>
              <w:top w:val="nil" w:sz="6" w:space="0" w:color="auto"/>
              <w:left w:val="single" w:sz="4" w:space="0" w:color="000000"/>
              <w:bottom w:val="single" w:sz="4" w:space="0" w:color="000000"/>
              <w:right w:val="single" w:sz="4" w:space="0" w:color="000000"/>
            </w:tcBorders>
            <w:shd w:val="clear" w:color="auto" w:fill="D2D2D2"/>
          </w:tcPr>
          <w:p>
            <w:pPr/>
          </w:p>
        </w:tc>
        <w:tc>
          <w:tcPr>
            <w:tcW w:w="593" w:type="dxa"/>
            <w:vMerge/>
            <w:tcBorders>
              <w:left w:val="single" w:sz="9" w:space="0" w:color="D2D2D2"/>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FFFFFF"/>
            </w:tcBorders>
          </w:tcPr>
          <w:p>
            <w:pPr/>
          </w:p>
        </w:tc>
        <w:tc>
          <w:tcPr>
            <w:tcW w:w="665" w:type="dxa"/>
            <w:vMerge/>
            <w:tcBorders>
              <w:left w:val="single" w:sz="4" w:space="0" w:color="FFFFFF"/>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1027"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both"/>
              <w:rPr>
                <w:rFonts w:ascii="宋体" w:hAnsi="宋体" w:cs="宋体" w:eastAsia="宋体" w:hint="default"/>
                <w:sz w:val="18"/>
                <w:szCs w:val="18"/>
              </w:rPr>
            </w:pPr>
            <w:r>
              <w:rPr>
                <w:rFonts w:ascii="宋体" w:hAnsi="宋体" w:cs="宋体" w:eastAsia="宋体" w:hint="default"/>
                <w:spacing w:val="-13"/>
                <w:sz w:val="18"/>
                <w:szCs w:val="18"/>
              </w:rPr>
              <w:t>三、本期增减变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3"/>
                <w:sz w:val="18"/>
                <w:szCs w:val="18"/>
              </w:rPr>
              <w:t>动金额（减少以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FFFFFF"/>
            </w:tcBorders>
          </w:tcPr>
          <w:p>
            <w:pPr/>
          </w:p>
        </w:tc>
        <w:tc>
          <w:tcPr>
            <w:tcW w:w="66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2,502,1</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68.84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12,919,51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9.52</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15,421,688.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36</w:t>
            </w:r>
          </w:p>
        </w:tc>
      </w:tr>
      <w:tr>
        <w:trPr>
          <w:trHeight w:val="713"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13"/>
                <w:sz w:val="18"/>
                <w:szCs w:val="18"/>
              </w:rPr>
              <w:t>（一）综合收益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FFFFFF"/>
            </w:tcBorders>
          </w:tcPr>
          <w:p>
            <w:pPr/>
          </w:p>
        </w:tc>
        <w:tc>
          <w:tcPr>
            <w:tcW w:w="665" w:type="dxa"/>
            <w:tcBorders>
              <w:top w:val="single" w:sz="4" w:space="0" w:color="000000"/>
              <w:left w:val="single" w:sz="4" w:space="0" w:color="FFFFFF"/>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25,021,68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8.36</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25,021,688.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36</w:t>
            </w:r>
          </w:p>
        </w:tc>
      </w:tr>
      <w:tr>
        <w:trPr>
          <w:trHeight w:val="716"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13"/>
                <w:sz w:val="18"/>
                <w:szCs w:val="18"/>
              </w:rPr>
              <w:t>（二）所有者投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入和减少资本</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FFFFFF"/>
            </w:tcBorders>
          </w:tcPr>
          <w:p>
            <w:pPr/>
          </w:p>
        </w:tc>
        <w:tc>
          <w:tcPr>
            <w:tcW w:w="665" w:type="dxa"/>
            <w:tcBorders>
              <w:top w:val="single" w:sz="4" w:space="0" w:color="000000"/>
              <w:left w:val="single" w:sz="4" w:space="0" w:color="FFFFFF"/>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FFFFFF"/>
            </w:tcBorders>
          </w:tcPr>
          <w:p>
            <w:pPr/>
          </w:p>
        </w:tc>
        <w:tc>
          <w:tcPr>
            <w:tcW w:w="665" w:type="dxa"/>
            <w:tcBorders>
              <w:top w:val="single" w:sz="4" w:space="0" w:color="000000"/>
              <w:left w:val="single" w:sz="4" w:space="0" w:color="FFFFFF"/>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FFFFFF"/>
            </w:tcBorders>
          </w:tcPr>
          <w:p>
            <w:pPr/>
          </w:p>
        </w:tc>
        <w:tc>
          <w:tcPr>
            <w:tcW w:w="665" w:type="dxa"/>
            <w:tcBorders>
              <w:top w:val="single" w:sz="4" w:space="0" w:color="000000"/>
              <w:left w:val="single" w:sz="4" w:space="0" w:color="FFFFFF"/>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FFFFFF"/>
            </w:tcBorders>
          </w:tcPr>
          <w:p>
            <w:pPr/>
          </w:p>
        </w:tc>
        <w:tc>
          <w:tcPr>
            <w:tcW w:w="665" w:type="dxa"/>
            <w:tcBorders>
              <w:top w:val="single" w:sz="4" w:space="0" w:color="000000"/>
              <w:left w:val="single" w:sz="4" w:space="0" w:color="FFFFFF"/>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FFFFFF"/>
            </w:tcBorders>
          </w:tcPr>
          <w:p>
            <w:pPr/>
          </w:p>
        </w:tc>
        <w:tc>
          <w:tcPr>
            <w:tcW w:w="665" w:type="dxa"/>
            <w:tcBorders>
              <w:top w:val="single" w:sz="4" w:space="0" w:color="000000"/>
              <w:left w:val="single" w:sz="4" w:space="0" w:color="FFFFFF"/>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20" w:type="dxa"/>
            <w:tcBorders>
              <w:top w:val="single" w:sz="4" w:space="0" w:color="000000"/>
              <w:left w:val="single" w:sz="4" w:space="0" w:color="000000"/>
              <w:bottom w:val="nil" w:sz="6" w:space="0" w:color="auto"/>
              <w:right w:val="single" w:sz="4" w:space="0" w:color="000000"/>
            </w:tcBorders>
            <w:shd w:val="clear" w:color="auto" w:fill="D2D2D2"/>
          </w:tcPr>
          <w:p>
            <w:pPr/>
          </w:p>
        </w:tc>
        <w:tc>
          <w:tcPr>
            <w:tcW w:w="593" w:type="dxa"/>
            <w:vMerge w:val="restart"/>
            <w:tcBorders>
              <w:top w:val="single" w:sz="4" w:space="0" w:color="000000"/>
              <w:left w:val="single" w:sz="9" w:space="0" w:color="D2D2D2"/>
              <w:right w:val="single" w:sz="4" w:space="0" w:color="000000"/>
            </w:tcBorders>
          </w:tcPr>
          <w:p>
            <w:pP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FFFFFF"/>
            </w:tcBorders>
          </w:tcPr>
          <w:p>
            <w:pPr/>
          </w:p>
        </w:tc>
        <w:tc>
          <w:tcPr>
            <w:tcW w:w="665" w:type="dxa"/>
            <w:vMerge w:val="restart"/>
            <w:tcBorders>
              <w:top w:val="single" w:sz="4" w:space="0" w:color="000000"/>
              <w:left w:val="single" w:sz="4" w:space="0" w:color="FFFFFF"/>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2,502,1</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68.84</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-12,102,1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68.84</w:t>
            </w: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r>
      <w:tr>
        <w:trPr>
          <w:trHeight w:val="391" w:hRule="exact"/>
        </w:trPr>
        <w:tc>
          <w:tcPr>
            <w:tcW w:w="12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5"/>
                <w:sz w:val="18"/>
                <w:szCs w:val="18"/>
              </w:rPr>
              <w:t>）</w:t>
            </w:r>
            <w:r>
              <w:rPr>
                <w:rFonts w:ascii="宋体" w:hAnsi="宋体" w:cs="宋体" w:eastAsia="宋体" w:hint="default"/>
                <w:sz w:val="18"/>
                <w:szCs w:val="18"/>
              </w:rPr>
              <w:t>利润分配</w:t>
            </w:r>
          </w:p>
        </w:tc>
        <w:tc>
          <w:tcPr>
            <w:tcW w:w="593" w:type="dxa"/>
            <w:vMerge/>
            <w:tcBorders>
              <w:left w:val="single" w:sz="9" w:space="0" w:color="D2D2D2"/>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FFFFFF"/>
            </w:tcBorders>
          </w:tcPr>
          <w:p>
            <w:pPr/>
          </w:p>
        </w:tc>
        <w:tc>
          <w:tcPr>
            <w:tcW w:w="665" w:type="dxa"/>
            <w:vMerge/>
            <w:tcBorders>
              <w:left w:val="single" w:sz="4" w:space="0" w:color="FFFFFF"/>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220" w:type="dxa"/>
            <w:tcBorders>
              <w:top w:val="nil" w:sz="6" w:space="0" w:color="auto"/>
              <w:left w:val="single" w:sz="4" w:space="0" w:color="000000"/>
              <w:bottom w:val="single" w:sz="4" w:space="0" w:color="000000"/>
              <w:right w:val="single" w:sz="4" w:space="0" w:color="000000"/>
            </w:tcBorders>
            <w:shd w:val="clear" w:color="auto" w:fill="D2D2D2"/>
          </w:tcPr>
          <w:p>
            <w:pPr/>
          </w:p>
        </w:tc>
        <w:tc>
          <w:tcPr>
            <w:tcW w:w="593" w:type="dxa"/>
            <w:vMerge/>
            <w:tcBorders>
              <w:left w:val="single" w:sz="9" w:space="0" w:color="D2D2D2"/>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FFFFFF"/>
            </w:tcBorders>
          </w:tcPr>
          <w:p>
            <w:pPr/>
          </w:p>
        </w:tc>
        <w:tc>
          <w:tcPr>
            <w:tcW w:w="665" w:type="dxa"/>
            <w:vMerge/>
            <w:tcBorders>
              <w:left w:val="single" w:sz="4" w:space="0" w:color="FFFFFF"/>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715"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FFFFFF"/>
            </w:tcBorders>
          </w:tcPr>
          <w:p>
            <w:pPr/>
          </w:p>
        </w:tc>
        <w:tc>
          <w:tcPr>
            <w:tcW w:w="66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2,502,1</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68.84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-2,502,16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8.84</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7"/>
              <w:jc w:val="left"/>
              <w:rPr>
                <w:rFonts w:ascii="宋体" w:hAnsi="宋体" w:cs="宋体" w:eastAsia="宋体" w:hint="default"/>
                <w:sz w:val="18"/>
                <w:szCs w:val="18"/>
              </w:rPr>
            </w:pPr>
            <w:r>
              <w:rPr>
                <w:rFonts w:ascii="Times New Roman" w:hAnsi="Times New Roman" w:cs="Times New Roman" w:eastAsia="Times New Roman" w:hint="default"/>
                <w:spacing w:val="-22"/>
                <w:sz w:val="18"/>
                <w:szCs w:val="18"/>
              </w:rPr>
              <w:t>2</w:t>
            </w:r>
            <w:r>
              <w:rPr>
                <w:rFonts w:ascii="宋体" w:hAnsi="宋体" w:cs="宋体" w:eastAsia="宋体" w:hint="default"/>
                <w:spacing w:val="-22"/>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FFFFFF"/>
            </w:tcBorders>
          </w:tcPr>
          <w:p>
            <w:pPr/>
          </w:p>
        </w:tc>
        <w:tc>
          <w:tcPr>
            <w:tcW w:w="665" w:type="dxa"/>
            <w:tcBorders>
              <w:top w:val="single" w:sz="4" w:space="0" w:color="000000"/>
              <w:left w:val="single" w:sz="4" w:space="0" w:color="FFFFFF"/>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-9,600,00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（四）所有者权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益内部结转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5"/>
                <w:sz w:val="18"/>
                <w:szCs w:val="18"/>
              </w:rPr>
              <w:t>）</w:t>
            </w:r>
            <w:r>
              <w:rPr>
                <w:rFonts w:ascii="宋体" w:hAnsi="宋体" w:cs="宋体" w:eastAsia="宋体" w:hint="default"/>
                <w:sz w:val="18"/>
                <w:szCs w:val="18"/>
              </w:rPr>
              <w:t>专项储备</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四、本期期末余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192,00</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131,626</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,048.15</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34,853,</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865.73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169,427,3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54.91</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527,907,26</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8.79</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三、公司基本情况</w:t>
      </w:r>
      <w:r>
        <w:rPr>
          <w:b w:val="0"/>
          <w:bCs w:val="0"/>
        </w:rPr>
      </w:r>
    </w:p>
    <w:p>
      <w:pPr>
        <w:spacing w:line="240" w:lineRule="auto" w:before="4"/>
        <w:rPr>
          <w:rFonts w:ascii="宋体" w:hAnsi="宋体" w:cs="宋体" w:eastAsia="宋体" w:hint="default"/>
          <w:b/>
          <w:bCs/>
          <w:sz w:val="32"/>
          <w:szCs w:val="32"/>
        </w:rPr>
      </w:pPr>
    </w:p>
    <w:p>
      <w:pPr>
        <w:spacing w:line="451" w:lineRule="auto" w:before="0"/>
        <w:ind w:left="513" w:right="1127" w:hanging="36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、公司的发行上市及股本等基本情况</w:t>
      </w:r>
      <w:r>
        <w:rPr>
          <w:rFonts w:ascii="宋体" w:hAnsi="宋体" w:cs="宋体" w:eastAsia="宋体" w:hint="default"/>
          <w:b/>
          <w:bCs/>
          <w:w w:val="99"/>
          <w:sz w:val="18"/>
          <w:szCs w:val="18"/>
        </w:rPr>
        <w:t> </w:t>
      </w:r>
      <w:r>
        <w:rPr>
          <w:rFonts w:ascii="宋体" w:hAnsi="宋体" w:cs="宋体" w:eastAsia="宋体" w:hint="default"/>
          <w:spacing w:val="-1"/>
          <w:sz w:val="18"/>
          <w:szCs w:val="18"/>
        </w:rPr>
        <w:t>苏州恒久光电科技股份有限公司（以下简称</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或</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）是由苏州恒久光电科技有限公司整体变更设立的股份有</w:t>
      </w:r>
    </w:p>
    <w:p>
      <w:pPr>
        <w:pStyle w:val="BodyText"/>
        <w:spacing w:line="451" w:lineRule="auto" w:before="43"/>
        <w:ind w:right="1129"/>
        <w:jc w:val="left"/>
      </w:pPr>
      <w:r>
        <w:rPr>
          <w:spacing w:val="-1"/>
        </w:rPr>
        <w:t>限公司，以截止</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31</w:t>
      </w:r>
      <w:r>
        <w:rPr>
          <w:spacing w:val="-1"/>
        </w:rPr>
        <w:t>日的经审计的净资产依据各股东出资比例折合为公司的股份</w:t>
      </w:r>
      <w:r>
        <w:rPr>
          <w:rFonts w:ascii="Times New Roman" w:hAnsi="Times New Roman" w:cs="Times New Roman" w:eastAsia="Times New Roman" w:hint="default"/>
          <w:spacing w:val="-1"/>
        </w:rPr>
        <w:t>6,000</w:t>
      </w:r>
      <w:r>
        <w:rPr>
          <w:spacing w:val="-1"/>
        </w:rPr>
        <w:t>万股，公司注册资本、实收资</w:t>
      </w:r>
      <w:r>
        <w:rPr>
          <w:spacing w:val="-76"/>
        </w:rPr>
        <w:t> </w:t>
      </w:r>
      <w:r>
        <w:rPr>
          <w:spacing w:val="-76"/>
        </w:rPr>
      </w:r>
      <w:r>
        <w:rPr/>
        <w:t>本（股本）为</w:t>
      </w:r>
      <w:r>
        <w:rPr>
          <w:rFonts w:ascii="Times New Roman" w:hAnsi="Times New Roman" w:cs="Times New Roman" w:eastAsia="Times New Roman" w:hint="default"/>
        </w:rPr>
        <w:t>6,000</w:t>
      </w:r>
      <w:r>
        <w:rPr/>
        <w:t>万元，于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日在江苏省苏州工商行政管理局变更登记。</w:t>
      </w:r>
    </w:p>
    <w:p>
      <w:pPr>
        <w:pStyle w:val="BodyText"/>
        <w:spacing w:line="240" w:lineRule="auto" w:before="44"/>
        <w:ind w:left="513" w:right="1133"/>
        <w:jc w:val="left"/>
        <w:rPr>
          <w:rFonts w:ascii="Times New Roman" w:hAnsi="Times New Roman" w:cs="Times New Roman" w:eastAsia="Times New Roman" w:hint="default"/>
        </w:rPr>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日，本公司</w:t>
      </w:r>
      <w:r>
        <w:rPr>
          <w:rFonts w:ascii="Times New Roman" w:hAnsi="Times New Roman" w:cs="Times New Roman" w:eastAsia="Times New Roman" w:hint="default"/>
        </w:rPr>
        <w:t>2010</w:t>
      </w:r>
      <w:r>
        <w:rPr/>
        <w:t>年度股东大会决议，公司增加注册资本</w:t>
      </w:r>
      <w:r>
        <w:rPr>
          <w:rFonts w:ascii="Times New Roman" w:hAnsi="Times New Roman" w:cs="Times New Roman" w:eastAsia="Times New Roman" w:hint="default"/>
        </w:rPr>
        <w:t>2,200</w:t>
      </w:r>
      <w:r>
        <w:rPr/>
        <w:t>万元，由资本公积金</w:t>
      </w:r>
      <w:r>
        <w:rPr>
          <w:rFonts w:ascii="Times New Roman" w:hAnsi="Times New Roman" w:cs="Times New Roman" w:eastAsia="Times New Roman" w:hint="default"/>
        </w:rPr>
        <w:t>2,200</w:t>
      </w:r>
      <w:r>
        <w:rPr/>
        <w:t>万元转增股本</w:t>
      </w:r>
      <w:r>
        <w:rPr>
          <w:rFonts w:ascii="Times New Roman" w:hAnsi="Times New Roman" w:cs="Times New Roman" w:eastAsia="Times New Roman" w:hint="default"/>
        </w:rPr>
        <w:t>2,200</w:t>
      </w:r>
    </w:p>
    <w:p>
      <w:pPr>
        <w:spacing w:line="240" w:lineRule="auto" w:before="0"/>
        <w:rPr>
          <w:rFonts w:ascii="Times New Roman" w:hAnsi="Times New Roman" w:cs="Times New Roman" w:eastAsia="Times New Roman" w:hint="default"/>
          <w:sz w:val="19"/>
          <w:szCs w:val="19"/>
        </w:rPr>
      </w:pPr>
    </w:p>
    <w:p>
      <w:pPr>
        <w:pStyle w:val="BodyText"/>
        <w:spacing w:line="240" w:lineRule="auto"/>
        <w:ind w:right="1133"/>
        <w:jc w:val="left"/>
      </w:pPr>
      <w:r>
        <w:rPr/>
        <w:t>万股。转增股本后，公司注册资本、实收资本（股本）变更为</w:t>
      </w:r>
      <w:r>
        <w:rPr>
          <w:rFonts w:ascii="Times New Roman" w:hAnsi="Times New Roman" w:cs="Times New Roman" w:eastAsia="Times New Roman" w:hint="default"/>
        </w:rPr>
        <w:t>8,200</w:t>
      </w:r>
      <w:r>
        <w:rPr/>
        <w:t>万元。</w:t>
      </w:r>
    </w:p>
    <w:p>
      <w:pPr>
        <w:spacing w:line="240" w:lineRule="auto" w:before="9"/>
        <w:rPr>
          <w:rFonts w:ascii="宋体" w:hAnsi="宋体" w:cs="宋体" w:eastAsia="宋体" w:hint="default"/>
          <w:sz w:val="16"/>
          <w:szCs w:val="16"/>
        </w:rPr>
      </w:pPr>
    </w:p>
    <w:p>
      <w:pPr>
        <w:pStyle w:val="BodyText"/>
        <w:spacing w:line="451" w:lineRule="auto"/>
        <w:ind w:right="1124" w:firstLine="360"/>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23</w:t>
      </w:r>
      <w:r>
        <w:rPr/>
        <w:t>日，公司</w:t>
      </w:r>
      <w:r>
        <w:rPr>
          <w:rFonts w:ascii="Times New Roman" w:hAnsi="Times New Roman" w:cs="Times New Roman" w:eastAsia="Times New Roman" w:hint="default"/>
        </w:rPr>
        <w:t>2011</w:t>
      </w:r>
      <w:r>
        <w:rPr/>
        <w:t>年第一次临时股东大会决议，公司新增股份</w:t>
      </w:r>
      <w:r>
        <w:rPr>
          <w:rFonts w:ascii="Times New Roman" w:hAnsi="Times New Roman" w:cs="Times New Roman" w:eastAsia="Times New Roman" w:hint="default"/>
        </w:rPr>
        <w:t>800</w:t>
      </w:r>
      <w:r>
        <w:rPr/>
        <w:t>万股，增加注册资本</w:t>
      </w:r>
      <w:r>
        <w:rPr>
          <w:rFonts w:ascii="Times New Roman" w:hAnsi="Times New Roman" w:cs="Times New Roman" w:eastAsia="Times New Roman" w:hint="default"/>
        </w:rPr>
        <w:t>800</w:t>
      </w:r>
      <w:r>
        <w:rPr/>
        <w:t>万元。增资后，公司 注册资本、实收资本（股本）变更为</w:t>
      </w:r>
      <w:r>
        <w:rPr>
          <w:rFonts w:ascii="Times New Roman" w:hAnsi="Times New Roman" w:cs="Times New Roman" w:eastAsia="Times New Roman" w:hint="default"/>
        </w:rPr>
        <w:t>9,000</w:t>
      </w:r>
      <w:r>
        <w:rPr/>
        <w:t>万元。</w:t>
      </w:r>
    </w:p>
    <w:p>
      <w:pPr>
        <w:spacing w:after="0" w:line="451" w:lineRule="auto"/>
        <w:jc w:val="left"/>
        <w:sectPr>
          <w:footerReference w:type="default" r:id="rId20"/>
          <w:pgSz w:w="11910" w:h="16840"/>
          <w:pgMar w:footer="980" w:header="877" w:top="1100" w:bottom="1160" w:left="980" w:right="0"/>
          <w:pgNumType w:start="110"/>
        </w:sectPr>
      </w:pPr>
    </w:p>
    <w:p>
      <w:pPr>
        <w:spacing w:line="240" w:lineRule="auto" w:before="11"/>
        <w:rPr>
          <w:rFonts w:ascii="宋体" w:hAnsi="宋体" w:cs="宋体" w:eastAsia="宋体" w:hint="default"/>
          <w:sz w:val="27"/>
          <w:szCs w:val="27"/>
        </w:rPr>
      </w:pPr>
    </w:p>
    <w:p>
      <w:pPr>
        <w:pStyle w:val="BodyText"/>
        <w:spacing w:line="451" w:lineRule="auto" w:before="44"/>
        <w:ind w:right="1128" w:firstLine="36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11</w:t>
      </w:r>
      <w:r>
        <w:rPr/>
        <w:t>日，经中国证券监督管理委员会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[2016]1549</w:t>
      </w:r>
      <w:r>
        <w:rPr/>
        <w:t>号</w:t>
      </w:r>
      <w:r>
        <w:rPr>
          <w:rFonts w:ascii="Times New Roman" w:hAnsi="Times New Roman" w:cs="Times New Roman" w:eastAsia="Times New Roman" w:hint="default"/>
        </w:rPr>
        <w:t>”</w:t>
      </w:r>
      <w:r>
        <w:rPr/>
        <w:t>文核准，本公司于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月公开发行人民币普通 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3,000</w:t>
      </w:r>
      <w:r>
        <w:rPr/>
        <w:t>万股。发行后，公司注册资本、实收资本（股本）变更为</w:t>
      </w:r>
      <w:r>
        <w:rPr>
          <w:rFonts w:ascii="Times New Roman" w:hAnsi="Times New Roman" w:cs="Times New Roman" w:eastAsia="Times New Roman" w:hint="default"/>
        </w:rPr>
        <w:t>12,000</w:t>
      </w:r>
      <w:r>
        <w:rPr/>
        <w:t>万元。</w:t>
      </w:r>
    </w:p>
    <w:p>
      <w:pPr>
        <w:pStyle w:val="BodyText"/>
        <w:spacing w:line="240" w:lineRule="auto" w:before="43"/>
        <w:ind w:left="513" w:right="1133"/>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12</w:t>
      </w:r>
      <w:r>
        <w:rPr/>
        <w:t>日，本公司股票在深圳证券交易所中小板上市交易，证券简称：苏州恒久，股票代码：</w:t>
      </w:r>
      <w:r>
        <w:rPr>
          <w:rFonts w:ascii="Times New Roman" w:hAnsi="Times New Roman" w:cs="Times New Roman" w:eastAsia="Times New Roman" w:hint="default"/>
        </w:rPr>
        <w:t>002808</w:t>
      </w:r>
      <w:r>
        <w:rPr/>
        <w:t>。</w:t>
      </w:r>
    </w:p>
    <w:p>
      <w:pPr>
        <w:spacing w:line="240" w:lineRule="auto" w:before="9"/>
        <w:rPr>
          <w:rFonts w:ascii="宋体" w:hAnsi="宋体" w:cs="宋体" w:eastAsia="宋体" w:hint="default"/>
          <w:sz w:val="16"/>
          <w:szCs w:val="16"/>
        </w:rPr>
      </w:pPr>
    </w:p>
    <w:p>
      <w:pPr>
        <w:pStyle w:val="BodyText"/>
        <w:spacing w:line="451" w:lineRule="auto"/>
        <w:ind w:right="1179"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日，本公司</w:t>
      </w:r>
      <w:r>
        <w:rPr>
          <w:rFonts w:ascii="Times New Roman" w:hAnsi="Times New Roman" w:cs="Times New Roman" w:eastAsia="Times New Roman" w:hint="default"/>
        </w:rPr>
        <w:t>2016</w:t>
      </w:r>
      <w:r>
        <w:rPr/>
        <w:t>年度股东大会决议，公司增加注册资本</w:t>
      </w:r>
      <w:r>
        <w:rPr>
          <w:rFonts w:ascii="Times New Roman" w:hAnsi="Times New Roman" w:cs="Times New Roman" w:eastAsia="Times New Roman" w:hint="default"/>
        </w:rPr>
        <w:t>7,200</w:t>
      </w:r>
      <w:r>
        <w:rPr/>
        <w:t>万元，由资本公积</w:t>
      </w:r>
      <w:r>
        <w:rPr>
          <w:rFonts w:ascii="Times New Roman" w:hAnsi="Times New Roman" w:cs="Times New Roman" w:eastAsia="Times New Roman" w:hint="default"/>
        </w:rPr>
        <w:t>7,200</w:t>
      </w:r>
      <w:r>
        <w:rPr/>
        <w:t>万元转增股本</w:t>
      </w:r>
      <w:r>
        <w:rPr>
          <w:rFonts w:ascii="Times New Roman" w:hAnsi="Times New Roman" w:cs="Times New Roman" w:eastAsia="Times New Roman" w:hint="default"/>
        </w:rPr>
        <w:t>7,200</w:t>
      </w:r>
      <w:r>
        <w:rPr/>
        <w:t>万 股。转增股本后，公司注册资本、实收资本（股本）变更为</w:t>
      </w:r>
      <w:r>
        <w:rPr>
          <w:rFonts w:ascii="Times New Roman" w:hAnsi="Times New Roman" w:cs="Times New Roman" w:eastAsia="Times New Roman" w:hint="default"/>
        </w:rPr>
        <w:t>19,200</w:t>
      </w:r>
      <w:r>
        <w:rPr/>
        <w:t>万元。</w:t>
      </w:r>
    </w:p>
    <w:p>
      <w:pPr>
        <w:pStyle w:val="BodyText"/>
        <w:spacing w:line="240" w:lineRule="auto" w:before="43"/>
        <w:ind w:left="513" w:right="1133"/>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16</w:t>
      </w:r>
      <w:r>
        <w:rPr/>
        <w:t>日，公司变更证券简称为：恒久科技，股票代码保持不变：</w:t>
      </w:r>
      <w:r>
        <w:rPr>
          <w:rFonts w:ascii="Times New Roman" w:hAnsi="Times New Roman" w:cs="Times New Roman" w:eastAsia="Times New Roman" w:hint="default"/>
        </w:rPr>
        <w:t>002808</w:t>
      </w:r>
      <w:r>
        <w:rPr/>
        <w:t>。</w:t>
      </w:r>
    </w:p>
    <w:p>
      <w:pPr>
        <w:spacing w:line="240" w:lineRule="auto" w:before="9"/>
        <w:rPr>
          <w:rFonts w:ascii="宋体" w:hAnsi="宋体" w:cs="宋体" w:eastAsia="宋体" w:hint="default"/>
          <w:sz w:val="16"/>
          <w:szCs w:val="16"/>
        </w:rPr>
      </w:pPr>
    </w:p>
    <w:p>
      <w:pPr>
        <w:pStyle w:val="BodyText"/>
        <w:spacing w:line="451" w:lineRule="auto"/>
        <w:ind w:right="1179" w:firstLine="36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日，本公司</w:t>
      </w:r>
      <w:r>
        <w:rPr>
          <w:rFonts w:ascii="Times New Roman" w:hAnsi="Times New Roman" w:cs="Times New Roman" w:eastAsia="Times New Roman" w:hint="default"/>
        </w:rPr>
        <w:t>2018</w:t>
      </w:r>
      <w:r>
        <w:rPr/>
        <w:t>年度股东大会决议，公司增加注册资本</w:t>
      </w:r>
      <w:r>
        <w:rPr>
          <w:rFonts w:ascii="Times New Roman" w:hAnsi="Times New Roman" w:cs="Times New Roman" w:eastAsia="Times New Roman" w:hint="default"/>
        </w:rPr>
        <w:t>7,680</w:t>
      </w:r>
      <w:r>
        <w:rPr/>
        <w:t>万股，由资本公积</w:t>
      </w:r>
      <w:r>
        <w:rPr>
          <w:rFonts w:ascii="Times New Roman" w:hAnsi="Times New Roman" w:cs="Times New Roman" w:eastAsia="Times New Roman" w:hint="default"/>
        </w:rPr>
        <w:t>7,680</w:t>
      </w:r>
      <w:r>
        <w:rPr/>
        <w:t>万元转增股本</w:t>
      </w:r>
      <w:r>
        <w:rPr>
          <w:rFonts w:ascii="Times New Roman" w:hAnsi="Times New Roman" w:cs="Times New Roman" w:eastAsia="Times New Roman" w:hint="default"/>
        </w:rPr>
        <w:t>7,680</w:t>
      </w:r>
      <w:r>
        <w:rPr/>
        <w:t>万 股。转增股本后，公司注册资本、实收资本（股本）变更为</w:t>
      </w:r>
      <w:r>
        <w:rPr>
          <w:rFonts w:ascii="Times New Roman" w:hAnsi="Times New Roman" w:cs="Times New Roman" w:eastAsia="Times New Roman" w:hint="default"/>
        </w:rPr>
        <w:t>26,880</w:t>
      </w:r>
      <w:r>
        <w:rPr/>
        <w:t>万元。</w:t>
      </w:r>
    </w:p>
    <w:p>
      <w:pPr>
        <w:pStyle w:val="BodyText"/>
        <w:spacing w:line="456" w:lineRule="auto" w:before="43"/>
        <w:ind w:left="513" w:right="6783" w:hanging="361"/>
        <w:jc w:val="left"/>
      </w:pPr>
      <w:r>
        <w:rPr>
          <w:rFonts w:ascii="Times New Roman" w:hAnsi="Times New Roman" w:cs="Times New Roman" w:eastAsia="Times New Roman" w:hint="default"/>
          <w:b/>
          <w:bCs/>
        </w:rPr>
        <w:t>2</w:t>
      </w:r>
      <w:r>
        <w:rPr>
          <w:rFonts w:ascii="宋体" w:hAnsi="宋体" w:cs="宋体" w:eastAsia="宋体" w:hint="default"/>
          <w:b/>
          <w:bCs/>
        </w:rPr>
        <w:t>、公司注册地、总部地址</w:t>
      </w:r>
      <w:r>
        <w:rPr>
          <w:rFonts w:ascii="宋体" w:hAnsi="宋体" w:cs="宋体" w:eastAsia="宋体" w:hint="default"/>
          <w:b/>
          <w:bCs/>
          <w:w w:val="99"/>
        </w:rPr>
        <w:t> </w:t>
      </w:r>
      <w:r>
        <w:rPr/>
        <w:t>公司统一社会信用代码：</w:t>
      </w:r>
      <w:r>
        <w:rPr>
          <w:rFonts w:ascii="Times New Roman" w:hAnsi="Times New Roman" w:cs="Times New Roman" w:eastAsia="Times New Roman" w:hint="default"/>
        </w:rPr>
        <w:t>91320500737061190F</w:t>
      </w:r>
      <w:r>
        <w:rPr>
          <w:rFonts w:ascii="Times New Roman" w:hAnsi="Times New Roman" w:cs="Times New Roman" w:eastAsia="Times New Roman" w:hint="default"/>
          <w:w w:val="99"/>
        </w:rPr>
        <w:t> </w:t>
      </w:r>
      <w:r>
        <w:rPr/>
        <w:t>公司注册地：苏州市高新区火炬路</w:t>
      </w:r>
      <w:r>
        <w:rPr>
          <w:rFonts w:ascii="Times New Roman" w:hAnsi="Times New Roman" w:cs="Times New Roman" w:eastAsia="Times New Roman" w:hint="default"/>
        </w:rPr>
        <w:t>38</w:t>
      </w:r>
      <w:r>
        <w:rPr/>
        <w:t>号 公司总部地址：苏州市高新区火炬路</w:t>
      </w:r>
      <w:r>
        <w:rPr>
          <w:rFonts w:ascii="Times New Roman" w:hAnsi="Times New Roman" w:cs="Times New Roman" w:eastAsia="Times New Roman" w:hint="default"/>
        </w:rPr>
        <w:t>38</w:t>
      </w:r>
      <w:r>
        <w:rPr/>
        <w:t>号 法定代表人：余荣清 本公司的控股股东、实际控制人为余荣清。</w:t>
      </w:r>
    </w:p>
    <w:p>
      <w:pPr>
        <w:spacing w:line="451" w:lineRule="auto" w:before="70"/>
        <w:ind w:left="513" w:right="6383" w:hanging="36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、业务性质及主要经营活动</w:t>
      </w:r>
      <w:r>
        <w:rPr>
          <w:rFonts w:ascii="宋体" w:hAnsi="宋体" w:cs="宋体" w:eastAsia="宋体" w:hint="default"/>
          <w:b/>
          <w:bCs/>
          <w:w w:val="99"/>
          <w:sz w:val="18"/>
          <w:szCs w:val="18"/>
        </w:rPr>
        <w:t> </w:t>
      </w:r>
      <w:r>
        <w:rPr>
          <w:rFonts w:ascii="宋体" w:hAnsi="宋体" w:cs="宋体" w:eastAsia="宋体" w:hint="default"/>
          <w:sz w:val="18"/>
          <w:szCs w:val="18"/>
        </w:rPr>
        <w:t>公司行业性质</w:t>
      </w:r>
      <w:r>
        <w:rPr>
          <w:rFonts w:ascii="Times New Roman" w:hAnsi="Times New Roman" w:cs="Times New Roman" w:eastAsia="Times New Roman" w:hint="default"/>
          <w:sz w:val="18"/>
          <w:szCs w:val="18"/>
        </w:rPr>
        <w:t>:</w:t>
      </w:r>
      <w:r>
        <w:rPr>
          <w:rFonts w:ascii="宋体" w:hAnsi="宋体" w:cs="宋体" w:eastAsia="宋体" w:hint="default"/>
          <w:sz w:val="18"/>
          <w:szCs w:val="18"/>
        </w:rPr>
        <w:t>光电子器件及其他电子器件制造业。</w:t>
      </w:r>
    </w:p>
    <w:p>
      <w:pPr>
        <w:pStyle w:val="BodyText"/>
        <w:spacing w:line="477" w:lineRule="auto" w:before="43"/>
        <w:ind w:right="1129" w:firstLine="360"/>
        <w:jc w:val="both"/>
      </w:pPr>
      <w:r>
        <w:rPr>
          <w:spacing w:val="-2"/>
        </w:rPr>
        <w:t>公司经营范围：有机光导鼓系列产品、墨粉、粉盒及相关衍生产品的生产、经营；研发、生产、销售：光电子器件与组</w:t>
      </w:r>
      <w:r>
        <w:rPr/>
        <w:t> </w:t>
      </w:r>
      <w:r>
        <w:rPr>
          <w:spacing w:val="-2"/>
        </w:rPr>
        <w:t>件、计算机及其周边设备；自营和代理各类商品及技术的进出口业务。信息安全软件的研发与销售；信息安全系统集成；信</w:t>
      </w:r>
      <w:r>
        <w:rPr>
          <w:spacing w:val="-67"/>
        </w:rPr>
        <w:t> </w:t>
      </w:r>
      <w:r>
        <w:rPr>
          <w:spacing w:val="-67"/>
        </w:rPr>
      </w:r>
      <w:r>
        <w:rPr/>
        <w:t>息安全服务。</w:t>
      </w:r>
    </w:p>
    <w:p>
      <w:pPr>
        <w:pStyle w:val="BodyText"/>
        <w:spacing w:line="477" w:lineRule="auto" w:before="54"/>
        <w:ind w:left="513" w:right="3193"/>
        <w:jc w:val="left"/>
      </w:pPr>
      <w:r>
        <w:rPr/>
        <w:t>公司主要产品：有机光导鼓系列产品、信息安全软件、信息安全系统集成、信息安全服务。 本财务报表于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日经公司第四届董事会第十九次会议批准报出。</w:t>
      </w:r>
    </w:p>
    <w:p>
      <w:pPr>
        <w:spacing w:line="451" w:lineRule="auto" w:before="21"/>
        <w:ind w:left="265" w:right="5601" w:hanging="113"/>
        <w:jc w:val="left"/>
        <w:rPr>
          <w:rFonts w:ascii="宋体" w:hAnsi="宋体" w:cs="宋体" w:eastAsia="宋体" w:hint="default"/>
          <w:sz w:val="18"/>
          <w:szCs w:val="18"/>
        </w:rPr>
      </w:pPr>
      <w:r>
        <w:rPr/>
        <w:pict>
          <v:shape style="position:absolute;margin-left:84.143997pt;margin-top:43.481747pt;width:427.3pt;height:154.5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114"/>
                    <w:gridCol w:w="2417"/>
                  </w:tblGrid>
                  <w:tr>
                    <w:trPr>
                      <w:trHeight w:val="341" w:hRule="exact"/>
                    </w:trPr>
                    <w:tc>
                      <w:tcPr>
                        <w:tcW w:w="6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r>
                  <w:tr>
                    <w:trPr>
                      <w:trHeight w:val="343" w:hRule="exact"/>
                    </w:trPr>
                    <w:tc>
                      <w:tcPr>
                        <w:tcW w:w="6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苏州吴中恒久光电子科技有限公司</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r>
                  <w:tr>
                    <w:trPr>
                      <w:trHeight w:val="341" w:hRule="exact"/>
                    </w:trPr>
                    <w:tc>
                      <w:tcPr>
                        <w:tcW w:w="6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GOLDENGREEN TECHNOLOGIES EU</w:t>
                        </w:r>
                        <w:r>
                          <w:rPr>
                            <w:rFonts w:ascii="Times New Roman"/>
                            <w:spacing w:val="-12"/>
                            <w:sz w:val="18"/>
                          </w:rPr>
                          <w:t> </w:t>
                        </w:r>
                        <w:r>
                          <w:rPr>
                            <w:rFonts w:ascii="Times New Roman"/>
                            <w:sz w:val="18"/>
                          </w:rPr>
                          <w:t>LIMITED</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r>
                  <w:tr>
                    <w:trPr>
                      <w:trHeight w:val="343" w:hRule="exact"/>
                    </w:trPr>
                    <w:tc>
                      <w:tcPr>
                        <w:tcW w:w="6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GOLDENGREEN TECHNOLOGIES INTERNATIONAL</w:t>
                        </w:r>
                        <w:r>
                          <w:rPr>
                            <w:rFonts w:ascii="Times New Roman"/>
                            <w:spacing w:val="-11"/>
                            <w:sz w:val="18"/>
                          </w:rPr>
                          <w:t> </w:t>
                        </w:r>
                        <w:r>
                          <w:rPr>
                            <w:rFonts w:ascii="Times New Roman"/>
                            <w:sz w:val="18"/>
                          </w:rPr>
                          <w:t>LIMITED</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全资孙公司</w:t>
                        </w:r>
                      </w:p>
                    </w:tc>
                  </w:tr>
                  <w:tr>
                    <w:trPr>
                      <w:trHeight w:val="341" w:hRule="exact"/>
                    </w:trPr>
                    <w:tc>
                      <w:tcPr>
                        <w:tcW w:w="6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GLOBAL IMAGING SYSTEM</w:t>
                        </w:r>
                        <w:r>
                          <w:rPr>
                            <w:rFonts w:ascii="Times New Roman"/>
                            <w:spacing w:val="-11"/>
                            <w:sz w:val="18"/>
                          </w:rPr>
                          <w:t> </w:t>
                        </w:r>
                        <w:r>
                          <w:rPr>
                            <w:rFonts w:ascii="Times New Roman"/>
                            <w:sz w:val="18"/>
                          </w:rPr>
                          <w:t>LIMITED</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r>
                  <w:tr>
                    <w:trPr>
                      <w:trHeight w:val="343" w:hRule="exact"/>
                    </w:trPr>
                    <w:tc>
                      <w:tcPr>
                        <w:tcW w:w="6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苏州恒久数码科技有限公司</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r>
                  <w:tr>
                    <w:trPr>
                      <w:trHeight w:val="341" w:hRule="exact"/>
                    </w:trPr>
                    <w:tc>
                      <w:tcPr>
                        <w:tcW w:w="6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苏州恒久商业保理有限公司</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r>
                  <w:tr>
                    <w:trPr>
                      <w:trHeight w:val="343" w:hRule="exact"/>
                    </w:trPr>
                    <w:tc>
                      <w:tcPr>
                        <w:tcW w:w="6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苏州恒久高新产业发展有限公司</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r>
                  <w:tr>
                    <w:trPr>
                      <w:trHeight w:val="343" w:hRule="exact"/>
                    </w:trPr>
                    <w:tc>
                      <w:tcPr>
                        <w:tcW w:w="6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苏州恒久影像科技有限公司</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r>
                </w:tbl>
                <w:p>
                  <w:pPr/>
                </w:p>
              </w:txbxContent>
            </v:textbox>
            <w10:wrap type="none"/>
          </v:shape>
        </w:pic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、合并财务报表范围</w:t>
      </w:r>
      <w:r>
        <w:rPr>
          <w:rFonts w:ascii="宋体" w:hAnsi="宋体" w:cs="宋体" w:eastAsia="宋体" w:hint="default"/>
          <w:b/>
          <w:bCs/>
          <w:w w:val="99"/>
          <w:sz w:val="18"/>
          <w:szCs w:val="18"/>
        </w:rPr>
        <w:t> </w:t>
      </w:r>
      <w:r>
        <w:rPr>
          <w:rFonts w:ascii="宋体" w:hAnsi="宋体" w:cs="宋体" w:eastAsia="宋体" w:hint="default"/>
          <w:sz w:val="18"/>
          <w:szCs w:val="18"/>
        </w:rPr>
        <w:t>截至</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日止，本公司合并财务报表范围内公司如下：</w:t>
      </w:r>
    </w:p>
    <w:p>
      <w:pPr>
        <w:spacing w:after="0" w:line="451"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702" w:type="dxa"/>
        <w:tblLayout w:type="fixed"/>
        <w:tblCellMar>
          <w:top w:w="0" w:type="dxa"/>
          <w:left w:w="0" w:type="dxa"/>
          <w:bottom w:w="0" w:type="dxa"/>
          <w:right w:w="0" w:type="dxa"/>
        </w:tblCellMar>
        <w:tblLook w:val="01E0"/>
      </w:tblPr>
      <w:tblGrid>
        <w:gridCol w:w="6114"/>
        <w:gridCol w:w="2417"/>
      </w:tblGrid>
      <w:tr>
        <w:trPr>
          <w:trHeight w:val="341" w:hRule="exact"/>
        </w:trPr>
        <w:tc>
          <w:tcPr>
            <w:tcW w:w="6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苏州恒久丰德新能源技术有限公司</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53" w:right="0"/>
              <w:jc w:val="left"/>
              <w:rPr>
                <w:rFonts w:ascii="宋体" w:hAnsi="宋体" w:cs="宋体" w:eastAsia="宋体" w:hint="default"/>
                <w:sz w:val="18"/>
                <w:szCs w:val="18"/>
              </w:rPr>
            </w:pPr>
            <w:r>
              <w:rPr>
                <w:rFonts w:ascii="宋体" w:hAnsi="宋体" w:cs="宋体" w:eastAsia="宋体" w:hint="default"/>
                <w:sz w:val="18"/>
                <w:szCs w:val="18"/>
              </w:rPr>
              <w:t>全资子公司</w:t>
            </w:r>
          </w:p>
        </w:tc>
      </w:tr>
      <w:tr>
        <w:trPr>
          <w:trHeight w:val="344" w:hRule="exact"/>
        </w:trPr>
        <w:tc>
          <w:tcPr>
            <w:tcW w:w="6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福建省闽保信息技术有限公司</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53" w:right="0"/>
              <w:jc w:val="left"/>
              <w:rPr>
                <w:rFonts w:ascii="宋体" w:hAnsi="宋体" w:cs="宋体" w:eastAsia="宋体" w:hint="default"/>
                <w:sz w:val="18"/>
                <w:szCs w:val="18"/>
              </w:rPr>
            </w:pPr>
            <w:r>
              <w:rPr>
                <w:rFonts w:ascii="宋体" w:hAnsi="宋体" w:cs="宋体" w:eastAsia="宋体" w:hint="default"/>
                <w:sz w:val="18"/>
                <w:szCs w:val="18"/>
              </w:rPr>
              <w:t>控股子公司</w:t>
            </w:r>
          </w:p>
        </w:tc>
      </w:tr>
      <w:tr>
        <w:trPr>
          <w:trHeight w:val="341" w:hRule="exact"/>
        </w:trPr>
        <w:tc>
          <w:tcPr>
            <w:tcW w:w="6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福建闽保信安信息技术有限公司</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53" w:right="0"/>
              <w:jc w:val="left"/>
              <w:rPr>
                <w:rFonts w:ascii="宋体" w:hAnsi="宋体" w:cs="宋体" w:eastAsia="宋体" w:hint="default"/>
                <w:sz w:val="18"/>
                <w:szCs w:val="18"/>
              </w:rPr>
            </w:pPr>
            <w:r>
              <w:rPr>
                <w:rFonts w:ascii="宋体" w:hAnsi="宋体" w:cs="宋体" w:eastAsia="宋体" w:hint="default"/>
                <w:sz w:val="18"/>
                <w:szCs w:val="18"/>
              </w:rPr>
              <w:t>控股孙公司</w:t>
            </w:r>
          </w:p>
        </w:tc>
      </w:tr>
      <w:tr>
        <w:trPr>
          <w:trHeight w:val="343" w:hRule="exact"/>
        </w:trPr>
        <w:tc>
          <w:tcPr>
            <w:tcW w:w="6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福建闽保军安电子科技有限公司</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53" w:right="0"/>
              <w:jc w:val="left"/>
              <w:rPr>
                <w:rFonts w:ascii="宋体" w:hAnsi="宋体" w:cs="宋体" w:eastAsia="宋体" w:hint="default"/>
                <w:sz w:val="18"/>
                <w:szCs w:val="18"/>
              </w:rPr>
            </w:pPr>
            <w:r>
              <w:rPr>
                <w:rFonts w:ascii="宋体" w:hAnsi="宋体" w:cs="宋体" w:eastAsia="宋体" w:hint="default"/>
                <w:sz w:val="18"/>
                <w:szCs w:val="18"/>
              </w:rPr>
              <w:t>控股孙公司</w:t>
            </w:r>
          </w:p>
        </w:tc>
      </w:tr>
      <w:tr>
        <w:trPr>
          <w:trHeight w:val="341" w:hRule="exact"/>
        </w:trPr>
        <w:tc>
          <w:tcPr>
            <w:tcW w:w="6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北京宏图金信信息技术有限公司</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53" w:right="0"/>
              <w:jc w:val="left"/>
              <w:rPr>
                <w:rFonts w:ascii="宋体" w:hAnsi="宋体" w:cs="宋体" w:eastAsia="宋体" w:hint="default"/>
                <w:sz w:val="18"/>
                <w:szCs w:val="18"/>
              </w:rPr>
            </w:pPr>
            <w:r>
              <w:rPr>
                <w:rFonts w:ascii="宋体" w:hAnsi="宋体" w:cs="宋体" w:eastAsia="宋体" w:hint="default"/>
                <w:sz w:val="18"/>
                <w:szCs w:val="18"/>
              </w:rPr>
              <w:t>控股孙公司</w:t>
            </w:r>
          </w:p>
        </w:tc>
      </w:tr>
      <w:tr>
        <w:trPr>
          <w:trHeight w:val="343" w:hRule="exact"/>
        </w:trPr>
        <w:tc>
          <w:tcPr>
            <w:tcW w:w="6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湖南超互信息技术有限公司</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53" w:right="0"/>
              <w:jc w:val="left"/>
              <w:rPr>
                <w:rFonts w:ascii="宋体" w:hAnsi="宋体" w:cs="宋体" w:eastAsia="宋体" w:hint="default"/>
                <w:sz w:val="18"/>
                <w:szCs w:val="18"/>
              </w:rPr>
            </w:pPr>
            <w:r>
              <w:rPr>
                <w:rFonts w:ascii="宋体" w:hAnsi="宋体" w:cs="宋体" w:eastAsia="宋体" w:hint="default"/>
                <w:sz w:val="18"/>
                <w:szCs w:val="18"/>
              </w:rPr>
              <w:t>控股孙公司</w:t>
            </w:r>
          </w:p>
        </w:tc>
      </w:tr>
    </w:tbl>
    <w:p>
      <w:pPr>
        <w:pStyle w:val="BodyText"/>
        <w:spacing w:line="240" w:lineRule="auto" w:before="87"/>
        <w:ind w:right="1133"/>
        <w:jc w:val="left"/>
      </w:pPr>
      <w:r>
        <w:rPr/>
        <w:t>本期合并财务报表范围及其变化情况详见本附注</w:t>
      </w:r>
      <w:r>
        <w:rPr>
          <w:rFonts w:ascii="Times New Roman" w:hAnsi="Times New Roman" w:cs="Times New Roman" w:eastAsia="Times New Roman" w:hint="default"/>
        </w:rPr>
        <w:t>“</w:t>
      </w:r>
      <w:r>
        <w:rPr/>
        <w:t>六、合并范围的变更</w:t>
      </w:r>
      <w:r>
        <w:rPr>
          <w:rFonts w:ascii="Times New Roman" w:hAnsi="Times New Roman" w:cs="Times New Roman" w:eastAsia="Times New Roman" w:hint="default"/>
        </w:rPr>
        <w:t>”  </w:t>
      </w:r>
      <w:r>
        <w:rPr/>
        <w:t>和</w:t>
      </w:r>
      <w:r>
        <w:rPr>
          <w:spacing w:val="-1"/>
        </w:rPr>
        <w:t> </w:t>
      </w:r>
      <w:r>
        <w:rPr>
          <w:rFonts w:ascii="Times New Roman" w:hAnsi="Times New Roman" w:cs="Times New Roman" w:eastAsia="Times New Roman" w:hint="default"/>
        </w:rPr>
        <w:t>“</w:t>
      </w:r>
      <w:r>
        <w:rPr/>
        <w:t>七、在其他主体中的权益</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pStyle w:val="Heading2"/>
        <w:spacing w:line="240" w:lineRule="auto" w:before="158"/>
        <w:ind w:right="1133"/>
        <w:jc w:val="left"/>
        <w:rPr>
          <w:b w:val="0"/>
          <w:bCs w:val="0"/>
        </w:rPr>
      </w:pPr>
      <w:r>
        <w:rPr/>
        <w:t>四、财务报表的编制基础</w:t>
      </w:r>
      <w:r>
        <w:rPr>
          <w:b w:val="0"/>
          <w:bCs w:val="0"/>
        </w:rPr>
      </w:r>
    </w:p>
    <w:p>
      <w:pPr>
        <w:spacing w:line="240" w:lineRule="auto" w:before="7"/>
        <w:rPr>
          <w:rFonts w:ascii="宋体" w:hAnsi="宋体" w:cs="宋体" w:eastAsia="宋体" w:hint="default"/>
          <w:b/>
          <w:bCs/>
          <w:sz w:val="32"/>
          <w:szCs w:val="32"/>
        </w:rPr>
      </w:pPr>
    </w:p>
    <w:p>
      <w:pPr>
        <w:pStyle w:val="Heading4"/>
        <w:spacing w:line="240" w:lineRule="auto"/>
        <w:ind w:left="152" w:right="1133"/>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9"/>
        <w:rPr>
          <w:rFonts w:ascii="宋体" w:hAnsi="宋体" w:cs="宋体" w:eastAsia="宋体" w:hint="default"/>
          <w:b/>
          <w:bCs/>
          <w:sz w:val="16"/>
          <w:szCs w:val="16"/>
        </w:rPr>
      </w:pPr>
    </w:p>
    <w:p>
      <w:pPr>
        <w:pStyle w:val="BodyText"/>
        <w:spacing w:line="240" w:lineRule="auto"/>
        <w:ind w:left="513" w:right="0"/>
        <w:jc w:val="left"/>
      </w:pPr>
      <w:r>
        <w:rPr>
          <w:spacing w:val="-4"/>
        </w:rPr>
        <w:t>本公司财务报表以持续经营假设为基础，根据实际发生的交易和事项，按照财政部发布的《企业会计准则</w:t>
      </w:r>
      <w:r>
        <w:rPr>
          <w:rFonts w:ascii="Times New Roman" w:hAnsi="Times New Roman" w:cs="Times New Roman" w:eastAsia="Times New Roman" w:hint="default"/>
          <w:spacing w:val="-4"/>
        </w:rPr>
        <w:t>——</w:t>
      </w:r>
      <w:r>
        <w:rPr>
          <w:spacing w:val="-4"/>
        </w:rPr>
        <w:t>基本准则》</w:t>
      </w:r>
    </w:p>
    <w:p>
      <w:pPr>
        <w:spacing w:line="240" w:lineRule="auto" w:before="10"/>
        <w:rPr>
          <w:rFonts w:ascii="宋体" w:hAnsi="宋体" w:cs="宋体" w:eastAsia="宋体" w:hint="default"/>
          <w:sz w:val="16"/>
          <w:szCs w:val="16"/>
        </w:rPr>
      </w:pPr>
    </w:p>
    <w:p>
      <w:pPr>
        <w:pStyle w:val="BodyText"/>
        <w:spacing w:line="451" w:lineRule="auto"/>
        <w:ind w:right="1131"/>
        <w:jc w:val="both"/>
      </w:pPr>
      <w:r>
        <w:rPr/>
        <w:t>（财政部令第</w:t>
      </w:r>
      <w:r>
        <w:rPr>
          <w:rFonts w:ascii="Times New Roman" w:hAnsi="Times New Roman" w:cs="Times New Roman" w:eastAsia="Times New Roman" w:hint="default"/>
        </w:rPr>
        <w:t>33</w:t>
      </w:r>
      <w:r>
        <w:rPr/>
        <w:t>号发布、财政部令第</w:t>
      </w:r>
      <w:r>
        <w:rPr>
          <w:rFonts w:ascii="Times New Roman" w:hAnsi="Times New Roman" w:cs="Times New Roman" w:eastAsia="Times New Roman" w:hint="default"/>
        </w:rPr>
        <w:t>76</w:t>
      </w:r>
      <w:r>
        <w:rPr/>
        <w:t>号修订）、于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日及其后颁布和修订的具体会计准则、企业会计准则应用 </w:t>
      </w:r>
      <w:r>
        <w:rPr>
          <w:spacing w:val="-2"/>
        </w:rPr>
        <w:t>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），以及中国证券监督管理委员会《公开发行证券的公</w:t>
      </w:r>
      <w:r>
        <w:rPr>
          <w:spacing w:val="-46"/>
        </w:rPr>
        <w:t> </w:t>
      </w:r>
      <w:r>
        <w:rPr>
          <w:spacing w:val="-46"/>
        </w:rPr>
      </w:r>
      <w:r>
        <w:rPr/>
        <w:t>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年修订）的披露规定编制。</w:t>
      </w:r>
    </w:p>
    <w:p>
      <w:pPr>
        <w:pStyle w:val="BodyText"/>
        <w:spacing w:line="477" w:lineRule="auto" w:before="43"/>
        <w:ind w:right="1129" w:firstLine="360"/>
        <w:jc w:val="left"/>
      </w:pPr>
      <w:r>
        <w:rPr>
          <w:spacing w:val="-2"/>
        </w:rPr>
        <w:t>根据企业会计准则的相关规定，本公司会计核算以权责发生制为基础。除某些金融工具外，本财务报表均以历史成本为</w:t>
      </w:r>
      <w:r>
        <w:rPr/>
        <w:t> 计量基础。资产如果发生减值，则按照相关规定计提相应的减值准备。</w:t>
      </w:r>
    </w:p>
    <w:p>
      <w:pPr>
        <w:pStyle w:val="Heading4"/>
        <w:spacing w:line="240" w:lineRule="auto" w:before="54"/>
        <w:ind w:left="152" w:right="1133"/>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9"/>
        <w:rPr>
          <w:rFonts w:ascii="宋体" w:hAnsi="宋体" w:cs="宋体" w:eastAsia="宋体" w:hint="default"/>
          <w:b/>
          <w:bCs/>
          <w:sz w:val="16"/>
          <w:szCs w:val="16"/>
        </w:rPr>
      </w:pPr>
    </w:p>
    <w:p>
      <w:pPr>
        <w:pStyle w:val="BodyText"/>
        <w:spacing w:line="240" w:lineRule="auto"/>
        <w:ind w:left="513" w:right="1133"/>
        <w:jc w:val="left"/>
      </w:pPr>
      <w:r>
        <w:rPr/>
        <w:t>公司自本报告期末至少</w:t>
      </w:r>
      <w:r>
        <w:rPr>
          <w:rFonts w:ascii="Times New Roman" w:hAnsi="Times New Roman" w:cs="Times New Roman" w:eastAsia="Times New Roman" w:hint="default"/>
        </w:rPr>
        <w:t>12</w:t>
      </w:r>
      <w:r>
        <w:rPr/>
        <w:t>个月内具备持续经营能力，无影响持续经营能力的重大事项。</w:t>
      </w:r>
    </w:p>
    <w:p>
      <w:pPr>
        <w:spacing w:line="240" w:lineRule="auto" w:before="0"/>
        <w:rPr>
          <w:rFonts w:ascii="宋体" w:hAnsi="宋体" w:cs="宋体" w:eastAsia="宋体" w:hint="default"/>
          <w:sz w:val="18"/>
          <w:szCs w:val="18"/>
        </w:rPr>
      </w:pPr>
    </w:p>
    <w:p>
      <w:pPr>
        <w:pStyle w:val="Heading2"/>
        <w:spacing w:line="240" w:lineRule="auto" w:before="158"/>
        <w:ind w:right="1133"/>
        <w:jc w:val="left"/>
        <w:rPr>
          <w:b w:val="0"/>
          <w:bCs w:val="0"/>
        </w:rPr>
      </w:pPr>
      <w:r>
        <w:rPr/>
        <w:t>五、重要会计政策及会计估计</w:t>
      </w:r>
      <w:r>
        <w:rPr>
          <w:b w:val="0"/>
          <w:bCs w:val="0"/>
        </w:rPr>
      </w:r>
    </w:p>
    <w:p>
      <w:pPr>
        <w:spacing w:line="240" w:lineRule="auto" w:before="4"/>
        <w:rPr>
          <w:rFonts w:ascii="宋体" w:hAnsi="宋体" w:cs="宋体" w:eastAsia="宋体" w:hint="default"/>
          <w:b/>
          <w:bCs/>
          <w:sz w:val="26"/>
          <w:szCs w:val="26"/>
        </w:rPr>
      </w:pPr>
    </w:p>
    <w:p>
      <w:pPr>
        <w:pStyle w:val="BodyText"/>
        <w:spacing w:line="460" w:lineRule="auto"/>
        <w:ind w:right="1129"/>
        <w:jc w:val="left"/>
      </w:pPr>
      <w:r>
        <w:rPr/>
        <w:t>具体会计政策和会计估计提示： 本公司下列重要会计政策、会计估计均根据企业会计准则制定、未提及的业务按企业会计准则中相关会计政策执行。 </w:t>
      </w:r>
      <w:r>
        <w:rPr>
          <w:rFonts w:ascii="Times New Roman" w:hAnsi="Times New Roman" w:cs="Times New Roman" w:eastAsia="Times New Roman" w:hint="default"/>
          <w:b/>
          <w:bCs/>
        </w:rPr>
        <w:t>1</w:t>
      </w:r>
      <w:r>
        <w:rPr>
          <w:rFonts w:ascii="宋体" w:hAnsi="宋体" w:cs="宋体" w:eastAsia="宋体" w:hint="default"/>
          <w:b/>
          <w:bCs/>
        </w:rPr>
        <w:t>、遵循企业会计准则的声明</w:t>
      </w:r>
      <w:r>
        <w:rPr>
          <w:rFonts w:ascii="宋体" w:hAnsi="宋体" w:cs="宋体" w:eastAsia="宋体" w:hint="default"/>
          <w:b/>
          <w:bCs/>
          <w:w w:val="99"/>
        </w:rPr>
        <w:t> </w:t>
      </w:r>
      <w:r>
        <w:rPr>
          <w:spacing w:val="-2"/>
        </w:rPr>
        <w:t>公司所编制的财务报表符合企业会计准则的要求，真实、完整地反映了报告期公司的财务状况、经营成果、现金流量等有关</w:t>
      </w:r>
      <w:r>
        <w:rPr>
          <w:spacing w:val="-66"/>
        </w:rPr>
        <w:t> </w:t>
      </w:r>
      <w:r>
        <w:rPr>
          <w:spacing w:val="-66"/>
        </w:rPr>
      </w:r>
      <w:r>
        <w:rPr/>
        <w:t>信息。</w:t>
      </w:r>
    </w:p>
    <w:p>
      <w:pPr>
        <w:spacing w:line="451" w:lineRule="auto" w:before="67"/>
        <w:ind w:left="152" w:right="7154"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、会计期间</w:t>
      </w:r>
      <w:r>
        <w:rPr>
          <w:rFonts w:ascii="宋体" w:hAnsi="宋体" w:cs="宋体" w:eastAsia="宋体" w:hint="default"/>
          <w:b/>
          <w:bCs/>
          <w:w w:val="99"/>
          <w:sz w:val="18"/>
          <w:szCs w:val="18"/>
        </w:rPr>
        <w:t> </w:t>
      </w:r>
      <w:r>
        <w:rPr>
          <w:rFonts w:ascii="宋体" w:hAnsi="宋体" w:cs="宋体" w:eastAsia="宋体" w:hint="default"/>
          <w:sz w:val="18"/>
          <w:szCs w:val="18"/>
        </w:rPr>
        <w:t>自公历</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日至</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日止为一个会计年度。 </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、营业周期</w:t>
      </w:r>
      <w:r>
        <w:rPr>
          <w:rFonts w:ascii="宋体" w:hAnsi="宋体" w:cs="宋体" w:eastAsia="宋体" w:hint="default"/>
          <w:sz w:val="18"/>
          <w:szCs w:val="18"/>
        </w:rPr>
      </w:r>
    </w:p>
    <w:p>
      <w:pPr>
        <w:pStyle w:val="BodyText"/>
        <w:spacing w:line="240" w:lineRule="auto" w:before="43"/>
        <w:ind w:right="1133"/>
        <w:jc w:val="left"/>
      </w:pPr>
      <w:r>
        <w:rPr/>
        <w:t>本公司营业周期为</w:t>
      </w:r>
      <w:r>
        <w:rPr>
          <w:rFonts w:ascii="Times New Roman" w:hAnsi="Times New Roman" w:cs="Times New Roman" w:eastAsia="Times New Roman" w:hint="default"/>
        </w:rPr>
        <w:t>12</w:t>
      </w:r>
      <w:r>
        <w:rPr/>
        <w:t>个月。</w:t>
      </w:r>
    </w:p>
    <w:p>
      <w:pPr>
        <w:spacing w:line="240" w:lineRule="auto" w:before="9"/>
        <w:rPr>
          <w:rFonts w:ascii="宋体" w:hAnsi="宋体" w:cs="宋体" w:eastAsia="宋体" w:hint="default"/>
          <w:sz w:val="16"/>
          <w:szCs w:val="16"/>
        </w:rPr>
      </w:pPr>
    </w:p>
    <w:p>
      <w:pPr>
        <w:pStyle w:val="BodyText"/>
        <w:spacing w:line="463" w:lineRule="auto"/>
        <w:ind w:right="4094"/>
        <w:jc w:val="left"/>
      </w:pPr>
      <w:r>
        <w:rPr>
          <w:rFonts w:ascii="Times New Roman" w:hAnsi="Times New Roman" w:cs="Times New Roman" w:eastAsia="Times New Roman" w:hint="default"/>
          <w:b/>
          <w:bCs/>
        </w:rPr>
        <w:t>4</w:t>
      </w:r>
      <w:r>
        <w:rPr>
          <w:rFonts w:ascii="宋体" w:hAnsi="宋体" w:cs="宋体" w:eastAsia="宋体" w:hint="default"/>
          <w:b/>
          <w:bCs/>
        </w:rPr>
        <w:t>、记账本位币</w:t>
      </w:r>
      <w:r>
        <w:rPr>
          <w:rFonts w:ascii="宋体" w:hAnsi="宋体" w:cs="宋体" w:eastAsia="宋体" w:hint="default"/>
          <w:b/>
          <w:bCs/>
          <w:w w:val="99"/>
        </w:rPr>
        <w:t> </w:t>
      </w:r>
      <w:r>
        <w:rPr/>
        <w:t>本公司及境内子公司采用人民币为记账本位币，境外子公司采用美元为记账本位币。 本公司编制本财务报表时所采用的货币为人民币。</w:t>
      </w:r>
    </w:p>
    <w:p>
      <w:pPr>
        <w:spacing w:after="0" w:line="463"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Heading4"/>
        <w:spacing w:line="240" w:lineRule="auto" w:before="44"/>
        <w:ind w:left="152" w:right="1133"/>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9"/>
        <w:rPr>
          <w:rFonts w:ascii="宋体" w:hAnsi="宋体" w:cs="宋体" w:eastAsia="宋体" w:hint="default"/>
          <w:b/>
          <w:bCs/>
          <w:sz w:val="16"/>
          <w:szCs w:val="16"/>
        </w:rPr>
      </w:pPr>
    </w:p>
    <w:p>
      <w:pPr>
        <w:pStyle w:val="BodyText"/>
        <w:spacing w:line="451" w:lineRule="auto"/>
        <w:ind w:left="513" w:right="1129"/>
        <w:jc w:val="left"/>
      </w:pPr>
      <w:r>
        <w:rPr>
          <w:rFonts w:ascii="Times New Roman" w:hAnsi="Times New Roman" w:cs="Times New Roman" w:eastAsia="Times New Roman" w:hint="default"/>
        </w:rPr>
        <w:t>1</w:t>
      </w:r>
      <w:r>
        <w:rPr/>
        <w:t>、同一控制下的企业合并 </w:t>
      </w:r>
      <w:r>
        <w:rPr>
          <w:spacing w:val="-2"/>
        </w:rPr>
        <w:t>参与合并的企业在合并前后均受同一方或相同的多方最终控制且该控制并非暂时性的，为同一控制下的企业合并。通常</w:t>
      </w:r>
    </w:p>
    <w:p>
      <w:pPr>
        <w:pStyle w:val="BodyText"/>
        <w:spacing w:line="477" w:lineRule="auto" w:before="74"/>
        <w:ind w:right="1129"/>
        <w:jc w:val="left"/>
      </w:pPr>
      <w:r>
        <w:rPr>
          <w:spacing w:val="-2"/>
        </w:rPr>
        <w:t>情况下，同一控制下的企业合并是指发生在同一企业公司内部企业之间的合并，除此之外，一般不作为同一控制下的企业合</w:t>
      </w:r>
      <w:r>
        <w:rPr>
          <w:spacing w:val="-63"/>
        </w:rPr>
        <w:t> </w:t>
      </w:r>
      <w:r>
        <w:rPr>
          <w:spacing w:val="-63"/>
        </w:rPr>
      </w:r>
      <w:r>
        <w:rPr/>
        <w:t>并。</w:t>
      </w:r>
    </w:p>
    <w:p>
      <w:pPr>
        <w:pStyle w:val="BodyText"/>
        <w:spacing w:line="477" w:lineRule="auto" w:before="54"/>
        <w:ind w:right="0" w:firstLine="360"/>
        <w:jc w:val="left"/>
      </w:pPr>
      <w:r>
        <w:rPr>
          <w:spacing w:val="-4"/>
        </w:rPr>
        <w:t>本公司作为合并方在企业合并中取得的资产、负债，按照合并日被合并方在最终控制方合并财务报表中的账面价值计量。</w:t>
      </w:r>
      <w:r>
        <w:rPr/>
        <w:t> </w:t>
      </w:r>
      <w:r>
        <w:rPr>
          <w:spacing w:val="-2"/>
        </w:rPr>
        <w:t>同一控制下的控股合并形成的长期股权投资，本公司以合并日应享有被合并方账面所有者权益的份额作为形成长期股权投资</w:t>
      </w:r>
      <w:r>
        <w:rPr>
          <w:spacing w:val="-64"/>
        </w:rPr>
        <w:t> </w:t>
      </w:r>
      <w:r>
        <w:rPr>
          <w:spacing w:val="-64"/>
        </w:rPr>
      </w:r>
      <w:r>
        <w:rPr>
          <w:spacing w:val="-2"/>
        </w:rPr>
        <w:t>的初始投资成本，相关会计处理见长期股权投资；同一控制下的吸收合并取得的资产、负债，本公司按照相关资产、负债在</w:t>
      </w:r>
      <w:r>
        <w:rPr>
          <w:spacing w:val="-67"/>
        </w:rPr>
        <w:t> </w:t>
      </w:r>
      <w:r>
        <w:rPr>
          <w:spacing w:val="-67"/>
        </w:rPr>
      </w:r>
      <w:r>
        <w:rPr>
          <w:spacing w:val="-2"/>
        </w:rPr>
        <w:t>被合并方的原账面价值入账。本公司取得的净资产账面价值与支付的合并对价账面价值（或发行股份面值总额）的差额，调</w:t>
      </w:r>
      <w:r>
        <w:rPr>
          <w:spacing w:val="-64"/>
        </w:rPr>
        <w:t> </w:t>
      </w:r>
      <w:r>
        <w:rPr>
          <w:spacing w:val="-64"/>
        </w:rPr>
      </w:r>
      <w:r>
        <w:rPr/>
        <w:t>整资本公积；资本公积不足冲减的，调整留存收益。</w:t>
      </w:r>
    </w:p>
    <w:p>
      <w:pPr>
        <w:pStyle w:val="BodyText"/>
        <w:spacing w:line="477" w:lineRule="auto" w:before="54"/>
        <w:ind w:right="1133" w:firstLine="360"/>
        <w:jc w:val="left"/>
      </w:pPr>
      <w:r>
        <w:rPr>
          <w:spacing w:val="-2"/>
        </w:rPr>
        <w:t>本公司作为合并方为进行企业合并发生的各项直接相关费用，包括支付的审计费用、评估费用、法律服务费等，于发生</w:t>
      </w:r>
      <w:r>
        <w:rPr/>
        <w:t> 时计入当期损益。</w:t>
      </w:r>
    </w:p>
    <w:p>
      <w:pPr>
        <w:pStyle w:val="BodyText"/>
        <w:spacing w:line="477" w:lineRule="auto" w:before="54"/>
        <w:ind w:right="1129" w:firstLine="360"/>
        <w:jc w:val="left"/>
      </w:pPr>
      <w:r>
        <w:rPr>
          <w:spacing w:val="-2"/>
        </w:rPr>
        <w:t>为企业合并发行的债券或承担其他债务支付的手续费、佣金等，计入所发行债券及其他债务的初始计量金额。企业合并</w:t>
      </w:r>
      <w:r>
        <w:rPr/>
        <w:t> 中发行权益性证券发生的手续费、佣金等费用，应当抵减权益性证券溢价收入，溢价收入不足冲减的，冲减留存收益。</w:t>
      </w:r>
    </w:p>
    <w:p>
      <w:pPr>
        <w:pStyle w:val="BodyText"/>
        <w:spacing w:line="477" w:lineRule="auto" w:before="54"/>
        <w:ind w:right="1129" w:firstLine="360"/>
        <w:jc w:val="left"/>
      </w:pPr>
      <w:r>
        <w:rPr>
          <w:spacing w:val="-2"/>
        </w:rPr>
        <w:t>同一控制下的控股合并形成母子关系的，母公司在合并日编制合并财务报表，包括合并资产负债表、合并利润表和合并</w:t>
      </w:r>
      <w:r>
        <w:rPr/>
        <w:t> 现金流量表。</w:t>
      </w:r>
    </w:p>
    <w:p>
      <w:pPr>
        <w:pStyle w:val="BodyText"/>
        <w:spacing w:line="468" w:lineRule="auto" w:before="54"/>
        <w:ind w:right="1129" w:firstLine="360"/>
        <w:jc w:val="both"/>
      </w:pPr>
      <w:r>
        <w:rPr>
          <w:spacing w:val="-2"/>
        </w:rPr>
        <w:t>合并资产负债表，以被合并方在最终控制方合并财务报表中的的账面价值并入合并财务报表，合并方与被合并方在合并</w:t>
      </w:r>
      <w:r>
        <w:rPr/>
        <w:t> </w:t>
      </w:r>
      <w:r>
        <w:rPr>
          <w:spacing w:val="-2"/>
        </w:rPr>
        <w:t>日及以前期间发生的交易，作为内部交易，按照</w:t>
      </w:r>
      <w:r>
        <w:rPr>
          <w:rFonts w:ascii="Times New Roman" w:hAnsi="Times New Roman" w:cs="Times New Roman" w:eastAsia="Times New Roman" w:hint="default"/>
          <w:spacing w:val="-2"/>
        </w:rPr>
        <w:t>“</w:t>
      </w:r>
      <w:r>
        <w:rPr>
          <w:spacing w:val="-2"/>
        </w:rPr>
        <w:t>合并财务报表</w:t>
      </w:r>
      <w:r>
        <w:rPr>
          <w:rFonts w:ascii="Times New Roman" w:hAnsi="Times New Roman" w:cs="Times New Roman" w:eastAsia="Times New Roman" w:hint="default"/>
          <w:spacing w:val="-2"/>
        </w:rPr>
        <w:t>”</w:t>
      </w:r>
      <w:r>
        <w:rPr>
          <w:spacing w:val="-2"/>
        </w:rPr>
        <w:t>有关原则进行抵消；合并利润表和现金流量表，包含合并方</w:t>
      </w:r>
      <w:r>
        <w:rPr>
          <w:spacing w:val="-41"/>
        </w:rPr>
        <w:t> </w:t>
      </w:r>
      <w:r>
        <w:rPr>
          <w:spacing w:val="-41"/>
        </w:rPr>
      </w:r>
      <w:r>
        <w:rPr>
          <w:spacing w:val="-2"/>
        </w:rPr>
        <w:t>及被合并方自合并当期期初至合并日实现的净利润和产生的现金流量，涉及双方在当期发生的交易及内部交易产生的现金流</w:t>
      </w:r>
      <w:r>
        <w:rPr>
          <w:spacing w:val="-63"/>
        </w:rPr>
        <w:t> </w:t>
      </w:r>
      <w:r>
        <w:rPr>
          <w:spacing w:val="-63"/>
        </w:rPr>
      </w:r>
      <w:r>
        <w:rPr/>
        <w:t>量，按照合并财务报表的有关原则进行抵消。</w:t>
      </w:r>
    </w:p>
    <w:p>
      <w:pPr>
        <w:pStyle w:val="BodyText"/>
        <w:spacing w:line="463" w:lineRule="auto" w:before="61"/>
        <w:ind w:left="513" w:right="1213"/>
        <w:jc w:val="left"/>
      </w:pPr>
      <w:r>
        <w:rPr>
          <w:rFonts w:ascii="Times New Roman" w:hAnsi="Times New Roman" w:cs="Times New Roman" w:eastAsia="Times New Roman" w:hint="default"/>
        </w:rPr>
        <w:t>2</w:t>
      </w:r>
      <w:r>
        <w:rPr/>
        <w:t>、非同一控制下的企业合并 参与合并的各方在合并前后不受同一方或相同的多方最终控制的，为非同一控制下的企业合并。 确定企业合并成本：企业合并成本包括购买方为进行企业合并支付的现金或非现金资产、发行或承担的债务、发行的</w:t>
      </w:r>
    </w:p>
    <w:p>
      <w:pPr>
        <w:pStyle w:val="BodyText"/>
        <w:spacing w:line="477" w:lineRule="auto" w:before="65"/>
        <w:ind w:left="513" w:right="1033" w:hanging="361"/>
        <w:jc w:val="left"/>
      </w:pPr>
      <w:r>
        <w:rPr/>
        <w:t>权益性证券等在购买日的公允价值。 非同一控制下的企业合并中，购买方为企业合并发生的审计、法律服务、评估咨询等中介费用以及其他相关管理费用，</w:t>
      </w:r>
    </w:p>
    <w:p>
      <w:pPr>
        <w:pStyle w:val="BodyText"/>
        <w:spacing w:line="477" w:lineRule="auto" w:before="54"/>
        <w:ind w:right="1129"/>
        <w:jc w:val="left"/>
      </w:pPr>
      <w:r>
        <w:rPr>
          <w:spacing w:val="-2"/>
        </w:rPr>
        <w:t>于发生时计入当期损益；购买方作为合并对价发行的权益性证券或债务性证券的交易费用，计入权益性证券或债务性证券的</w:t>
      </w:r>
      <w:r>
        <w:rPr>
          <w:spacing w:val="-62"/>
        </w:rPr>
        <w:t> </w:t>
      </w:r>
      <w:r>
        <w:rPr>
          <w:spacing w:val="-62"/>
        </w:rPr>
      </w:r>
      <w:r>
        <w:rPr/>
        <w:t>初始确认金额。</w:t>
      </w:r>
    </w:p>
    <w:p>
      <w:pPr>
        <w:pStyle w:val="BodyText"/>
        <w:spacing w:line="477" w:lineRule="auto" w:before="54"/>
        <w:ind w:right="1129" w:firstLine="360"/>
        <w:jc w:val="left"/>
      </w:pPr>
      <w:r>
        <w:rPr>
          <w:spacing w:val="-2"/>
        </w:rPr>
        <w:t>非同一控制下的控股合并取得的长期股权投资，本公司以购买日确定的企业合并成本（不包括应自被投资单位收取的现</w:t>
      </w:r>
      <w:r>
        <w:rPr/>
        <w:t> </w:t>
      </w:r>
      <w:r>
        <w:rPr>
          <w:spacing w:val="-2"/>
        </w:rPr>
        <w:t>金股利和利润），作为对被购买方长期股权投资的初始投资成本；非同一控制下的吸收合并取得的符合确认条件的各项可辨</w:t>
      </w:r>
    </w:p>
    <w:p>
      <w:pPr>
        <w:spacing w:after="0" w:line="477" w:lineRule="auto"/>
        <w:jc w:val="left"/>
        <w:sectPr>
          <w:pgSz w:w="11910" w:h="16840"/>
          <w:pgMar w:header="877" w:footer="980" w:top="1100" w:bottom="1160" w:left="980" w:right="0"/>
        </w:sectPr>
      </w:pPr>
    </w:p>
    <w:p>
      <w:pPr>
        <w:spacing w:line="240" w:lineRule="auto" w:before="11"/>
        <w:rPr>
          <w:rFonts w:ascii="宋体" w:hAnsi="宋体" w:cs="宋体" w:eastAsia="宋体" w:hint="default"/>
          <w:sz w:val="27"/>
          <w:szCs w:val="27"/>
        </w:rPr>
      </w:pPr>
    </w:p>
    <w:p>
      <w:pPr>
        <w:pStyle w:val="BodyText"/>
        <w:spacing w:line="477" w:lineRule="auto" w:before="44"/>
        <w:ind w:right="1131"/>
        <w:jc w:val="both"/>
      </w:pPr>
      <w:r>
        <w:rPr>
          <w:spacing w:val="-2"/>
        </w:rPr>
        <w:t>认资产、负债，本公司在购买日按照公允价值确认为本企业的资产和负债。本公司以非货币资产为对价取得被购买方的控制</w:t>
      </w:r>
      <w:r>
        <w:rPr>
          <w:spacing w:val="-66"/>
        </w:rPr>
        <w:t> </w:t>
      </w:r>
      <w:r>
        <w:rPr>
          <w:spacing w:val="-66"/>
        </w:rPr>
      </w:r>
      <w:r>
        <w:rPr>
          <w:spacing w:val="-2"/>
        </w:rPr>
        <w:t>权或各项可辨认资产、负债的，有关非货币资产在购买日的公允价值与其账面价值的差额，作为资产的处置损益，计入合并</w:t>
      </w:r>
      <w:r>
        <w:rPr>
          <w:spacing w:val="-64"/>
        </w:rPr>
        <w:t> </w:t>
      </w:r>
      <w:r>
        <w:rPr>
          <w:spacing w:val="-64"/>
        </w:rPr>
      </w:r>
      <w:r>
        <w:rPr/>
        <w:t>当期的利润表。</w:t>
      </w:r>
    </w:p>
    <w:p>
      <w:pPr>
        <w:pStyle w:val="BodyText"/>
        <w:spacing w:line="477" w:lineRule="auto" w:before="54"/>
        <w:ind w:right="1043" w:firstLine="360"/>
        <w:jc w:val="both"/>
      </w:pPr>
      <w:r>
        <w:rPr>
          <w:spacing w:val="-4"/>
        </w:rPr>
        <w:t>非同一控制下的企业合并中，企业合并成本大于合并中取得的被购买方可辨认净资产公允价值份额的差额，确认为商誉；</w:t>
      </w:r>
      <w:r>
        <w:rPr/>
        <w:t> </w:t>
      </w:r>
      <w:r>
        <w:rPr>
          <w:spacing w:val="-4"/>
        </w:rPr>
        <w:t>在吸收合并情况下，该差额在母公司个别财务报表中确认为商誉；在控股合并情况下，该差额在合并财务报表中列示为商誉。</w:t>
      </w:r>
    </w:p>
    <w:p>
      <w:pPr>
        <w:pStyle w:val="BodyText"/>
        <w:spacing w:line="477" w:lineRule="auto" w:before="54"/>
        <w:ind w:right="1132" w:firstLine="360"/>
        <w:jc w:val="both"/>
      </w:pPr>
      <w:r>
        <w:rPr>
          <w:spacing w:val="-2"/>
        </w:rPr>
        <w:t>企业合并成本小于合并中取得的被购买方可辨认净资产公允价值份额的差额，本公司经复核后计入合并当期损益（营业</w:t>
      </w:r>
      <w:r>
        <w:rPr/>
        <w:t> </w:t>
      </w:r>
      <w:r>
        <w:rPr>
          <w:spacing w:val="-2"/>
        </w:rPr>
        <w:t>外收入）。在吸收合并情况下，该差额计入合并当期母公司个别利润表；在控股合并情况下，该差额计入合并当期的合并利</w:t>
      </w:r>
      <w:r>
        <w:rPr>
          <w:spacing w:val="-67"/>
        </w:rPr>
        <w:t> </w:t>
      </w:r>
      <w:r>
        <w:rPr>
          <w:spacing w:val="-67"/>
        </w:rPr>
      </w:r>
      <w:r>
        <w:rPr/>
        <w:t>润表。</w:t>
      </w:r>
    </w:p>
    <w:p>
      <w:pPr>
        <w:pStyle w:val="BodyText"/>
        <w:spacing w:line="477" w:lineRule="auto" w:before="54"/>
        <w:ind w:right="1130" w:firstLine="360"/>
        <w:jc w:val="both"/>
      </w:pPr>
      <w:r>
        <w:rPr>
          <w:spacing w:val="-2"/>
        </w:rPr>
        <w:t>通过多次交换交易分步实现的非同一控制下企业合并，属于一揽子交易的，将各项交易作为一项取得控制权的交易进行</w:t>
      </w:r>
      <w:r>
        <w:rPr/>
        <w:t> </w:t>
      </w:r>
      <w:r>
        <w:rPr>
          <w:spacing w:val="-2"/>
        </w:rPr>
        <w:t>会计处理；不属于一揽子交易的，对于购买日之前持有的被购买方的股权，应当按照该股权在购买日的公允价值进行重新计</w:t>
      </w:r>
      <w:r>
        <w:rPr>
          <w:spacing w:val="-63"/>
        </w:rPr>
        <w:t> </w:t>
      </w:r>
      <w:r>
        <w:rPr>
          <w:spacing w:val="-63"/>
        </w:rPr>
      </w:r>
      <w:r>
        <w:rPr>
          <w:spacing w:val="-2"/>
        </w:rPr>
        <w:t>量，公允价值与其账面价值的差额计入当期投资收益；购买日之前持有的被购买方的股权涉及其他综合收益的，与其相关的</w:t>
      </w:r>
      <w:r>
        <w:rPr>
          <w:spacing w:val="-63"/>
        </w:rPr>
        <w:t> </w:t>
      </w:r>
      <w:r>
        <w:rPr>
          <w:spacing w:val="-63"/>
        </w:rPr>
      </w:r>
      <w:r>
        <w:rPr>
          <w:spacing w:val="-2"/>
        </w:rPr>
        <w:t>其他综合收益应当转为购买日所属当期投资收益，由于被投资方重新计量设定受益计划净负债或净资产变动而产生的其他综</w:t>
      </w:r>
      <w:r>
        <w:rPr>
          <w:spacing w:val="-64"/>
        </w:rPr>
        <w:t> </w:t>
      </w:r>
      <w:r>
        <w:rPr>
          <w:spacing w:val="-64"/>
        </w:rPr>
      </w:r>
      <w:r>
        <w:rPr/>
        <w:t>合收益除外。</w:t>
      </w:r>
    </w:p>
    <w:p>
      <w:pPr>
        <w:pStyle w:val="Heading4"/>
        <w:spacing w:line="240" w:lineRule="auto" w:before="54"/>
        <w:ind w:left="152" w:right="0"/>
        <w:jc w:val="both"/>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9"/>
        <w:rPr>
          <w:rFonts w:ascii="宋体" w:hAnsi="宋体" w:cs="宋体" w:eastAsia="宋体" w:hint="default"/>
          <w:b/>
          <w:bCs/>
          <w:sz w:val="16"/>
          <w:szCs w:val="16"/>
        </w:rPr>
      </w:pPr>
    </w:p>
    <w:p>
      <w:pPr>
        <w:pStyle w:val="BodyText"/>
        <w:spacing w:line="451" w:lineRule="auto"/>
        <w:ind w:left="513" w:right="1129"/>
        <w:jc w:val="left"/>
      </w:pPr>
      <w:r>
        <w:rPr>
          <w:rFonts w:ascii="Times New Roman" w:hAnsi="Times New Roman" w:cs="Times New Roman" w:eastAsia="Times New Roman" w:hint="default"/>
        </w:rPr>
        <w:t>1</w:t>
      </w:r>
      <w:r>
        <w:rPr/>
        <w:t>、合并范围 </w:t>
      </w:r>
      <w:r>
        <w:rPr>
          <w:spacing w:val="-2"/>
        </w:rPr>
        <w:t>合并财务报表的合并范围以控制为基础予以确定。控制，是指本公司拥有对被投资单位的权力，通过参与被投资单位的</w:t>
      </w:r>
    </w:p>
    <w:p>
      <w:pPr>
        <w:pStyle w:val="BodyText"/>
        <w:spacing w:line="477" w:lineRule="auto" w:before="74"/>
        <w:ind w:right="1130"/>
        <w:jc w:val="both"/>
      </w:pPr>
      <w:r>
        <w:rPr>
          <w:spacing w:val="-2"/>
        </w:rPr>
        <w:t>相关活动而享有可变回报，并且有能力运用对被投资单位的权力影响其回报金额。子公司，是指被本公司控制的主体（含企</w:t>
      </w:r>
      <w:r>
        <w:rPr>
          <w:spacing w:val="-63"/>
        </w:rPr>
        <w:t> </w:t>
      </w:r>
      <w:r>
        <w:rPr>
          <w:spacing w:val="-63"/>
        </w:rPr>
      </w:r>
      <w:r>
        <w:rPr/>
        <w:t>业、被投资单位中可分割的部分、结构化主体等）。</w:t>
      </w:r>
    </w:p>
    <w:p>
      <w:pPr>
        <w:pStyle w:val="BodyText"/>
        <w:spacing w:line="451" w:lineRule="auto" w:before="54"/>
        <w:ind w:left="513" w:right="1129"/>
        <w:jc w:val="left"/>
      </w:pPr>
      <w:r>
        <w:rPr>
          <w:rFonts w:ascii="Times New Roman" w:hAnsi="Times New Roman" w:cs="Times New Roman" w:eastAsia="Times New Roman" w:hint="default"/>
        </w:rPr>
        <w:t>2</w:t>
      </w:r>
      <w:r>
        <w:rPr/>
        <w:t>、合并财务报表编制方法 </w:t>
      </w:r>
      <w:r>
        <w:rPr>
          <w:spacing w:val="-2"/>
        </w:rPr>
        <w:t>本公司合并财务报表以母公司和各子公司的财务报表为基础，根据其他有关资料编制。编制时将母公司与各子公司及各</w:t>
      </w:r>
    </w:p>
    <w:p>
      <w:pPr>
        <w:pStyle w:val="BodyText"/>
        <w:spacing w:line="477" w:lineRule="auto" w:before="74"/>
        <w:ind w:right="1130"/>
        <w:jc w:val="both"/>
      </w:pPr>
      <w:r>
        <w:rPr>
          <w:spacing w:val="-2"/>
        </w:rPr>
        <w:t>子公司之间的重要投资、往来、存货购销等内部交易及其未实现利润抵销后逐项合并，并计算少数股东权益和少数股东本期</w:t>
      </w:r>
      <w:r>
        <w:rPr>
          <w:spacing w:val="-63"/>
        </w:rPr>
        <w:t> </w:t>
      </w:r>
      <w:r>
        <w:rPr>
          <w:spacing w:val="-63"/>
        </w:rPr>
      </w:r>
      <w:r>
        <w:rPr/>
        <w:t>收益。如果子公司会计政策及会计期间与母公司不一致，合并前先按母公司的会计政策及会计期间调整子公司会计报表。</w:t>
      </w:r>
    </w:p>
    <w:p>
      <w:pPr>
        <w:pStyle w:val="BodyText"/>
        <w:spacing w:line="451" w:lineRule="auto" w:before="54"/>
        <w:ind w:left="513" w:right="1129"/>
        <w:jc w:val="left"/>
      </w:pPr>
      <w:r>
        <w:rPr>
          <w:rFonts w:ascii="Times New Roman" w:hAnsi="Times New Roman" w:cs="Times New Roman" w:eastAsia="Times New Roman" w:hint="default"/>
        </w:rPr>
        <w:t>3</w:t>
      </w:r>
      <w:r>
        <w:rPr/>
        <w:t>、报告期增加减少子公司的合并报表处理 </w:t>
      </w:r>
      <w:r>
        <w:rPr>
          <w:spacing w:val="-2"/>
        </w:rPr>
        <w:t>在报告期内，因同一控制下企业合并增加的子公司，编制合并资产负债表时，调整合并资产负债表的年初余额。因非同</w:t>
      </w:r>
    </w:p>
    <w:p>
      <w:pPr>
        <w:pStyle w:val="BodyText"/>
        <w:spacing w:line="477" w:lineRule="auto" w:before="74"/>
        <w:ind w:right="1133"/>
        <w:jc w:val="both"/>
      </w:pPr>
      <w:r>
        <w:rPr>
          <w:spacing w:val="-2"/>
        </w:rPr>
        <w:t>一控制下企业合并增加的子公司，编制合并资产负债表时，不调整合并资产负债表的年初余额。在报告期内处置子公司，编</w:t>
      </w:r>
      <w:r>
        <w:rPr>
          <w:spacing w:val="-66"/>
        </w:rPr>
        <w:t> </w:t>
      </w:r>
      <w:r>
        <w:rPr>
          <w:spacing w:val="-66"/>
        </w:rPr>
      </w:r>
      <w:r>
        <w:rPr/>
        <w:t>制合并资产负债表时，不调整合并资产负债表的年初余额。</w:t>
      </w:r>
    </w:p>
    <w:p>
      <w:pPr>
        <w:pStyle w:val="BodyText"/>
        <w:spacing w:line="477" w:lineRule="auto" w:before="54"/>
        <w:ind w:right="0" w:firstLine="360"/>
        <w:jc w:val="left"/>
      </w:pPr>
      <w:r>
        <w:rPr>
          <w:spacing w:val="-2"/>
        </w:rPr>
        <w:t>在报告期内，因同一控制下企业合并增加的子公司，将该子公司在合并当期的期初至报告期末的收入、费用、利润纳入</w:t>
      </w:r>
      <w:r>
        <w:rPr/>
        <w:t> </w:t>
      </w:r>
      <w:r>
        <w:rPr>
          <w:spacing w:val="-4"/>
        </w:rPr>
        <w:t>合并利润表，将该子公司合并当期期初至报告期末的现金流量纳入合并现金流量表。因非同一控制下企业合并增加的子公司，</w:t>
      </w:r>
      <w:r>
        <w:rPr>
          <w:spacing w:val="-44"/>
        </w:rPr>
        <w:t> </w:t>
      </w:r>
      <w:r>
        <w:rPr>
          <w:spacing w:val="-44"/>
        </w:rPr>
      </w:r>
      <w:r>
        <w:rPr>
          <w:spacing w:val="-2"/>
        </w:rPr>
        <w:t>将该子公司自购买日至报告期末的收入、费用、利润纳入合并利润表，将该子公司购买日至报告期末的现金流量纳入合并现</w:t>
      </w:r>
      <w:r>
        <w:rPr>
          <w:spacing w:val="-65"/>
        </w:rPr>
        <w:t> </w:t>
      </w:r>
      <w:r>
        <w:rPr>
          <w:spacing w:val="-65"/>
        </w:rPr>
      </w:r>
      <w:r>
        <w:rPr>
          <w:spacing w:val="-2"/>
        </w:rPr>
        <w:t>金流量表。在报告期内处置子公司，将该子公司期初至处置日的收入、费用、利润纳入合并利润表，将该子公司期初至处置</w:t>
      </w:r>
    </w:p>
    <w:p>
      <w:pPr>
        <w:spacing w:after="0" w:line="477" w:lineRule="auto"/>
        <w:jc w:val="left"/>
        <w:sectPr>
          <w:pgSz w:w="11910" w:h="16840"/>
          <w:pgMar w:header="877" w:footer="980" w:top="1100" w:bottom="1160" w:left="980" w:right="0"/>
        </w:sectPr>
      </w:pPr>
    </w:p>
    <w:p>
      <w:pPr>
        <w:spacing w:line="240" w:lineRule="auto" w:before="11"/>
        <w:rPr>
          <w:rFonts w:ascii="宋体" w:hAnsi="宋体" w:cs="宋体" w:eastAsia="宋体" w:hint="default"/>
          <w:sz w:val="27"/>
          <w:szCs w:val="27"/>
        </w:rPr>
      </w:pPr>
    </w:p>
    <w:p>
      <w:pPr>
        <w:pStyle w:val="BodyText"/>
        <w:spacing w:line="477" w:lineRule="auto" w:before="44"/>
        <w:ind w:left="573" w:right="1153" w:hanging="421"/>
        <w:jc w:val="left"/>
      </w:pPr>
      <w:r>
        <w:rPr/>
        <w:t>日的现金流量纳入合并现金流量表。 因处置部分股权投资或其他原因丧失了对原有子公司控制权时，对于处置后的剩余股权投资，按照其在丧失控制权日</w:t>
      </w:r>
    </w:p>
    <w:p>
      <w:pPr>
        <w:pStyle w:val="BodyText"/>
        <w:spacing w:line="477" w:lineRule="auto" w:before="54"/>
        <w:ind w:right="1131"/>
        <w:jc w:val="both"/>
      </w:pPr>
      <w:r>
        <w:rPr>
          <w:spacing w:val="-2"/>
        </w:rPr>
        <w:t>的公允价值进行重新计量。处置股权取得的对价与剩余股权公允价值之和，减去按原持股比例计算应享有原有子公司自购买</w:t>
      </w:r>
      <w:r>
        <w:rPr>
          <w:spacing w:val="-64"/>
        </w:rPr>
        <w:t> </w:t>
      </w:r>
      <w:r>
        <w:rPr>
          <w:spacing w:val="-64"/>
        </w:rPr>
      </w:r>
      <w:r>
        <w:rPr>
          <w:spacing w:val="-2"/>
        </w:rPr>
        <w:t>日开始持续计算的净资产的份额与商誉之和的差额，计入丧失控制权当期的投资收益。与原有子公司股权投资相关的其他综</w:t>
      </w:r>
      <w:r>
        <w:rPr>
          <w:spacing w:val="-62"/>
        </w:rPr>
        <w:t> </w:t>
      </w:r>
      <w:r>
        <w:rPr>
          <w:spacing w:val="-62"/>
        </w:rPr>
      </w:r>
      <w:r>
        <w:rPr>
          <w:spacing w:val="-2"/>
        </w:rPr>
        <w:t>合收益，在丧失控制权时转为当期投资收益，由于被投资方重新计量设定收益计划净负债或净资产变动而产生的其他综合收</w:t>
      </w:r>
      <w:r>
        <w:rPr>
          <w:spacing w:val="-64"/>
        </w:rPr>
        <w:t> </w:t>
      </w:r>
      <w:r>
        <w:rPr>
          <w:spacing w:val="-64"/>
        </w:rPr>
      </w:r>
      <w:r>
        <w:rPr/>
        <w:t>益除外。</w:t>
      </w:r>
    </w:p>
    <w:p>
      <w:pPr>
        <w:pStyle w:val="BodyText"/>
        <w:spacing w:line="477" w:lineRule="auto" w:before="54"/>
        <w:ind w:right="1154" w:firstLine="420"/>
        <w:jc w:val="left"/>
      </w:pPr>
      <w:r>
        <w:rPr/>
        <w:t>因购买少数股权新取得的长期股权投资与按照新增持股比例计算应享有子公司的可辨认净资产份额之间的差额，以及 在不丧失控制权的情况下因部分处置对子公司的股权投资而取得的处置价款与处置长期股权投资相对应享有子公司净资产 份额的差额，均调整合并资产负债表中的资本公积中的股本溢价，资本公积中的股本溢价不足冲减的，调整留存收益。</w:t>
      </w:r>
    </w:p>
    <w:p>
      <w:pPr>
        <w:pStyle w:val="BodyText"/>
        <w:spacing w:line="451" w:lineRule="auto" w:before="55"/>
        <w:ind w:left="515" w:right="1129" w:firstLine="57"/>
        <w:jc w:val="left"/>
      </w:pPr>
      <w:r>
        <w:rPr>
          <w:rFonts w:ascii="Times New Roman" w:hAnsi="Times New Roman" w:cs="Times New Roman" w:eastAsia="Times New Roman" w:hint="default"/>
        </w:rPr>
        <w:t>4</w:t>
      </w:r>
      <w:r>
        <w:rPr/>
        <w:t>、分步处置股权至丧失控制权的合并报表处理 </w:t>
      </w:r>
      <w:r>
        <w:rPr>
          <w:spacing w:val="-2"/>
        </w:rPr>
        <w:t>处置对子公司股权投资直至丧失控制权的各项交易属于一揽子交易的，将各项交易作为一项处置子公司并丧失控制权的</w:t>
      </w:r>
    </w:p>
    <w:p>
      <w:pPr>
        <w:pStyle w:val="BodyText"/>
        <w:spacing w:line="477" w:lineRule="auto" w:before="74"/>
        <w:ind w:right="1129"/>
        <w:jc w:val="both"/>
      </w:pPr>
      <w:r>
        <w:rPr>
          <w:spacing w:val="-2"/>
        </w:rPr>
        <w:t>交易进行会计处理；但是，在丧失控制权之前每一次处置价款与处置投资对应的享有该子公司净资产份额的差额，在合并财</w:t>
      </w:r>
      <w:r>
        <w:rPr>
          <w:spacing w:val="-66"/>
        </w:rPr>
        <w:t> </w:t>
      </w:r>
      <w:r>
        <w:rPr>
          <w:spacing w:val="-66"/>
        </w:rPr>
      </w:r>
      <w:r>
        <w:rPr>
          <w:spacing w:val="-2"/>
        </w:rPr>
        <w:t>务报表中确认为其他综合收益，在丧失控制权时一并转入丧失控制权当期的损益，由于被投资方重新计量设定收益计划净负</w:t>
      </w:r>
      <w:r>
        <w:rPr>
          <w:spacing w:val="-64"/>
        </w:rPr>
        <w:t> </w:t>
      </w:r>
      <w:r>
        <w:rPr>
          <w:spacing w:val="-64"/>
        </w:rPr>
      </w:r>
      <w:r>
        <w:rPr>
          <w:spacing w:val="-2"/>
        </w:rPr>
        <w:t>债或净资产变动而产生的其他综合收益除外。不属于一揽子交易的，在丧失控制权之前，处置价款与相对应享有子公司自购</w:t>
      </w:r>
      <w:r>
        <w:rPr>
          <w:spacing w:val="-65"/>
        </w:rPr>
        <w:t> </w:t>
      </w:r>
      <w:r>
        <w:rPr>
          <w:spacing w:val="-65"/>
        </w:rPr>
      </w:r>
      <w:r>
        <w:rPr>
          <w:spacing w:val="-2"/>
        </w:rPr>
        <w:t>买日开始持续计算的净资产之间的差额调整资本公积，资本公积不足冲减的，调整留存收益；丧失控制权时，按照前述丧失</w:t>
      </w:r>
      <w:r>
        <w:rPr>
          <w:spacing w:val="-62"/>
        </w:rPr>
        <w:t> </w:t>
      </w:r>
      <w:r>
        <w:rPr>
          <w:spacing w:val="-62"/>
        </w:rPr>
      </w:r>
      <w:r>
        <w:rPr/>
        <w:t>对原有子公司控制权时的会计政策实施会计处理。</w:t>
      </w:r>
    </w:p>
    <w:p>
      <w:pPr>
        <w:spacing w:line="451" w:lineRule="auto" w:before="54"/>
        <w:ind w:left="513" w:right="1129" w:hanging="36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7</w:t>
      </w:r>
      <w:r>
        <w:rPr>
          <w:rFonts w:ascii="宋体" w:hAnsi="宋体" w:cs="宋体" w:eastAsia="宋体" w:hint="default"/>
          <w:b/>
          <w:bCs/>
          <w:sz w:val="18"/>
          <w:szCs w:val="18"/>
        </w:rPr>
        <w:t>、合营安排分类及共同经营会计处理方法</w:t>
      </w:r>
      <w:r>
        <w:rPr>
          <w:rFonts w:ascii="宋体" w:hAnsi="宋体" w:cs="宋体" w:eastAsia="宋体" w:hint="default"/>
          <w:b/>
          <w:bCs/>
          <w:w w:val="99"/>
          <w:sz w:val="18"/>
          <w:szCs w:val="18"/>
        </w:rPr>
        <w:t> </w:t>
      </w:r>
      <w:r>
        <w:rPr>
          <w:rFonts w:ascii="宋体" w:hAnsi="宋体" w:cs="宋体" w:eastAsia="宋体" w:hint="default"/>
          <w:spacing w:val="-2"/>
          <w:sz w:val="18"/>
          <w:szCs w:val="18"/>
        </w:rPr>
        <w:t>合营安排是一项由本公司作为一个参与方共同控制的安排。合营安排分为两类：共同经营和合营企业。共同经营是指共</w:t>
      </w:r>
    </w:p>
    <w:p>
      <w:pPr>
        <w:pStyle w:val="BodyText"/>
        <w:spacing w:line="477" w:lineRule="auto" w:before="74"/>
        <w:ind w:right="1133"/>
        <w:jc w:val="both"/>
      </w:pPr>
      <w:r>
        <w:rPr>
          <w:spacing w:val="-2"/>
        </w:rPr>
        <w:t>同控制一项安排的参与方享有与该安排相关资产的权利，并承担与该安排相关负债的合营安排；合营企业是共同控制一项安</w:t>
      </w:r>
      <w:r>
        <w:rPr>
          <w:spacing w:val="-64"/>
        </w:rPr>
        <w:t> </w:t>
      </w:r>
      <w:r>
        <w:rPr>
          <w:spacing w:val="-64"/>
        </w:rPr>
      </w:r>
      <w:r>
        <w:rPr/>
        <w:t>排的参与方仅对该安排的净资产享有权利的合营安排。</w:t>
      </w:r>
    </w:p>
    <w:p>
      <w:pPr>
        <w:pStyle w:val="BodyText"/>
        <w:spacing w:line="451" w:lineRule="auto" w:before="54"/>
        <w:ind w:left="513" w:right="1129"/>
        <w:jc w:val="left"/>
      </w:pPr>
      <w:r>
        <w:rPr>
          <w:rFonts w:ascii="Times New Roman" w:hAnsi="Times New Roman" w:cs="Times New Roman" w:eastAsia="Times New Roman" w:hint="default"/>
        </w:rPr>
        <w:t>1</w:t>
      </w:r>
      <w:r>
        <w:rPr/>
        <w:t>、合营安排的认定 </w:t>
      </w:r>
      <w:r>
        <w:rPr>
          <w:spacing w:val="-2"/>
        </w:rPr>
        <w:t>只要两个或两个以上的参与方对该安排实施共同控制，一项安排就可以被认定为合营安排，并不要求所有参与方都对该</w:t>
      </w:r>
    </w:p>
    <w:p>
      <w:pPr>
        <w:pStyle w:val="BodyText"/>
        <w:spacing w:line="240" w:lineRule="auto" w:before="74"/>
        <w:ind w:right="0"/>
        <w:jc w:val="both"/>
      </w:pPr>
      <w:r>
        <w:rPr/>
        <w:t>安排享有共同控制。</w:t>
      </w:r>
    </w:p>
    <w:p>
      <w:pPr>
        <w:spacing w:line="240" w:lineRule="auto" w:before="10"/>
        <w:rPr>
          <w:rFonts w:ascii="宋体" w:hAnsi="宋体" w:cs="宋体" w:eastAsia="宋体" w:hint="default"/>
          <w:sz w:val="17"/>
          <w:szCs w:val="17"/>
        </w:rPr>
      </w:pPr>
    </w:p>
    <w:p>
      <w:pPr>
        <w:pStyle w:val="BodyText"/>
        <w:spacing w:line="451" w:lineRule="auto"/>
        <w:ind w:left="513" w:right="1129"/>
        <w:jc w:val="left"/>
      </w:pPr>
      <w:r>
        <w:rPr>
          <w:rFonts w:ascii="Times New Roman" w:hAnsi="Times New Roman" w:cs="Times New Roman" w:eastAsia="Times New Roman" w:hint="default"/>
        </w:rPr>
        <w:t>2</w:t>
      </w:r>
      <w:r>
        <w:rPr/>
        <w:t>、重新评估 </w:t>
      </w:r>
      <w:r>
        <w:rPr>
          <w:spacing w:val="-2"/>
        </w:rPr>
        <w:t>如果法律形式、合同条款等相关事实和情况发生变化，合营安排参与方应当对合营安排进行重新评估：一是评估原合营</w:t>
      </w:r>
    </w:p>
    <w:p>
      <w:pPr>
        <w:pStyle w:val="BodyText"/>
        <w:spacing w:line="240" w:lineRule="auto" w:before="74"/>
        <w:ind w:right="0"/>
        <w:jc w:val="both"/>
      </w:pPr>
      <w:r>
        <w:rPr/>
        <w:t>方是否仍对该安排拥有共同控制权；二是评估合营安排的类型是否发生变化。</w:t>
      </w:r>
    </w:p>
    <w:p>
      <w:pPr>
        <w:spacing w:line="240" w:lineRule="auto" w:before="10"/>
        <w:rPr>
          <w:rFonts w:ascii="宋体" w:hAnsi="宋体" w:cs="宋体" w:eastAsia="宋体" w:hint="default"/>
          <w:sz w:val="17"/>
          <w:szCs w:val="17"/>
        </w:rPr>
      </w:pPr>
    </w:p>
    <w:p>
      <w:pPr>
        <w:pStyle w:val="BodyText"/>
        <w:spacing w:line="240" w:lineRule="auto"/>
        <w:ind w:left="513" w:right="1133"/>
        <w:jc w:val="left"/>
      </w:pPr>
      <w:r>
        <w:rPr>
          <w:rFonts w:ascii="Times New Roman" w:hAnsi="Times New Roman" w:cs="Times New Roman" w:eastAsia="Times New Roman" w:hint="default"/>
        </w:rPr>
        <w:t>3</w:t>
      </w:r>
      <w:r>
        <w:rPr/>
        <w:t>、共同经营参与方的会计处理</w:t>
      </w:r>
    </w:p>
    <w:p>
      <w:pPr>
        <w:spacing w:line="240" w:lineRule="auto" w:before="9"/>
        <w:rPr>
          <w:rFonts w:ascii="宋体" w:hAnsi="宋体" w:cs="宋体" w:eastAsia="宋体" w:hint="default"/>
          <w:sz w:val="16"/>
          <w:szCs w:val="16"/>
        </w:rPr>
      </w:pPr>
    </w:p>
    <w:p>
      <w:pPr>
        <w:pStyle w:val="BodyText"/>
        <w:spacing w:line="240" w:lineRule="auto"/>
        <w:ind w:left="513" w:right="1133"/>
        <w:jc w:val="left"/>
      </w:pPr>
      <w:r>
        <w:rPr/>
        <w:t>（</w:t>
      </w:r>
      <w:r>
        <w:rPr>
          <w:rFonts w:ascii="Times New Roman" w:hAnsi="Times New Roman" w:cs="Times New Roman" w:eastAsia="Times New Roman" w:hint="default"/>
        </w:rPr>
        <w:t>1</w:t>
      </w:r>
      <w:r>
        <w:rPr/>
        <w:t>）共同经营中，合营方的会计处理</w:t>
      </w:r>
    </w:p>
    <w:p>
      <w:pPr>
        <w:spacing w:line="240" w:lineRule="auto" w:before="9"/>
        <w:rPr>
          <w:rFonts w:ascii="宋体" w:hAnsi="宋体" w:cs="宋体" w:eastAsia="宋体" w:hint="default"/>
          <w:sz w:val="16"/>
          <w:szCs w:val="16"/>
        </w:rPr>
      </w:pPr>
    </w:p>
    <w:p>
      <w:pPr>
        <w:pStyle w:val="BodyText"/>
        <w:spacing w:line="451" w:lineRule="auto"/>
        <w:ind w:left="513" w:right="1129"/>
        <w:jc w:val="left"/>
      </w:pPr>
      <w:r>
        <w:rPr>
          <w:rFonts w:ascii="Times New Roman" w:hAnsi="Times New Roman" w:cs="Times New Roman" w:eastAsia="Times New Roman" w:hint="default"/>
        </w:rPr>
        <w:t>A</w:t>
      </w:r>
      <w:r>
        <w:rPr/>
        <w:t>、一般会计处理原则 </w:t>
      </w:r>
      <w:r>
        <w:rPr>
          <w:spacing w:val="-2"/>
        </w:rPr>
        <w:t>合营方应当确认其与共同经营中利益份额相关的下列项目，并按照相关企业会计准则的规定进行会计处理：一是确认单</w:t>
      </w:r>
    </w:p>
    <w:p>
      <w:pPr>
        <w:spacing w:after="0" w:line="451" w:lineRule="auto"/>
        <w:jc w:val="left"/>
        <w:sectPr>
          <w:pgSz w:w="11910" w:h="16840"/>
          <w:pgMar w:header="877" w:footer="980" w:top="1100" w:bottom="1160" w:left="980" w:right="0"/>
        </w:sectPr>
      </w:pPr>
    </w:p>
    <w:p>
      <w:pPr>
        <w:spacing w:line="240" w:lineRule="auto" w:before="11"/>
        <w:rPr>
          <w:rFonts w:ascii="宋体" w:hAnsi="宋体" w:cs="宋体" w:eastAsia="宋体" w:hint="default"/>
          <w:sz w:val="27"/>
          <w:szCs w:val="27"/>
        </w:rPr>
      </w:pPr>
    </w:p>
    <w:p>
      <w:pPr>
        <w:pStyle w:val="BodyText"/>
        <w:spacing w:line="477" w:lineRule="auto" w:before="44"/>
        <w:ind w:right="1131"/>
        <w:jc w:val="both"/>
      </w:pPr>
      <w:r>
        <w:rPr>
          <w:spacing w:val="-2"/>
        </w:rPr>
        <w:t>独所持有的资产，以及按其份额确认共同持有的资产；二是确认单独所承担的负债，以及按其份额确认共同承担的负债；三</w:t>
      </w:r>
      <w:r>
        <w:rPr>
          <w:spacing w:val="-64"/>
        </w:rPr>
        <w:t> </w:t>
      </w:r>
      <w:r>
        <w:rPr>
          <w:spacing w:val="-64"/>
        </w:rPr>
      </w:r>
      <w:r>
        <w:rPr>
          <w:spacing w:val="-2"/>
        </w:rPr>
        <w:t>是确认出售其享有的共同经营产出份额所产生的收入；四是按其份额确认共同经营因出售产出所产生的收入；五是确认单独</w:t>
      </w:r>
      <w:r>
        <w:rPr>
          <w:spacing w:val="-63"/>
        </w:rPr>
        <w:t> </w:t>
      </w:r>
      <w:r>
        <w:rPr>
          <w:spacing w:val="-63"/>
        </w:rPr>
      </w:r>
      <w:r>
        <w:rPr/>
        <w:t>所发生的费用，以及按其份额确认共同经营发生的费用。</w:t>
      </w:r>
    </w:p>
    <w:p>
      <w:pPr>
        <w:pStyle w:val="BodyText"/>
        <w:spacing w:line="477" w:lineRule="auto" w:before="54"/>
        <w:ind w:right="1129" w:firstLine="360"/>
        <w:jc w:val="left"/>
      </w:pPr>
      <w:r>
        <w:rPr>
          <w:spacing w:val="-2"/>
        </w:rPr>
        <w:t>合营方可能将其自有资产用于共同经营，如果合营方保留了对这些资产的全部所有权或控制权，则这些资产的会计处理</w:t>
      </w:r>
      <w:r>
        <w:rPr/>
        <w:t> 与合营方自有资产的会计处理并无差别。</w:t>
      </w:r>
    </w:p>
    <w:p>
      <w:pPr>
        <w:pStyle w:val="BodyText"/>
        <w:spacing w:line="463" w:lineRule="auto" w:before="54"/>
        <w:ind w:right="1130" w:firstLine="360"/>
        <w:jc w:val="both"/>
      </w:pPr>
      <w:r>
        <w:rPr>
          <w:spacing w:val="-2"/>
        </w:rPr>
        <w:t>合营方也可能与其他合营方共同购买资产来投入共同经营，并共同承担共同经营的负债，此时，合营方应当按照企业会</w:t>
      </w:r>
      <w:r>
        <w:rPr/>
        <w:t> 计准则相关规定确认在这些资产和负债中的利益份额。如按照《企业会计准则第</w:t>
      </w:r>
      <w:r>
        <w:rPr>
          <w:rFonts w:ascii="Times New Roman" w:hAnsi="Times New Roman" w:cs="Times New Roman" w:eastAsia="Times New Roman" w:hint="default"/>
        </w:rPr>
        <w:t>4</w:t>
      </w:r>
      <w:r>
        <w:rPr/>
        <w:t>号－固定资产》来确认在相关固定资产中 的利益份额，按照金融工具确认和计量准则来确认在相关金融资产和金融负债中的份额。</w:t>
      </w:r>
    </w:p>
    <w:p>
      <w:pPr>
        <w:pStyle w:val="BodyText"/>
        <w:spacing w:line="477" w:lineRule="auto" w:before="65"/>
        <w:ind w:right="1034" w:firstLine="360"/>
        <w:jc w:val="left"/>
      </w:pPr>
      <w:r>
        <w:rPr>
          <w:spacing w:val="-2"/>
        </w:rPr>
        <w:t>共同经营通过单独主体达成时，合营方应确认按照上述原则单独所承担的负债，以及按本企业的份额确认共同承担的负</w:t>
      </w:r>
      <w:r>
        <w:rPr/>
        <w:t> 债。但合营方对于因其他股东未按约定向合营安排提供资金，按照我国相关法律或相关合同约定等规定而承担连带责任的， 从其规定，在会计处理上应遵循《企业会计准则第</w:t>
      </w:r>
      <w:r>
        <w:rPr>
          <w:rFonts w:ascii="Times New Roman" w:hAnsi="Times New Roman" w:cs="Times New Roman" w:eastAsia="Times New Roman" w:hint="default"/>
        </w:rPr>
        <w:t>13</w:t>
      </w:r>
      <w:r>
        <w:rPr/>
        <w:t>号一一或有事项》。</w:t>
      </w:r>
    </w:p>
    <w:p>
      <w:pPr>
        <w:pStyle w:val="BodyText"/>
        <w:spacing w:line="451" w:lineRule="auto" w:before="21"/>
        <w:ind w:left="573" w:right="1153"/>
        <w:jc w:val="left"/>
      </w:pPr>
      <w:r>
        <w:rPr>
          <w:rFonts w:ascii="Times New Roman" w:hAnsi="Times New Roman" w:cs="Times New Roman" w:eastAsia="Times New Roman" w:hint="default"/>
        </w:rPr>
        <w:t>B</w:t>
      </w:r>
      <w:r>
        <w:rPr/>
        <w:t>、合营方向共同经营投出或者出售不构成业务的资产的会计处理 合营方向共同经营投出或出售资产等（该资产构成业务的除外），在共同经营将相关资产出售给第三方或相关资产消</w:t>
      </w:r>
    </w:p>
    <w:p>
      <w:pPr>
        <w:pStyle w:val="BodyText"/>
        <w:spacing w:line="463" w:lineRule="auto" w:before="74"/>
        <w:ind w:right="1133"/>
        <w:jc w:val="both"/>
      </w:pPr>
      <w:r>
        <w:rPr>
          <w:spacing w:val="-2"/>
        </w:rPr>
        <w:t>耗之前（即，未实现内部利润仍包括在共同经营持有的资产账面价值中时），应当仅确认归属于共同经营其他参与方的利得</w:t>
      </w:r>
      <w:r>
        <w:rPr>
          <w:spacing w:val="-66"/>
        </w:rPr>
        <w:t> </w:t>
      </w:r>
      <w:r>
        <w:rPr>
          <w:spacing w:val="-66"/>
        </w:rPr>
      </w:r>
      <w:r>
        <w:rPr/>
        <w:t>或损失。交易表明投出或出售的资产发生符合《企业会计准则第</w:t>
      </w:r>
      <w:r>
        <w:rPr>
          <w:rFonts w:ascii="Times New Roman" w:hAnsi="Times New Roman" w:cs="Times New Roman" w:eastAsia="Times New Roman" w:hint="default"/>
        </w:rPr>
        <w:t>8</w:t>
      </w:r>
      <w:r>
        <w:rPr/>
        <w:t>号一一资产减值》（以下简称</w:t>
      </w:r>
      <w:r>
        <w:rPr>
          <w:rFonts w:ascii="Times New Roman" w:hAnsi="Times New Roman" w:cs="Times New Roman" w:eastAsia="Times New Roman" w:hint="default"/>
        </w:rPr>
        <w:t>“</w:t>
      </w:r>
      <w:r>
        <w:rPr/>
        <w:t>资产减值损失准则</w:t>
      </w:r>
      <w:r>
        <w:rPr>
          <w:rFonts w:ascii="Times New Roman" w:hAnsi="Times New Roman" w:cs="Times New Roman" w:eastAsia="Times New Roman" w:hint="default"/>
        </w:rPr>
        <w:t>”</w:t>
      </w:r>
      <w:r>
        <w:rPr/>
        <w:t>）等规</w:t>
      </w:r>
      <w:r>
        <w:rPr>
          <w:spacing w:val="-88"/>
        </w:rPr>
        <w:t> </w:t>
      </w:r>
      <w:r>
        <w:rPr>
          <w:spacing w:val="-88"/>
        </w:rPr>
      </w:r>
      <w:r>
        <w:rPr/>
        <w:t>定的资产减值损失的，合营方应当全额确认该损失。</w:t>
      </w:r>
    </w:p>
    <w:p>
      <w:pPr>
        <w:pStyle w:val="BodyText"/>
        <w:spacing w:line="451" w:lineRule="auto" w:before="65"/>
        <w:ind w:left="573" w:right="1153"/>
        <w:jc w:val="left"/>
      </w:pPr>
      <w:r>
        <w:rPr>
          <w:rFonts w:ascii="Times New Roman" w:hAnsi="Times New Roman" w:cs="Times New Roman" w:eastAsia="Times New Roman" w:hint="default"/>
        </w:rPr>
        <w:t>C</w:t>
      </w:r>
      <w:r>
        <w:rPr/>
        <w:t>、合营方自共同经营购买不构成业务的资产的会计处理 合营方自共同经营购买资产等（该资产构成业务的除外），在将该资产等出售给第三方之前（即，未实现内部利润仍</w:t>
      </w:r>
    </w:p>
    <w:p>
      <w:pPr>
        <w:pStyle w:val="BodyText"/>
        <w:spacing w:line="477" w:lineRule="auto" w:before="74"/>
        <w:ind w:right="1131"/>
        <w:jc w:val="both"/>
      </w:pPr>
      <w:r>
        <w:rPr>
          <w:spacing w:val="-2"/>
        </w:rPr>
        <w:t>包括在合营方持有的资产账面价值中时），不应当确认因该交易产生的损益中该合营方应享有的部分。即，此时应当仅确认</w:t>
      </w:r>
      <w:r>
        <w:rPr>
          <w:spacing w:val="-64"/>
        </w:rPr>
        <w:t> </w:t>
      </w:r>
      <w:r>
        <w:rPr>
          <w:spacing w:val="-64"/>
        </w:rPr>
      </w:r>
      <w:r>
        <w:rPr/>
        <w:t>因该交易产生的损益中归属于共同经营其他参与方的部分。</w:t>
      </w:r>
    </w:p>
    <w:p>
      <w:pPr>
        <w:pStyle w:val="BodyText"/>
        <w:spacing w:line="451" w:lineRule="auto" w:before="54"/>
        <w:ind w:left="573" w:right="1153"/>
        <w:jc w:val="left"/>
      </w:pPr>
      <w:r>
        <w:rPr>
          <w:rFonts w:ascii="Times New Roman" w:hAnsi="Times New Roman" w:cs="Times New Roman" w:eastAsia="Times New Roman" w:hint="default"/>
        </w:rPr>
        <w:t>D</w:t>
      </w:r>
      <w:r>
        <w:rPr/>
        <w:t>、合营方取得构成业务的共同经营的利益份额的会计处理 合营方取得共同经营中的利益份额，且该共同经营构成业务时，应当按照企业合并准则等相关准则进行相应的会计处</w:t>
      </w:r>
    </w:p>
    <w:p>
      <w:pPr>
        <w:pStyle w:val="BodyText"/>
        <w:spacing w:line="477" w:lineRule="auto" w:before="74"/>
        <w:ind w:right="0"/>
        <w:jc w:val="left"/>
      </w:pPr>
      <w:r>
        <w:rPr>
          <w:spacing w:val="-2"/>
        </w:rPr>
        <w:t>理，但其他相关准则的规定不能与合营安排准则的规定相冲突。企业应当按照企业合并准则的相关规定判断该共同经营是否</w:t>
      </w:r>
      <w:r>
        <w:rPr>
          <w:spacing w:val="-64"/>
        </w:rPr>
        <w:t> </w:t>
      </w:r>
      <w:r>
        <w:rPr>
          <w:spacing w:val="-64"/>
        </w:rPr>
      </w:r>
      <w:r>
        <w:rPr>
          <w:spacing w:val="-4"/>
        </w:rPr>
        <w:t>构成业务。该处理原则不仅适用于收购现有的构成业务的共同经营中的利益份额，也适用于与其他参与方一起设立共同经营，</w:t>
      </w:r>
      <w:r>
        <w:rPr>
          <w:spacing w:val="-44"/>
        </w:rPr>
        <w:t> </w:t>
      </w:r>
      <w:r>
        <w:rPr>
          <w:spacing w:val="-44"/>
        </w:rPr>
      </w:r>
      <w:r>
        <w:rPr/>
        <w:t>且由于有其他参与方注入既存业务，使共同经营设立时即构成业务。</w:t>
      </w:r>
    </w:p>
    <w:p>
      <w:pPr>
        <w:pStyle w:val="BodyText"/>
        <w:spacing w:line="451" w:lineRule="auto" w:before="55"/>
        <w:ind w:left="513" w:right="1133" w:firstLine="60"/>
        <w:jc w:val="left"/>
      </w:pPr>
      <w:r>
        <w:rPr/>
        <w:t>（</w:t>
      </w:r>
      <w:r>
        <w:rPr>
          <w:rFonts w:ascii="Times New Roman" w:hAnsi="Times New Roman" w:cs="Times New Roman" w:eastAsia="Times New Roman" w:hint="default"/>
        </w:rPr>
        <w:t>2</w:t>
      </w:r>
      <w:r>
        <w:rPr/>
        <w:t>）对共同经营不享有共同控制的参与方的会计处理原则 </w:t>
      </w:r>
      <w:r>
        <w:rPr>
          <w:spacing w:val="-2"/>
        </w:rPr>
        <w:t>对共同经营不享有共同控制的参与方（非合营方），如果享有该共同经营相关资产且承担该共同经营相关负债的，比照</w:t>
      </w:r>
    </w:p>
    <w:p>
      <w:pPr>
        <w:pStyle w:val="BodyText"/>
        <w:spacing w:line="477" w:lineRule="auto" w:before="74"/>
        <w:ind w:right="1130"/>
        <w:jc w:val="both"/>
      </w:pPr>
      <w:r>
        <w:rPr>
          <w:spacing w:val="-2"/>
        </w:rPr>
        <w:t>合营方进行会计处理。即，共同经营的参与方，不论其是否具有共同控制，只要能够享有共同经营相关资产的权利、并承担</w:t>
      </w:r>
      <w:r>
        <w:rPr>
          <w:spacing w:val="-67"/>
        </w:rPr>
        <w:t> </w:t>
      </w:r>
      <w:r>
        <w:rPr>
          <w:spacing w:val="-67"/>
        </w:rPr>
      </w:r>
      <w:r>
        <w:rPr>
          <w:spacing w:val="-2"/>
        </w:rPr>
        <w:t>共同经营相关负债的义务，对在共同经营中的利益份额采用与合营方相同的会计处理。否则，应当按照相关企业会计准则的</w:t>
      </w:r>
      <w:r>
        <w:rPr>
          <w:spacing w:val="-63"/>
        </w:rPr>
        <w:t> </w:t>
      </w:r>
      <w:r>
        <w:rPr>
          <w:spacing w:val="-63"/>
        </w:rPr>
      </w:r>
      <w:r>
        <w:rPr/>
        <w:t>规定对其利益份额进行会计处理。</w:t>
      </w:r>
    </w:p>
    <w:p>
      <w:pPr>
        <w:spacing w:after="0" w:line="477" w:lineRule="auto"/>
        <w:jc w:val="both"/>
        <w:sectPr>
          <w:pgSz w:w="11910" w:h="16840"/>
          <w:pgMar w:header="877" w:footer="980" w:top="1100" w:bottom="1160" w:left="980" w:right="0"/>
        </w:sectPr>
      </w:pPr>
    </w:p>
    <w:p>
      <w:pPr>
        <w:spacing w:line="240" w:lineRule="auto" w:before="11"/>
        <w:rPr>
          <w:rFonts w:ascii="宋体" w:hAnsi="宋体" w:cs="宋体" w:eastAsia="宋体" w:hint="default"/>
          <w:sz w:val="27"/>
          <w:szCs w:val="27"/>
        </w:rPr>
      </w:pPr>
    </w:p>
    <w:p>
      <w:pPr>
        <w:pStyle w:val="BodyText"/>
        <w:spacing w:line="240" w:lineRule="auto" w:before="44"/>
        <w:ind w:left="513" w:right="1133"/>
        <w:jc w:val="left"/>
      </w:pPr>
      <w:r>
        <w:rPr>
          <w:rFonts w:ascii="Times New Roman" w:hAnsi="Times New Roman" w:cs="Times New Roman" w:eastAsia="Times New Roman" w:hint="default"/>
        </w:rPr>
        <w:t>4</w:t>
      </w:r>
      <w:r>
        <w:rPr/>
        <w:t>、关于合营企业参与方的会计处理</w:t>
      </w:r>
    </w:p>
    <w:p>
      <w:pPr>
        <w:spacing w:line="240" w:lineRule="auto" w:before="10"/>
        <w:rPr>
          <w:rFonts w:ascii="宋体" w:hAnsi="宋体" w:cs="宋体" w:eastAsia="宋体" w:hint="default"/>
          <w:sz w:val="16"/>
          <w:szCs w:val="16"/>
        </w:rPr>
      </w:pPr>
    </w:p>
    <w:p>
      <w:pPr>
        <w:pStyle w:val="BodyText"/>
        <w:spacing w:line="451" w:lineRule="auto"/>
        <w:ind w:left="513" w:right="1129"/>
        <w:jc w:val="left"/>
      </w:pPr>
      <w:r>
        <w:rPr/>
        <w:t>合营企业中，参与方应当按照《企业会计准则第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长期股权投资》的规定核算其对合营企业的投资。 </w:t>
      </w:r>
      <w:r>
        <w:rPr>
          <w:spacing w:val="-2"/>
        </w:rPr>
        <w:t>对合营企业不享有共同控制的参与方（非合营方）应当根据其对该合营企业的影响程度进行相关会计处理：对该合营企</w:t>
      </w:r>
    </w:p>
    <w:p>
      <w:pPr>
        <w:pStyle w:val="BodyText"/>
        <w:spacing w:line="477" w:lineRule="auto" w:before="74"/>
        <w:ind w:right="1129"/>
        <w:jc w:val="left"/>
      </w:pPr>
      <w:r>
        <w:rPr>
          <w:spacing w:val="-2"/>
        </w:rPr>
        <w:t>业具有重大影响的，应当按照长期股权投资准则的规定核算其对该合营企业的投资；对该合营企业不具有重大影响的，应当</w:t>
      </w:r>
      <w:r>
        <w:rPr>
          <w:spacing w:val="-63"/>
        </w:rPr>
        <w:t> </w:t>
      </w:r>
      <w:r>
        <w:rPr>
          <w:spacing w:val="-63"/>
        </w:rPr>
      </w:r>
      <w:r>
        <w:rPr/>
        <w:t>按照金融工具确认和计量准则的规定核算其对该合营企业的投资。</w:t>
      </w:r>
    </w:p>
    <w:p>
      <w:pPr>
        <w:spacing w:line="451" w:lineRule="auto" w:before="54"/>
        <w:ind w:left="513" w:right="1129" w:hanging="36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8</w:t>
      </w:r>
      <w:r>
        <w:rPr>
          <w:rFonts w:ascii="宋体" w:hAnsi="宋体" w:cs="宋体" w:eastAsia="宋体" w:hint="default"/>
          <w:b/>
          <w:bCs/>
          <w:sz w:val="18"/>
          <w:szCs w:val="18"/>
        </w:rPr>
        <w:t>、现金及现金等价物的确定标准</w:t>
      </w:r>
      <w:r>
        <w:rPr>
          <w:rFonts w:ascii="宋体" w:hAnsi="宋体" w:cs="宋体" w:eastAsia="宋体" w:hint="default"/>
          <w:b/>
          <w:bCs/>
          <w:w w:val="99"/>
          <w:sz w:val="18"/>
          <w:szCs w:val="18"/>
        </w:rPr>
        <w:t> </w:t>
      </w:r>
      <w:r>
        <w:rPr>
          <w:rFonts w:ascii="宋体" w:hAnsi="宋体" w:cs="宋体" w:eastAsia="宋体" w:hint="default"/>
          <w:spacing w:val="-2"/>
          <w:sz w:val="18"/>
          <w:szCs w:val="18"/>
        </w:rPr>
        <w:t>本公司现金包括库存现金、可以随时用于支付的存款；现金等价物包括本公司持有的期限短（一般指从购买日起三个月</w:t>
      </w:r>
    </w:p>
    <w:p>
      <w:pPr>
        <w:pStyle w:val="BodyText"/>
        <w:spacing w:line="240" w:lineRule="auto" w:before="74"/>
        <w:ind w:right="1133"/>
        <w:jc w:val="left"/>
      </w:pPr>
      <w:r>
        <w:rPr/>
        <w:t>内到期）、流动性强、易于转换为已知金额现金、价值变动风险很小的投资。</w:t>
      </w:r>
    </w:p>
    <w:p>
      <w:pPr>
        <w:spacing w:line="240" w:lineRule="auto" w:before="10"/>
        <w:rPr>
          <w:rFonts w:ascii="宋体" w:hAnsi="宋体" w:cs="宋体" w:eastAsia="宋体" w:hint="default"/>
          <w:sz w:val="17"/>
          <w:szCs w:val="17"/>
        </w:rPr>
      </w:pPr>
    </w:p>
    <w:p>
      <w:pPr>
        <w:pStyle w:val="Heading4"/>
        <w:spacing w:line="240" w:lineRule="auto"/>
        <w:ind w:left="152" w:right="1133"/>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10"/>
        <w:rPr>
          <w:rFonts w:ascii="宋体" w:hAnsi="宋体" w:cs="宋体" w:eastAsia="宋体" w:hint="default"/>
          <w:b/>
          <w:bCs/>
          <w:sz w:val="16"/>
          <w:szCs w:val="16"/>
        </w:rPr>
      </w:pPr>
    </w:p>
    <w:p>
      <w:pPr>
        <w:pStyle w:val="BodyText"/>
        <w:spacing w:line="451" w:lineRule="auto"/>
        <w:ind w:left="513" w:right="4993"/>
        <w:jc w:val="left"/>
      </w:pPr>
      <w:r>
        <w:rPr>
          <w:rFonts w:ascii="Times New Roman" w:hAnsi="Times New Roman" w:cs="Times New Roman" w:eastAsia="Times New Roman" w:hint="default"/>
        </w:rPr>
        <w:t>1</w:t>
      </w:r>
      <w:r>
        <w:rPr/>
        <w:t>、外币业务 本公司外币交易按照交易发生日的即期汇率折算为记账本位币金额。</w:t>
      </w:r>
    </w:p>
    <w:p>
      <w:pPr>
        <w:pStyle w:val="BodyText"/>
        <w:spacing w:line="477" w:lineRule="auto" w:before="74"/>
        <w:ind w:right="0" w:firstLine="360"/>
        <w:jc w:val="left"/>
      </w:pPr>
      <w:r>
        <w:rPr>
          <w:spacing w:val="-2"/>
        </w:rPr>
        <w:t>在资产负债表日，按照下列规定对外币货币性项目和外币非货币性项目进行处理：外币货币性项目，采用资产负债表日</w:t>
      </w:r>
      <w:r>
        <w:rPr/>
        <w:t> </w:t>
      </w:r>
      <w:r>
        <w:rPr>
          <w:spacing w:val="-4"/>
        </w:rPr>
        <w:t>即期汇率折算。因资产负债表日即期汇率与初始确认时或前一资产负债表日即期汇率不同而产生的汇兑差额，计入当期损益；</w:t>
      </w:r>
      <w:r>
        <w:rPr>
          <w:spacing w:val="-44"/>
        </w:rPr>
        <w:t> </w:t>
      </w:r>
      <w:r>
        <w:rPr>
          <w:spacing w:val="-44"/>
        </w:rPr>
      </w:r>
      <w:r>
        <w:rPr>
          <w:spacing w:val="-2"/>
        </w:rPr>
        <w:t>以历史成本计量的外币非货币性项目，仍采用交易发生日的即期汇率折算，不改变其记账本位币金额；以公允价值计量的外</w:t>
      </w:r>
      <w:r>
        <w:rPr>
          <w:spacing w:val="-63"/>
        </w:rPr>
        <w:t> </w:t>
      </w:r>
      <w:r>
        <w:rPr>
          <w:spacing w:val="-63"/>
        </w:rPr>
      </w:r>
      <w:r>
        <w:rPr>
          <w:spacing w:val="-2"/>
        </w:rPr>
        <w:t>币非货币性项目，采用公允价值确定日的即期汇率折算，折算后的记账本位币金额与原记账本位币金额的差额，作为公允价</w:t>
      </w:r>
      <w:r>
        <w:rPr>
          <w:spacing w:val="-63"/>
        </w:rPr>
        <w:t> </w:t>
      </w:r>
      <w:r>
        <w:rPr>
          <w:spacing w:val="-63"/>
        </w:rPr>
      </w:r>
      <w:r>
        <w:rPr>
          <w:spacing w:val="-2"/>
        </w:rPr>
        <w:t>值变动（含汇率变动）处理，计入当期损益；在资本化期间内，外币专门借款本金及利息的汇兑差额，予以资本化，计入符</w:t>
      </w:r>
      <w:r>
        <w:rPr>
          <w:spacing w:val="-73"/>
        </w:rPr>
        <w:t> </w:t>
      </w:r>
      <w:r>
        <w:rPr>
          <w:spacing w:val="-73"/>
        </w:rPr>
      </w:r>
      <w:r>
        <w:rPr/>
        <w:t>合资本化条件的资产的成本。</w:t>
      </w:r>
    </w:p>
    <w:p>
      <w:pPr>
        <w:pStyle w:val="BodyText"/>
        <w:spacing w:line="451" w:lineRule="auto" w:before="54"/>
        <w:ind w:left="513" w:right="1033"/>
        <w:jc w:val="left"/>
      </w:pPr>
      <w:r>
        <w:rPr>
          <w:rFonts w:ascii="Times New Roman" w:hAnsi="Times New Roman" w:cs="Times New Roman" w:eastAsia="Times New Roman" w:hint="default"/>
        </w:rPr>
        <w:t>2</w:t>
      </w:r>
      <w:r>
        <w:rPr/>
        <w:t>、外币财务报表的折算 本公司对外币财务报表折算时，遵循下列规定：资产负债表中的资产和负债项目，采用资产负债表日的即期汇率折算，</w:t>
      </w:r>
    </w:p>
    <w:p>
      <w:pPr>
        <w:pStyle w:val="BodyText"/>
        <w:spacing w:line="463" w:lineRule="auto" w:before="74"/>
        <w:ind w:right="1131"/>
        <w:jc w:val="both"/>
      </w:pPr>
      <w:r>
        <w:rPr>
          <w:spacing w:val="-2"/>
        </w:rPr>
        <w:t>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项目外，其他项目采用发生时的即期汇率折算；利润表中的收入和费用项目，采用交易发生</w:t>
      </w:r>
      <w:r>
        <w:rPr>
          <w:spacing w:val="-46"/>
        </w:rPr>
        <w:t> </w:t>
      </w:r>
      <w:r>
        <w:rPr>
          <w:spacing w:val="-46"/>
        </w:rPr>
      </w:r>
      <w:r>
        <w:rPr>
          <w:spacing w:val="-2"/>
        </w:rPr>
        <w:t>日的即期汇率（或采用按照系统合理的方法确定的、与交易发生日即期汇率近似的汇率折算）折算。按照上述折算产生的外</w:t>
      </w:r>
      <w:r>
        <w:rPr>
          <w:spacing w:val="-64"/>
        </w:rPr>
        <w:t> </w:t>
      </w:r>
      <w:r>
        <w:rPr>
          <w:spacing w:val="-64"/>
        </w:rPr>
      </w:r>
      <w:r>
        <w:rPr/>
        <w:t>币财务报表折算差额，确认为其他综合收益。比较财务报表的折算比照上述规定处理。</w:t>
      </w:r>
    </w:p>
    <w:p>
      <w:pPr>
        <w:pStyle w:val="Heading4"/>
        <w:spacing w:line="240" w:lineRule="auto" w:before="65"/>
        <w:ind w:left="152" w:right="1133"/>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9"/>
        <w:rPr>
          <w:rFonts w:ascii="宋体" w:hAnsi="宋体" w:cs="宋体" w:eastAsia="宋体" w:hint="default"/>
          <w:b/>
          <w:bCs/>
          <w:sz w:val="16"/>
          <w:szCs w:val="16"/>
        </w:rPr>
      </w:pPr>
    </w:p>
    <w:p>
      <w:pPr>
        <w:pStyle w:val="BodyText"/>
        <w:spacing w:line="240" w:lineRule="auto"/>
        <w:ind w:left="513" w:right="1133"/>
        <w:jc w:val="left"/>
      </w:pPr>
      <w:r>
        <w:rPr/>
        <w:t>在本公司成为金融工具合同的一方时确认一项金融资产或金融负债。</w:t>
      </w:r>
    </w:p>
    <w:p>
      <w:pPr>
        <w:spacing w:line="240" w:lineRule="auto" w:before="10"/>
        <w:rPr>
          <w:rFonts w:ascii="宋体" w:hAnsi="宋体" w:cs="宋体" w:eastAsia="宋体" w:hint="default"/>
          <w:sz w:val="17"/>
          <w:szCs w:val="17"/>
        </w:rPr>
      </w:pPr>
    </w:p>
    <w:p>
      <w:pPr>
        <w:pStyle w:val="BodyText"/>
        <w:spacing w:line="451" w:lineRule="auto"/>
        <w:ind w:left="513" w:right="0"/>
        <w:jc w:val="left"/>
      </w:pPr>
      <w:r>
        <w:rPr>
          <w:rFonts w:ascii="Times New Roman" w:hAnsi="Times New Roman" w:cs="Times New Roman" w:eastAsia="Times New Roman" w:hint="default"/>
        </w:rPr>
        <w:t>1</w:t>
      </w:r>
      <w:r>
        <w:rPr/>
        <w:t>、金融资产的分类、确认和计量 </w:t>
      </w:r>
      <w:r>
        <w:rPr>
          <w:spacing w:val="-4"/>
        </w:rPr>
        <w:t>本公司根据管理金融资产的业务模式和金融资产的合同现金流量特征，将金融资产划分为：以摊余成本计量的金融资产；</w:t>
      </w:r>
    </w:p>
    <w:p>
      <w:pPr>
        <w:pStyle w:val="BodyText"/>
        <w:spacing w:line="477" w:lineRule="auto" w:before="74"/>
        <w:ind w:left="513" w:right="1129" w:hanging="361"/>
        <w:jc w:val="left"/>
      </w:pPr>
      <w:r>
        <w:rPr/>
        <w:t>以公允价值计量且其变动计入其他综合收益的金融资产；以公允价值计量且其变动计入当期损益的金融资产。 </w:t>
      </w:r>
      <w:r>
        <w:rPr>
          <w:spacing w:val="-2"/>
        </w:rPr>
        <w:t>金融资产在初始确认时以公允价值计量。对于以公允价值计量且其变动计入当期损益的金融资产，相关交易费用直接计</w:t>
      </w:r>
    </w:p>
    <w:p>
      <w:pPr>
        <w:pStyle w:val="BodyText"/>
        <w:spacing w:line="240" w:lineRule="auto" w:before="54"/>
        <w:ind w:right="1133"/>
        <w:jc w:val="left"/>
      </w:pPr>
      <w:r>
        <w:rPr/>
        <w:t>入当期损益；对于其他类别的金融资产，相关交易费用计入初始确认金额。</w:t>
      </w:r>
    </w:p>
    <w:p>
      <w:pPr>
        <w:spacing w:line="240" w:lineRule="auto" w:before="10"/>
        <w:rPr>
          <w:rFonts w:ascii="宋体" w:hAnsi="宋体" w:cs="宋体" w:eastAsia="宋体" w:hint="default"/>
          <w:sz w:val="17"/>
          <w:szCs w:val="17"/>
        </w:rPr>
      </w:pPr>
    </w:p>
    <w:p>
      <w:pPr>
        <w:pStyle w:val="BodyText"/>
        <w:spacing w:line="240" w:lineRule="auto"/>
        <w:ind w:left="513" w:right="1133"/>
        <w:jc w:val="left"/>
      </w:pPr>
      <w:r>
        <w:rPr/>
        <w:t>（</w:t>
      </w:r>
      <w:r>
        <w:rPr>
          <w:rFonts w:ascii="Times New Roman" w:hAnsi="Times New Roman" w:cs="Times New Roman" w:eastAsia="Times New Roman" w:hint="default"/>
        </w:rPr>
        <w:t>1</w:t>
      </w:r>
      <w:r>
        <w:rPr/>
        <w:t>）以摊余成本计量的金融资产</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7"/>
          <w:szCs w:val="27"/>
        </w:rPr>
      </w:pPr>
    </w:p>
    <w:p>
      <w:pPr>
        <w:pStyle w:val="BodyText"/>
        <w:spacing w:line="477" w:lineRule="auto" w:before="44"/>
        <w:ind w:right="1130" w:firstLine="360"/>
        <w:jc w:val="both"/>
      </w:pPr>
      <w:r>
        <w:rPr>
          <w:spacing w:val="-2"/>
        </w:rPr>
        <w:t>本公司管理以摊余成本计量的金融资产的业务模式为以收取合同现金流量为目标，且此类金融资产的合同现金流量特征</w:t>
      </w:r>
      <w:r>
        <w:rPr/>
        <w:t> </w:t>
      </w:r>
      <w:r>
        <w:rPr>
          <w:spacing w:val="-2"/>
        </w:rPr>
        <w:t>与基本借贷安排相一致，即在特定日期产生的现金流量，仅为对本金和以未偿付本金金额为基础的利息的支付。本公司对于</w:t>
      </w:r>
      <w:r>
        <w:rPr>
          <w:spacing w:val="-63"/>
        </w:rPr>
        <w:t> </w:t>
      </w:r>
      <w:r>
        <w:rPr>
          <w:spacing w:val="-63"/>
        </w:rPr>
      </w:r>
      <w:r>
        <w:rPr/>
        <w:t>此类金融资产，采用实际利率法，按照摊余成本进行后续计量，其摊销或减值产生的利得或损失，计入当期损益。</w:t>
      </w:r>
    </w:p>
    <w:p>
      <w:pPr>
        <w:pStyle w:val="BodyText"/>
        <w:spacing w:line="451" w:lineRule="auto" w:before="54"/>
        <w:ind w:left="513" w:right="1129"/>
        <w:jc w:val="left"/>
      </w:pPr>
      <w:r>
        <w:rPr/>
        <w:t>（</w:t>
      </w:r>
      <w:r>
        <w:rPr>
          <w:rFonts w:ascii="Times New Roman" w:hAnsi="Times New Roman" w:cs="Times New Roman" w:eastAsia="Times New Roman" w:hint="default"/>
        </w:rPr>
        <w:t>2</w:t>
      </w:r>
      <w:r>
        <w:rPr/>
        <w:t>）以公允价值计量且其变动计入其他综合收益的金融资产 </w:t>
      </w:r>
      <w:r>
        <w:rPr>
          <w:spacing w:val="-2"/>
        </w:rPr>
        <w:t>本公司管理此类金融资产的业务模式为既以收取合同现金流量为目标又以出售为目标，且此类金融资产的合同现金流量</w:t>
      </w:r>
    </w:p>
    <w:p>
      <w:pPr>
        <w:pStyle w:val="BodyText"/>
        <w:spacing w:line="477" w:lineRule="auto" w:before="74"/>
        <w:ind w:right="1130"/>
        <w:jc w:val="both"/>
      </w:pPr>
      <w:r>
        <w:rPr>
          <w:spacing w:val="-2"/>
        </w:rPr>
        <w:t>特征与基本借贷安排相一致。本公司对此类金融资产按照公允价值计量且其变动计入其他综合收益，但减值损失或利得、汇</w:t>
      </w:r>
      <w:r>
        <w:rPr>
          <w:spacing w:val="-63"/>
        </w:rPr>
        <w:t> </w:t>
      </w:r>
      <w:r>
        <w:rPr>
          <w:spacing w:val="-63"/>
        </w:rPr>
      </w:r>
      <w:r>
        <w:rPr/>
        <w:t>兑损益和按照实际利率法计算的利息收入计入当期损益。</w:t>
      </w:r>
    </w:p>
    <w:p>
      <w:pPr>
        <w:pStyle w:val="BodyText"/>
        <w:spacing w:line="477" w:lineRule="auto" w:before="54"/>
        <w:ind w:right="1130" w:firstLine="360"/>
        <w:jc w:val="both"/>
      </w:pPr>
      <w:r>
        <w:rPr>
          <w:spacing w:val="-2"/>
        </w:rPr>
        <w:t>此外，本公司将部分非交易性权益工具投资指定为以公允价值计量且其变动计入其他综合收益的金融资产。本公司将该</w:t>
      </w:r>
      <w:r>
        <w:rPr/>
        <w:t> </w:t>
      </w:r>
      <w:r>
        <w:rPr>
          <w:spacing w:val="-2"/>
        </w:rPr>
        <w:t>类金融资产的相关股利收入计入当期损益，公允价值变动计入其他综合收益。当该金融资产终止确认时，之前计入其他综合</w:t>
      </w:r>
      <w:r>
        <w:rPr>
          <w:spacing w:val="-63"/>
        </w:rPr>
        <w:t> </w:t>
      </w:r>
      <w:r>
        <w:rPr>
          <w:spacing w:val="-63"/>
        </w:rPr>
      </w:r>
      <w:r>
        <w:rPr/>
        <w:t>收益的累计利得或损失将从其他综合收益转入留存收益，不计入当期损益。</w:t>
      </w:r>
    </w:p>
    <w:p>
      <w:pPr>
        <w:pStyle w:val="BodyText"/>
        <w:spacing w:line="451" w:lineRule="auto" w:before="54"/>
        <w:ind w:left="513" w:right="1129"/>
        <w:jc w:val="left"/>
      </w:pPr>
      <w:r>
        <w:rPr/>
        <w:t>（</w:t>
      </w:r>
      <w:r>
        <w:rPr>
          <w:rFonts w:ascii="Times New Roman" w:hAnsi="Times New Roman" w:cs="Times New Roman" w:eastAsia="Times New Roman" w:hint="default"/>
        </w:rPr>
        <w:t>3</w:t>
      </w:r>
      <w:r>
        <w:rPr/>
        <w:t>）以公允价值计量且其变动计入当期损益的金融资产 </w:t>
      </w:r>
      <w:r>
        <w:rPr>
          <w:spacing w:val="-2"/>
        </w:rPr>
        <w:t>本公司将上述以摊余成本计量的金融资产和以公允价值计量且其变动计入其他综合收益的金融资产之外的金融资产，分</w:t>
      </w:r>
    </w:p>
    <w:p>
      <w:pPr>
        <w:pStyle w:val="BodyText"/>
        <w:spacing w:line="477" w:lineRule="auto" w:before="74"/>
        <w:ind w:right="1131"/>
        <w:jc w:val="both"/>
      </w:pPr>
      <w:r>
        <w:rPr>
          <w:spacing w:val="-2"/>
        </w:rPr>
        <w:t>类为以公允价值计量且其变动计入当期损益的金融资产。此外，在初始确认时，本公司为了消除或显着减少会计错配，将部</w:t>
      </w:r>
      <w:r>
        <w:rPr>
          <w:spacing w:val="-64"/>
        </w:rPr>
        <w:t> </w:t>
      </w:r>
      <w:r>
        <w:rPr>
          <w:spacing w:val="-64"/>
        </w:rPr>
      </w:r>
      <w:r>
        <w:rPr>
          <w:spacing w:val="-2"/>
        </w:rPr>
        <w:t>分金融资产指定为以公允价值计量且其变动计入当期损益的金融资产。对于此类金融资产，本公司采用公允价值进行后续计</w:t>
      </w:r>
      <w:r>
        <w:rPr>
          <w:spacing w:val="-64"/>
        </w:rPr>
        <w:t> </w:t>
      </w:r>
      <w:r>
        <w:rPr>
          <w:spacing w:val="-64"/>
        </w:rPr>
      </w:r>
      <w:r>
        <w:rPr/>
        <w:t>量，公允价值变动计入当期损益。</w:t>
      </w:r>
    </w:p>
    <w:p>
      <w:pPr>
        <w:pStyle w:val="BodyText"/>
        <w:spacing w:line="451" w:lineRule="auto" w:before="54"/>
        <w:ind w:left="513" w:right="1129"/>
        <w:jc w:val="left"/>
      </w:pPr>
      <w:r>
        <w:rPr>
          <w:rFonts w:ascii="Times New Roman" w:hAnsi="Times New Roman" w:cs="Times New Roman" w:eastAsia="Times New Roman" w:hint="default"/>
        </w:rPr>
        <w:t>2</w:t>
      </w:r>
      <w:r>
        <w:rPr/>
        <w:t>、金融负债的分类、确认和计量 </w:t>
      </w:r>
      <w:r>
        <w:rPr>
          <w:spacing w:val="-2"/>
        </w:rPr>
        <w:t>金融负债于初始确认时分类为以公允价值计量且其变动计入当期损益的金融负债和其他金融负债。对于以公允价值计量</w:t>
      </w:r>
    </w:p>
    <w:p>
      <w:pPr>
        <w:pStyle w:val="BodyText"/>
        <w:spacing w:line="240" w:lineRule="auto" w:before="74"/>
        <w:ind w:right="0"/>
        <w:jc w:val="both"/>
      </w:pPr>
      <w:r>
        <w:rPr/>
        <w:t>且其变动计入当期损益的金融负债，相关交易费用直接计入当期损益，其他金融负债的相关交易费用计入其初始确认金额。</w:t>
      </w:r>
    </w:p>
    <w:p>
      <w:pPr>
        <w:spacing w:line="240" w:lineRule="auto" w:before="10"/>
        <w:rPr>
          <w:rFonts w:ascii="宋体" w:hAnsi="宋体" w:cs="宋体" w:eastAsia="宋体" w:hint="default"/>
          <w:sz w:val="17"/>
          <w:szCs w:val="17"/>
        </w:rPr>
      </w:pPr>
    </w:p>
    <w:p>
      <w:pPr>
        <w:pStyle w:val="BodyText"/>
        <w:spacing w:line="451" w:lineRule="auto"/>
        <w:ind w:left="513" w:right="1129"/>
        <w:jc w:val="left"/>
      </w:pPr>
      <w:r>
        <w:rPr/>
        <w:t>（</w:t>
      </w:r>
      <w:r>
        <w:rPr>
          <w:rFonts w:ascii="Times New Roman" w:hAnsi="Times New Roman" w:cs="Times New Roman" w:eastAsia="Times New Roman" w:hint="default"/>
        </w:rPr>
        <w:t>1</w:t>
      </w:r>
      <w:r>
        <w:rPr/>
        <w:t>）以公允价值计量且其变动计入当期损益的金融负债 </w:t>
      </w:r>
      <w:r>
        <w:rPr>
          <w:spacing w:val="-2"/>
        </w:rPr>
        <w:t>以公允价值计量且其变动计入当期损益的金融负债，包括交易性金融负债（含属于金融负债的衍生工具）和初始确认时</w:t>
      </w:r>
    </w:p>
    <w:p>
      <w:pPr>
        <w:pStyle w:val="BodyText"/>
        <w:spacing w:line="477" w:lineRule="auto" w:before="74"/>
        <w:ind w:left="513" w:right="1133" w:hanging="361"/>
        <w:jc w:val="left"/>
      </w:pPr>
      <w:r>
        <w:rPr/>
        <w:t>指定为以公允价值计量且其变动计入当期损益的金融负债。 </w:t>
      </w:r>
      <w:r>
        <w:rPr>
          <w:spacing w:val="-2"/>
        </w:rPr>
        <w:t>交易性金融负债（含属于金融负债的衍生工具），按照公允价值进行后续计量，除与套期会计有关外，公允价值变动计</w:t>
      </w:r>
    </w:p>
    <w:p>
      <w:pPr>
        <w:pStyle w:val="BodyText"/>
        <w:spacing w:line="240" w:lineRule="auto" w:before="54"/>
        <w:ind w:right="0"/>
        <w:jc w:val="both"/>
      </w:pPr>
      <w:r>
        <w:rPr/>
        <w:t>入当期损益。</w:t>
      </w:r>
    </w:p>
    <w:p>
      <w:pPr>
        <w:spacing w:line="240" w:lineRule="auto" w:before="10"/>
        <w:rPr>
          <w:rFonts w:ascii="宋体" w:hAnsi="宋体" w:cs="宋体" w:eastAsia="宋体" w:hint="default"/>
          <w:sz w:val="17"/>
          <w:szCs w:val="17"/>
        </w:rPr>
      </w:pPr>
    </w:p>
    <w:p>
      <w:pPr>
        <w:pStyle w:val="BodyText"/>
        <w:spacing w:line="477" w:lineRule="auto"/>
        <w:ind w:right="0" w:firstLine="360"/>
        <w:jc w:val="left"/>
      </w:pPr>
      <w:r>
        <w:rPr>
          <w:spacing w:val="-2"/>
        </w:rPr>
        <w:t>被指定为以公允价值计量且其变动计入当期损益的金融负债，该负债由本公司自身信用风险变动引起的公允价值变动计</w:t>
      </w:r>
      <w:r>
        <w:rPr/>
        <w:t> </w:t>
      </w:r>
      <w:r>
        <w:rPr>
          <w:spacing w:val="-4"/>
        </w:rPr>
        <w:t>入其他综合收益，且终止确认该负债时，计入其他综合收益的自身信用风险变动引起的其公允价值累计变动额转入留存收益。</w:t>
      </w:r>
      <w:r>
        <w:rPr>
          <w:spacing w:val="-44"/>
        </w:rPr>
        <w:t> </w:t>
      </w:r>
      <w:r>
        <w:rPr>
          <w:spacing w:val="-44"/>
        </w:rPr>
      </w:r>
      <w:r>
        <w:rPr>
          <w:spacing w:val="-2"/>
        </w:rPr>
        <w:t>其余公允价值变动计入当期损益。若按上述方式对该等金融负债的自身信用风险变动的影响进行处理会造成或扩大损益中的</w:t>
      </w:r>
      <w:r>
        <w:rPr>
          <w:spacing w:val="-64"/>
        </w:rPr>
        <w:t> </w:t>
      </w:r>
      <w:r>
        <w:rPr>
          <w:spacing w:val="-64"/>
        </w:rPr>
      </w:r>
      <w:r>
        <w:rPr/>
        <w:t>会计错配的，本公司将该金融负债的全部利得或损失（包括企业自身信用风险变动的影响金额）计入当期损益。</w:t>
      </w:r>
    </w:p>
    <w:p>
      <w:pPr>
        <w:pStyle w:val="BodyText"/>
        <w:spacing w:line="451" w:lineRule="auto" w:before="54"/>
        <w:ind w:left="513" w:right="1129"/>
        <w:jc w:val="left"/>
      </w:pPr>
      <w:r>
        <w:rPr/>
        <w:t>（</w:t>
      </w:r>
      <w:r>
        <w:rPr>
          <w:rFonts w:ascii="Times New Roman" w:hAnsi="Times New Roman" w:cs="Times New Roman" w:eastAsia="Times New Roman" w:hint="default"/>
        </w:rPr>
        <w:t>2</w:t>
      </w:r>
      <w:r>
        <w:rPr/>
        <w:t>）其他金融负债 </w:t>
      </w:r>
      <w:r>
        <w:rPr>
          <w:spacing w:val="-2"/>
        </w:rPr>
        <w:t>除金融资产转移不符合终止确认条件或继续涉入被转移金融资产所形成的金融负债、财务担保合同外的其他金融负债分</w:t>
      </w:r>
    </w:p>
    <w:p>
      <w:pPr>
        <w:pStyle w:val="BodyText"/>
        <w:spacing w:line="240" w:lineRule="auto" w:before="74"/>
        <w:ind w:right="0"/>
        <w:jc w:val="both"/>
      </w:pPr>
      <w:r>
        <w:rPr/>
        <w:t>类为以摊余成本计量的金融负债，按摊余成本进行后续计量，终止确认或摊销产生的利得或损失计入当期损益。</w:t>
      </w:r>
    </w:p>
    <w:p>
      <w:pPr>
        <w:spacing w:after="0" w:line="240" w:lineRule="auto"/>
        <w:jc w:val="both"/>
        <w:sectPr>
          <w:pgSz w:w="11910" w:h="16840"/>
          <w:pgMar w:header="877" w:footer="980" w:top="1100" w:bottom="1160" w:left="980" w:right="0"/>
        </w:sectPr>
      </w:pPr>
    </w:p>
    <w:p>
      <w:pPr>
        <w:spacing w:line="240" w:lineRule="auto" w:before="11"/>
        <w:rPr>
          <w:rFonts w:ascii="宋体" w:hAnsi="宋体" w:cs="宋体" w:eastAsia="宋体" w:hint="default"/>
          <w:sz w:val="27"/>
          <w:szCs w:val="27"/>
        </w:rPr>
      </w:pPr>
    </w:p>
    <w:p>
      <w:pPr>
        <w:pStyle w:val="BodyText"/>
        <w:spacing w:line="240" w:lineRule="auto" w:before="44"/>
        <w:ind w:left="513" w:right="1133"/>
        <w:jc w:val="left"/>
      </w:pPr>
      <w:r>
        <w:rPr>
          <w:rFonts w:ascii="Times New Roman" w:hAnsi="Times New Roman" w:cs="Times New Roman" w:eastAsia="Times New Roman" w:hint="default"/>
        </w:rPr>
        <w:t>3</w:t>
      </w:r>
      <w:r>
        <w:rPr/>
        <w:t>、金融资产转移的确认依据和计量方法</w:t>
      </w:r>
    </w:p>
    <w:p>
      <w:pPr>
        <w:spacing w:line="240" w:lineRule="auto" w:before="10"/>
        <w:rPr>
          <w:rFonts w:ascii="宋体" w:hAnsi="宋体" w:cs="宋体" w:eastAsia="宋体" w:hint="default"/>
          <w:sz w:val="16"/>
          <w:szCs w:val="16"/>
        </w:rPr>
      </w:pPr>
    </w:p>
    <w:p>
      <w:pPr>
        <w:pStyle w:val="BodyText"/>
        <w:spacing w:line="477" w:lineRule="auto"/>
        <w:ind w:right="1132"/>
        <w:jc w:val="both"/>
      </w:pPr>
      <w:r>
        <w:rPr/>
        <w:t>满足下列条件之一的金融资产，予以终止确认：①</w:t>
      </w:r>
      <w:r>
        <w:rPr>
          <w:spacing w:val="-40"/>
        </w:rPr>
        <w:t> </w:t>
      </w:r>
      <w:r>
        <w:rPr/>
        <w:t>收取该金融资产现金流量的合同权利终止；②</w:t>
      </w:r>
      <w:r>
        <w:rPr>
          <w:spacing w:val="-40"/>
        </w:rPr>
        <w:t> </w:t>
      </w:r>
      <w:r>
        <w:rPr/>
        <w:t>该金融资产已转移，且将</w:t>
      </w:r>
      <w:r>
        <w:rPr/>
        <w:t> </w:t>
      </w:r>
      <w:r>
        <w:rPr>
          <w:spacing w:val="-2"/>
        </w:rPr>
        <w:t>金融资产所有权上几乎所有的风险和报酬转移给转入方；③该金融资产已转移，虽然企业既没有转移也没有保留金融资产所</w:t>
      </w:r>
      <w:r>
        <w:rPr>
          <w:spacing w:val="-63"/>
        </w:rPr>
        <w:t> </w:t>
      </w:r>
      <w:r>
        <w:rPr>
          <w:spacing w:val="-63"/>
        </w:rPr>
      </w:r>
      <w:r>
        <w:rPr/>
        <w:t>有权上几乎所有的风险和报酬，但是放弃了对该金融资产的控制。</w:t>
      </w:r>
    </w:p>
    <w:p>
      <w:pPr>
        <w:pStyle w:val="BodyText"/>
        <w:spacing w:line="477" w:lineRule="auto" w:before="54"/>
        <w:ind w:right="1130" w:firstLine="360"/>
        <w:jc w:val="both"/>
      </w:pPr>
      <w:r>
        <w:rPr>
          <w:spacing w:val="-2"/>
        </w:rPr>
        <w:t>若企业既没有转移也没有保留金融资产所有权上几乎所有的风险和报酬，且未放弃对该金融资产的控制的，则按照继续</w:t>
      </w:r>
      <w:r>
        <w:rPr/>
        <w:t> </w:t>
      </w:r>
      <w:r>
        <w:rPr>
          <w:spacing w:val="-2"/>
        </w:rPr>
        <w:t>涉入所转移金融资产的程度确认有关金融资产，并相应确认有关负债。继续涉入所转移金融资产的程度，是指该金融资产价</w:t>
      </w:r>
      <w:r>
        <w:rPr>
          <w:spacing w:val="-63"/>
        </w:rPr>
        <w:t> </w:t>
      </w:r>
      <w:r>
        <w:rPr>
          <w:spacing w:val="-63"/>
        </w:rPr>
      </w:r>
      <w:r>
        <w:rPr/>
        <w:t>值变动使企业面临的风险水平。</w:t>
      </w:r>
    </w:p>
    <w:p>
      <w:pPr>
        <w:pStyle w:val="BodyText"/>
        <w:spacing w:line="477" w:lineRule="auto" w:before="54"/>
        <w:ind w:right="1132" w:firstLine="360"/>
        <w:jc w:val="both"/>
      </w:pPr>
      <w:r>
        <w:rPr>
          <w:spacing w:val="-2"/>
        </w:rPr>
        <w:t>金融资产整体转移满足终止确认条件的，将所转移金融资产的账面价值及因转移而收到的对价与原计入其他综合收益的</w:t>
      </w:r>
      <w:r>
        <w:rPr/>
        <w:t> 公允价值变动累计额之和的差额计入当期损益。</w:t>
      </w:r>
    </w:p>
    <w:p>
      <w:pPr>
        <w:pStyle w:val="BodyText"/>
        <w:spacing w:line="477" w:lineRule="auto" w:before="55"/>
        <w:ind w:right="1132" w:firstLine="360"/>
        <w:jc w:val="both"/>
      </w:pPr>
      <w:r>
        <w:rPr>
          <w:spacing w:val="-2"/>
        </w:rPr>
        <w:t>金融资产部分转移满足终止确认条件的，将所转移金融资产的账面价值在终止确认及未终止确认部分之间按其相对的公</w:t>
      </w:r>
      <w:r>
        <w:rPr/>
        <w:t> </w:t>
      </w:r>
      <w:r>
        <w:rPr>
          <w:spacing w:val="-2"/>
        </w:rPr>
        <w:t>允价值进行分摊，并将因转移而收到的对价与应分摊至终止确认部分的原计入其他综合收益的公允价值变动累计额之和与分</w:t>
      </w:r>
      <w:r>
        <w:rPr>
          <w:spacing w:val="-64"/>
        </w:rPr>
        <w:t> </w:t>
      </w:r>
      <w:r>
        <w:rPr>
          <w:spacing w:val="-64"/>
        </w:rPr>
      </w:r>
      <w:r>
        <w:rPr/>
        <w:t>摊的前述账面金额之差额计入当期损益。</w:t>
      </w:r>
    </w:p>
    <w:p>
      <w:pPr>
        <w:pStyle w:val="BodyText"/>
        <w:spacing w:line="477" w:lineRule="auto" w:before="54"/>
        <w:ind w:right="1132" w:firstLine="360"/>
        <w:jc w:val="both"/>
      </w:pPr>
      <w:r>
        <w:rPr>
          <w:spacing w:val="-2"/>
        </w:rPr>
        <w:t>本公司对采用附追索权方式出售的金融资产，或将持有的金融资产背书转让，需确定该金融资产所有权上几乎所有的风</w:t>
      </w:r>
      <w:r>
        <w:rPr/>
        <w:t> </w:t>
      </w:r>
      <w:r>
        <w:rPr>
          <w:spacing w:val="-2"/>
        </w:rPr>
        <w:t>险和报酬是否已经转移。已将该金融资产所有权上几乎所有的风险和报酬转移给转入方的，终止确认该金融资产；保留了金</w:t>
      </w:r>
      <w:r>
        <w:rPr>
          <w:spacing w:val="-66"/>
        </w:rPr>
        <w:t> </w:t>
      </w:r>
      <w:r>
        <w:rPr>
          <w:spacing w:val="-66"/>
        </w:rPr>
      </w:r>
      <w:r>
        <w:rPr>
          <w:spacing w:val="-2"/>
        </w:rPr>
        <w:t>融资产所有权上几乎所有的风险和报酬的，不终止确认该金融资产；既没有转移也没有保留金融资产所有权上几乎所有的风</w:t>
      </w:r>
      <w:r>
        <w:rPr>
          <w:spacing w:val="-64"/>
        </w:rPr>
        <w:t> </w:t>
      </w:r>
      <w:r>
        <w:rPr>
          <w:spacing w:val="-64"/>
        </w:rPr>
      </w:r>
      <w:r>
        <w:rPr/>
        <w:t>险和报酬的，则继续判断企业是否对该资产保留了控制，并根据前面各段所述的原则进行会计处理。</w:t>
      </w:r>
    </w:p>
    <w:p>
      <w:pPr>
        <w:pStyle w:val="BodyText"/>
        <w:spacing w:line="451" w:lineRule="auto" w:before="54"/>
        <w:ind w:left="513" w:right="0"/>
        <w:jc w:val="left"/>
      </w:pPr>
      <w:r>
        <w:rPr>
          <w:rFonts w:ascii="Times New Roman" w:hAnsi="Times New Roman" w:cs="Times New Roman" w:eastAsia="Times New Roman" w:hint="default"/>
        </w:rPr>
        <w:t>4</w:t>
      </w:r>
      <w:r>
        <w:rPr/>
        <w:t>、金融负债的终止确认 </w:t>
      </w:r>
      <w:r>
        <w:rPr>
          <w:spacing w:val="-4"/>
        </w:rPr>
        <w:t>金融负债（或其一部分）的现时义务已经解除的，本公司终止确认该金融负债（或该部分金融负债）。本公司（借入方）</w:t>
      </w:r>
    </w:p>
    <w:p>
      <w:pPr>
        <w:pStyle w:val="BodyText"/>
        <w:spacing w:line="477" w:lineRule="auto" w:before="74"/>
        <w:ind w:right="1130"/>
        <w:jc w:val="both"/>
      </w:pPr>
      <w:r>
        <w:rPr>
          <w:spacing w:val="-2"/>
        </w:rPr>
        <w:t>与借出方签订协议，以承担新金融负债的方式替换原金融负债，且新金融负债与原金融负债的合同条款实质上不同的，终止</w:t>
      </w:r>
      <w:r>
        <w:rPr>
          <w:spacing w:val="-63"/>
        </w:rPr>
        <w:t> </w:t>
      </w:r>
      <w:r>
        <w:rPr>
          <w:spacing w:val="-63"/>
        </w:rPr>
      </w:r>
      <w:r>
        <w:rPr>
          <w:spacing w:val="-2"/>
        </w:rPr>
        <w:t>确认原金融负债，同时确认一项新金融负债。本公司对原金融负债（或其一部分）的合同条款作出实质性修改的，终止确认</w:t>
      </w:r>
      <w:r>
        <w:rPr>
          <w:spacing w:val="-67"/>
        </w:rPr>
        <w:t> </w:t>
      </w:r>
      <w:r>
        <w:rPr>
          <w:spacing w:val="-67"/>
        </w:rPr>
      </w:r>
      <w:r>
        <w:rPr/>
        <w:t>原金融负债，同时按照修改后的条款确认一项新金融负债。</w:t>
      </w:r>
    </w:p>
    <w:p>
      <w:pPr>
        <w:pStyle w:val="BodyText"/>
        <w:spacing w:line="477" w:lineRule="auto" w:before="54"/>
        <w:ind w:right="1134" w:firstLine="360"/>
        <w:jc w:val="both"/>
      </w:pPr>
      <w:r>
        <w:rPr>
          <w:spacing w:val="-2"/>
        </w:rPr>
        <w:t>金融负债（或其一部分）终止确认的，本公司将其账面价值与支付的对价（包括转出的非现金资产或承担的负债）之间</w:t>
      </w:r>
      <w:r>
        <w:rPr/>
        <w:t> 的差额，计入当期损益。</w:t>
      </w:r>
    </w:p>
    <w:p>
      <w:pPr>
        <w:pStyle w:val="BodyText"/>
        <w:spacing w:line="451" w:lineRule="auto" w:before="54"/>
        <w:ind w:left="513" w:right="1129"/>
        <w:jc w:val="left"/>
      </w:pPr>
      <w:r>
        <w:rPr>
          <w:rFonts w:ascii="Times New Roman" w:hAnsi="Times New Roman" w:cs="Times New Roman" w:eastAsia="Times New Roman" w:hint="default"/>
        </w:rPr>
        <w:t>5</w:t>
      </w:r>
      <w:r>
        <w:rPr/>
        <w:t>、金融资产和金融负债的抵销 </w:t>
      </w:r>
      <w:r>
        <w:rPr>
          <w:spacing w:val="-2"/>
        </w:rPr>
        <w:t>当本公司具有抵销已确认金额的金融资产和金融负债的法定权利，且该种法定权利是当前可执行的，同时本公司计划以</w:t>
      </w:r>
    </w:p>
    <w:p>
      <w:pPr>
        <w:pStyle w:val="BodyText"/>
        <w:spacing w:line="477" w:lineRule="auto" w:before="74"/>
        <w:ind w:right="1133"/>
        <w:jc w:val="both"/>
      </w:pPr>
      <w:r>
        <w:rPr>
          <w:spacing w:val="-2"/>
        </w:rPr>
        <w:t>净额结算或同时变现该金融资产和清偿该金融负债时，金融资产和金融负债以相互抵销后的净额在资产负债表内列示。除此</w:t>
      </w:r>
      <w:r>
        <w:rPr>
          <w:spacing w:val="-64"/>
        </w:rPr>
        <w:t> </w:t>
      </w:r>
      <w:r>
        <w:rPr>
          <w:spacing w:val="-64"/>
        </w:rPr>
      </w:r>
      <w:r>
        <w:rPr/>
        <w:t>以外，金融资产和金融负债在资产负债表内分别列示，不予相互抵销。</w:t>
      </w:r>
    </w:p>
    <w:p>
      <w:pPr>
        <w:pStyle w:val="BodyText"/>
        <w:spacing w:line="451" w:lineRule="auto" w:before="54"/>
        <w:ind w:left="513" w:right="1129"/>
        <w:jc w:val="left"/>
      </w:pPr>
      <w:r>
        <w:rPr>
          <w:rFonts w:ascii="Times New Roman" w:hAnsi="Times New Roman" w:cs="Times New Roman" w:eastAsia="Times New Roman" w:hint="default"/>
        </w:rPr>
        <w:t>6</w:t>
      </w:r>
      <w:r>
        <w:rPr/>
        <w:t>、金融资产和金融负债的公允价值确定方法 </w:t>
      </w:r>
      <w:r>
        <w:rPr>
          <w:spacing w:val="-2"/>
        </w:rPr>
        <w:t>公允价值，是指市场参与者在计量日发生的有序交易中，出售一项资产所能收到或者转移一项负债所需支付的价格。金</w:t>
      </w:r>
    </w:p>
    <w:p>
      <w:pPr>
        <w:pStyle w:val="BodyText"/>
        <w:spacing w:line="240" w:lineRule="auto" w:before="74"/>
        <w:ind w:right="0"/>
        <w:jc w:val="both"/>
      </w:pPr>
      <w:r>
        <w:rPr>
          <w:spacing w:val="-4"/>
        </w:rPr>
        <w:t>融工具存在活跃市场的，本公司采用活跃市场中的报价确定其公允价值。活跃市场中的报价是指易于定期从交易所、经纪商、</w:t>
      </w:r>
    </w:p>
    <w:p>
      <w:pPr>
        <w:spacing w:after="0" w:line="240" w:lineRule="auto"/>
        <w:jc w:val="both"/>
        <w:sectPr>
          <w:pgSz w:w="11910" w:h="16840"/>
          <w:pgMar w:header="877" w:footer="980" w:top="1100" w:bottom="1160" w:left="980" w:right="0"/>
        </w:sectPr>
      </w:pPr>
    </w:p>
    <w:p>
      <w:pPr>
        <w:spacing w:line="240" w:lineRule="auto" w:before="11"/>
        <w:rPr>
          <w:rFonts w:ascii="宋体" w:hAnsi="宋体" w:cs="宋体" w:eastAsia="宋体" w:hint="default"/>
          <w:sz w:val="27"/>
          <w:szCs w:val="27"/>
        </w:rPr>
      </w:pPr>
    </w:p>
    <w:p>
      <w:pPr>
        <w:pStyle w:val="BodyText"/>
        <w:spacing w:line="477" w:lineRule="auto" w:before="44"/>
        <w:ind w:right="1034"/>
        <w:jc w:val="left"/>
      </w:pPr>
      <w:r>
        <w:rPr/>
        <w:t>行业协会、定价服务机构等获得的价格，且代表了在公平交易中实际发生的市场交易的价格。金融工具不存在活跃市场的， </w:t>
      </w:r>
      <w:r>
        <w:rPr>
          <w:spacing w:val="-2"/>
        </w:rPr>
        <w:t>本公司采用估值技术确定其公允价值。估值技术包括参考熟悉情况并自愿交易的各方最近进行的市场交易中使用的价格、参</w:t>
      </w:r>
      <w:r>
        <w:rPr>
          <w:spacing w:val="-64"/>
        </w:rPr>
        <w:t> </w:t>
      </w:r>
      <w:r>
        <w:rPr>
          <w:spacing w:val="-64"/>
        </w:rPr>
      </w:r>
      <w:r>
        <w:rPr>
          <w:spacing w:val="-2"/>
        </w:rPr>
        <w:t>照实质上相同的其他金融工具当前的公允价值、现金流量折现法和期权定价模型等。在估值时，公司采用在当前情况下适用</w:t>
      </w:r>
      <w:r>
        <w:rPr>
          <w:spacing w:val="-63"/>
        </w:rPr>
        <w:t> </w:t>
      </w:r>
      <w:r>
        <w:rPr>
          <w:spacing w:val="-63"/>
        </w:rPr>
      </w:r>
      <w:r>
        <w:rPr>
          <w:spacing w:val="-2"/>
        </w:rPr>
        <w:t>并且有足够可利用数据和其他信息支持的估值技术，选择与市场参与者在相关资产或负债的交易中所考虑的资产或负债特征</w:t>
      </w:r>
      <w:r>
        <w:rPr>
          <w:spacing w:val="-64"/>
        </w:rPr>
        <w:t> </w:t>
      </w:r>
      <w:r>
        <w:rPr>
          <w:spacing w:val="-64"/>
        </w:rPr>
      </w:r>
      <w:r>
        <w:rPr>
          <w:spacing w:val="-2"/>
        </w:rPr>
        <w:t>相一致的输入值，并尽可能优先使用相关可观察输入值。在相关可观察输入值无法取得或取得不切实可行的情况下，使用不</w:t>
      </w:r>
      <w:r>
        <w:rPr>
          <w:spacing w:val="-61"/>
        </w:rPr>
        <w:t> </w:t>
      </w:r>
      <w:r>
        <w:rPr>
          <w:spacing w:val="-61"/>
        </w:rPr>
      </w:r>
      <w:r>
        <w:rPr/>
        <w:t>可输入值。</w:t>
      </w:r>
    </w:p>
    <w:p>
      <w:pPr>
        <w:pStyle w:val="BodyText"/>
        <w:spacing w:line="451" w:lineRule="auto" w:before="54"/>
        <w:ind w:left="513" w:right="1133"/>
        <w:jc w:val="left"/>
      </w:pPr>
      <w:r>
        <w:rPr>
          <w:rFonts w:ascii="Times New Roman" w:hAnsi="Times New Roman" w:cs="Times New Roman" w:eastAsia="Times New Roman" w:hint="default"/>
        </w:rPr>
        <w:t>7</w:t>
      </w:r>
      <w:r>
        <w:rPr/>
        <w:t>、权益工具 </w:t>
      </w:r>
      <w:r>
        <w:rPr>
          <w:spacing w:val="-2"/>
        </w:rPr>
        <w:t>权益工具是指能证明拥有本公司在扣除所有负债后的资产中的剩余权益的合同。本公司发行（含再融资）、回购、出售</w:t>
      </w:r>
    </w:p>
    <w:p>
      <w:pPr>
        <w:pStyle w:val="BodyText"/>
        <w:spacing w:line="477" w:lineRule="auto" w:before="74"/>
        <w:ind w:left="513" w:right="0" w:hanging="361"/>
        <w:jc w:val="left"/>
      </w:pPr>
      <w:r>
        <w:rPr>
          <w:spacing w:val="-4"/>
        </w:rPr>
        <w:t>或注销权益工具作为权益的变动处理，与权益性交易相关的交易费用从权益中扣减。本公司不确认权益工具的公允价值变动。</w:t>
      </w:r>
      <w:r>
        <w:rPr>
          <w:spacing w:val="-44"/>
        </w:rPr>
        <w:t> </w:t>
      </w:r>
      <w:r>
        <w:rPr>
          <w:spacing w:val="-44"/>
        </w:rPr>
      </w:r>
      <w:r>
        <w:rPr/>
        <w:t>本公司权益工具在存续期间分派股利（含分类为权益工具的工具所产生的</w:t>
      </w:r>
      <w:r>
        <w:rPr>
          <w:rFonts w:ascii="Times New Roman" w:hAnsi="Times New Roman" w:cs="Times New Roman" w:eastAsia="Times New Roman" w:hint="default"/>
        </w:rPr>
        <w:t>“</w:t>
      </w:r>
      <w:r>
        <w:rPr/>
        <w:t>利息</w:t>
      </w:r>
      <w:r>
        <w:rPr>
          <w:rFonts w:ascii="Times New Roman" w:hAnsi="Times New Roman" w:cs="Times New Roman" w:eastAsia="Times New Roman" w:hint="default"/>
        </w:rPr>
        <w:t>”</w:t>
      </w:r>
      <w:r>
        <w:rPr/>
        <w:t>）的，作为利润分配处理。</w:t>
      </w:r>
    </w:p>
    <w:p>
      <w:pPr>
        <w:pStyle w:val="Heading4"/>
        <w:spacing w:line="240" w:lineRule="auto" w:before="21"/>
        <w:ind w:left="152" w:right="1133"/>
        <w:jc w:val="left"/>
        <w:rPr>
          <w:b w:val="0"/>
          <w:bCs w:val="0"/>
        </w:rPr>
      </w:pPr>
      <w:r>
        <w:rPr/>
        <w:t>金融工具减值</w:t>
      </w:r>
      <w:r>
        <w:rPr>
          <w:b w:val="0"/>
          <w:bCs w:val="0"/>
        </w:rPr>
      </w:r>
    </w:p>
    <w:p>
      <w:pPr>
        <w:spacing w:line="240" w:lineRule="auto" w:before="10"/>
        <w:rPr>
          <w:rFonts w:ascii="宋体" w:hAnsi="宋体" w:cs="宋体" w:eastAsia="宋体" w:hint="default"/>
          <w:b/>
          <w:bCs/>
          <w:sz w:val="17"/>
          <w:szCs w:val="17"/>
        </w:rPr>
      </w:pPr>
    </w:p>
    <w:p>
      <w:pPr>
        <w:pStyle w:val="BodyText"/>
        <w:spacing w:line="477" w:lineRule="auto"/>
        <w:ind w:right="1132" w:firstLine="360"/>
        <w:jc w:val="both"/>
      </w:pPr>
      <w:r>
        <w:rPr>
          <w:spacing w:val="-2"/>
        </w:rPr>
        <w:t>本公司需确认减值损失的金融工具系以摊余成本计量的金融资产（含应收款项）、以公允价值计量且其变动计入其他综</w:t>
      </w:r>
      <w:r>
        <w:rPr/>
        <w:t> </w:t>
      </w:r>
      <w:r>
        <w:rPr>
          <w:spacing w:val="-2"/>
        </w:rPr>
        <w:t>合收益的债务工具投资、租赁应收款，主要包括应收票据、应收账款、其他应收款、债权投资、其他债权投资、长期应收款</w:t>
      </w:r>
      <w:r>
        <w:rPr>
          <w:spacing w:val="-71"/>
        </w:rPr>
        <w:t> </w:t>
      </w:r>
      <w:r>
        <w:rPr>
          <w:spacing w:val="-71"/>
        </w:rPr>
      </w:r>
      <w:r>
        <w:rPr/>
        <w:t>等。此外，对部分财务担保合同，也应按照本部分所述会计政策计提减值准备和确认信用减值损失。</w:t>
      </w:r>
    </w:p>
    <w:p>
      <w:pPr>
        <w:pStyle w:val="BodyText"/>
        <w:spacing w:line="477" w:lineRule="auto" w:before="54"/>
        <w:ind w:left="513" w:right="1033"/>
        <w:jc w:val="left"/>
      </w:pPr>
      <w:r>
        <w:rPr>
          <w:rFonts w:ascii="宋体" w:hAnsi="宋体" w:cs="宋体" w:eastAsia="宋体" w:hint="default"/>
        </w:rPr>
        <w:t>1</w:t>
      </w:r>
      <w:r>
        <w:rPr/>
        <w:t>、减值准备的确认方法 本公司以预期信用损失为基础，对上述各项目按照其适用的预期信用损失计量方法计提减值准备并确认信用减值损失。 </w:t>
      </w:r>
      <w:r>
        <w:rPr>
          <w:spacing w:val="-2"/>
        </w:rPr>
        <w:t>信用损失，是指本公司按照原实际利率折现的、根据合同应收的所有合同现金流量与预期收取的所有现金流量之间的差</w:t>
      </w:r>
    </w:p>
    <w:p>
      <w:pPr>
        <w:pStyle w:val="BodyText"/>
        <w:spacing w:line="477" w:lineRule="auto" w:before="54"/>
        <w:ind w:right="1129"/>
        <w:jc w:val="left"/>
      </w:pPr>
      <w:r>
        <w:rPr>
          <w:spacing w:val="-2"/>
        </w:rPr>
        <w:t>额，即全部现金短缺的现值。其中，对于本公司购买或源生的已发生信用减值的金融资产，应按照该金融资产经信用调整的</w:t>
      </w:r>
      <w:r>
        <w:rPr>
          <w:spacing w:val="-64"/>
        </w:rPr>
        <w:t> </w:t>
      </w:r>
      <w:r>
        <w:rPr>
          <w:spacing w:val="-64"/>
        </w:rPr>
      </w:r>
      <w:r>
        <w:rPr/>
        <w:t>实际利率折现。</w:t>
      </w:r>
    </w:p>
    <w:p>
      <w:pPr>
        <w:pStyle w:val="BodyText"/>
        <w:spacing w:line="477" w:lineRule="auto" w:before="54"/>
        <w:ind w:right="1130" w:firstLine="360"/>
        <w:jc w:val="both"/>
      </w:pPr>
      <w:r>
        <w:rPr>
          <w:spacing w:val="-2"/>
        </w:rPr>
        <w:t>预期信用损失计量的一般方法是指，本公司在每个资产负债表日评估金融资产的信用风险自初始确认后是否已经显着增</w:t>
      </w:r>
      <w:r>
        <w:rPr/>
        <w:t> </w:t>
      </w:r>
      <w:r>
        <w:rPr>
          <w:spacing w:val="-2"/>
        </w:rPr>
        <w:t>加，如果信用风险自初始确认后已显着增加，本公司按照相当于整个存续期内预期信用损失的金额计量损失准备；如果信用</w:t>
      </w:r>
      <w:r>
        <w:rPr>
          <w:spacing w:val="-63"/>
        </w:rPr>
        <w:t> </w:t>
      </w:r>
      <w:r>
        <w:rPr>
          <w:spacing w:val="-63"/>
        </w:rPr>
      </w:r>
      <w:r>
        <w:rPr>
          <w:spacing w:val="-2"/>
        </w:rPr>
        <w:t>风险自初始确认后未显着增加，本公司按照相当于未来</w:t>
      </w:r>
      <w:r>
        <w:rPr>
          <w:rFonts w:ascii="宋体" w:hAnsi="宋体" w:cs="宋体" w:eastAsia="宋体" w:hint="default"/>
          <w:spacing w:val="-2"/>
        </w:rPr>
        <w:t>12</w:t>
      </w:r>
      <w:r>
        <w:rPr>
          <w:spacing w:val="-2"/>
        </w:rPr>
        <w:t>个月内预期信用损失的金额计量损失准备。本公司在评估预期信用</w:t>
      </w:r>
      <w:r>
        <w:rPr>
          <w:spacing w:val="-62"/>
        </w:rPr>
        <w:t> </w:t>
      </w:r>
      <w:r>
        <w:rPr>
          <w:spacing w:val="-62"/>
        </w:rPr>
      </w:r>
      <w:r>
        <w:rPr/>
        <w:t>损失时，考虑所有合理且有依据的信息，包括前瞻性信息。</w:t>
      </w:r>
    </w:p>
    <w:p>
      <w:pPr>
        <w:pStyle w:val="BodyText"/>
        <w:spacing w:line="477" w:lineRule="auto" w:before="54"/>
        <w:ind w:right="1132" w:firstLine="360"/>
        <w:jc w:val="both"/>
      </w:pPr>
      <w:r>
        <w:rPr>
          <w:spacing w:val="-2"/>
        </w:rPr>
        <w:t>对于在资产负债表日具有较低信用风险的金融工具，本公司假设其信用风险自初始确认后并未显着增加，选择按照未来</w:t>
      </w:r>
      <w:r>
        <w:rPr/>
        <w:t> </w:t>
      </w:r>
      <w:r>
        <w:rPr>
          <w:rFonts w:ascii="宋体" w:hAnsi="宋体" w:cs="宋体" w:eastAsia="宋体" w:hint="default"/>
        </w:rPr>
        <w:t>12 </w:t>
      </w:r>
      <w:r>
        <w:rPr/>
        <w:t>个月内的预期信用损失计量损失准备。</w:t>
      </w:r>
    </w:p>
    <w:p>
      <w:pPr>
        <w:pStyle w:val="BodyText"/>
        <w:spacing w:line="477" w:lineRule="auto" w:before="55"/>
        <w:ind w:left="513" w:right="1133"/>
        <w:jc w:val="left"/>
      </w:pPr>
      <w:r>
        <w:rPr>
          <w:rFonts w:ascii="宋体" w:hAnsi="宋体" w:cs="宋体" w:eastAsia="宋体" w:hint="default"/>
        </w:rPr>
        <w:t>2</w:t>
      </w:r>
      <w:r>
        <w:rPr/>
        <w:t>、信用风险自初始确认后是否显着增加的判断标准 如果某项金融资产在资产负债表日确定的预计存续期内的违约概率显着高于在初始确认时确定的预计存续期内的违约</w:t>
      </w:r>
    </w:p>
    <w:p>
      <w:pPr>
        <w:pStyle w:val="BodyText"/>
        <w:spacing w:line="477" w:lineRule="auto" w:before="54"/>
        <w:ind w:right="0"/>
        <w:jc w:val="left"/>
      </w:pPr>
      <w:r>
        <w:rPr>
          <w:spacing w:val="-2"/>
        </w:rPr>
        <w:t>概率，则表明该项金融资产的信用风险显着增加。除特殊情况外，本公司采用未来</w:t>
      </w:r>
      <w:r>
        <w:rPr>
          <w:rFonts w:ascii="宋体" w:hAnsi="宋体" w:cs="宋体" w:eastAsia="宋体" w:hint="default"/>
          <w:spacing w:val="-2"/>
        </w:rPr>
        <w:t>12</w:t>
      </w:r>
      <w:r>
        <w:rPr>
          <w:spacing w:val="-2"/>
        </w:rPr>
        <w:t>个月内发生的违约风险的变化作为整个</w:t>
      </w:r>
      <w:r>
        <w:rPr>
          <w:spacing w:val="-61"/>
        </w:rPr>
        <w:t> </w:t>
      </w:r>
      <w:r>
        <w:rPr>
          <w:spacing w:val="-61"/>
        </w:rPr>
      </w:r>
      <w:r>
        <w:rPr/>
        <w:t>存续期内发生违约风险变化的合理估计，来确定自初始确认后信用风险是否显着增加。</w:t>
      </w:r>
    </w:p>
    <w:p>
      <w:pPr>
        <w:pStyle w:val="BodyText"/>
        <w:spacing w:line="240" w:lineRule="auto" w:before="54"/>
        <w:ind w:left="513" w:right="1133"/>
        <w:jc w:val="left"/>
      </w:pPr>
      <w:r>
        <w:rPr>
          <w:rFonts w:ascii="宋体" w:hAnsi="宋体" w:cs="宋体" w:eastAsia="宋体" w:hint="default"/>
        </w:rPr>
        <w:t>3</w:t>
      </w:r>
      <w:r>
        <w:rPr/>
        <w:t>、以组合为基础评估预期信用风险</w:t>
      </w:r>
    </w:p>
    <w:p>
      <w:pPr>
        <w:spacing w:after="0" w:line="240" w:lineRule="auto"/>
        <w:jc w:val="left"/>
        <w:sectPr>
          <w:footerReference w:type="default" r:id="rId21"/>
          <w:pgSz w:w="11910" w:h="16840"/>
          <w:pgMar w:footer="980" w:header="877" w:top="1100" w:bottom="1160" w:left="980" w:right="0"/>
          <w:pgNumType w:start="120"/>
        </w:sectPr>
      </w:pPr>
    </w:p>
    <w:p>
      <w:pPr>
        <w:spacing w:line="240" w:lineRule="auto" w:before="11"/>
        <w:rPr>
          <w:rFonts w:ascii="宋体" w:hAnsi="宋体" w:cs="宋体" w:eastAsia="宋体" w:hint="default"/>
          <w:sz w:val="27"/>
          <w:szCs w:val="27"/>
        </w:rPr>
      </w:pPr>
    </w:p>
    <w:p>
      <w:pPr>
        <w:pStyle w:val="BodyText"/>
        <w:spacing w:line="477" w:lineRule="auto" w:before="44"/>
        <w:ind w:right="1129" w:firstLine="360"/>
        <w:jc w:val="left"/>
      </w:pPr>
      <w:r>
        <w:rPr>
          <w:spacing w:val="-2"/>
        </w:rPr>
        <w:t>本公司对于信用风险显着不同且具备以下特征的应收票据、应收账款和其他应收款单项评价信用风险。如：与对方存在</w:t>
      </w:r>
      <w:r>
        <w:rPr/>
        <w:t> 争议或涉及诉讼、仲裁的应收款项；已有明显迹象表明债务人很可能无法履行还款义务的应收票据和应收款项等。</w:t>
      </w:r>
    </w:p>
    <w:p>
      <w:pPr>
        <w:pStyle w:val="BodyText"/>
        <w:spacing w:line="477" w:lineRule="auto" w:before="54"/>
        <w:ind w:right="1129" w:firstLine="360"/>
        <w:jc w:val="left"/>
      </w:pPr>
      <w:r>
        <w:rPr>
          <w:spacing w:val="-2"/>
        </w:rPr>
        <w:t>除了单项评估信用风险的金融资产外，本公司基于共同风险特征将金融资产划分为不同的组别，在组合的基础上评估信</w:t>
      </w:r>
      <w:r>
        <w:rPr/>
        <w:t> 用风险。</w:t>
      </w:r>
    </w:p>
    <w:p>
      <w:pPr>
        <w:pStyle w:val="BodyText"/>
        <w:spacing w:line="477" w:lineRule="auto" w:before="54"/>
        <w:ind w:left="513" w:right="1129"/>
        <w:jc w:val="left"/>
      </w:pPr>
      <w:r>
        <w:rPr>
          <w:rFonts w:ascii="宋体" w:hAnsi="宋体" w:cs="宋体" w:eastAsia="宋体" w:hint="default"/>
        </w:rPr>
        <w:t>4</w:t>
      </w:r>
      <w:r>
        <w:rPr/>
        <w:t>、金融资产减值的会计处理方法 </w:t>
      </w:r>
      <w:r>
        <w:rPr>
          <w:spacing w:val="-2"/>
        </w:rPr>
        <w:t>期末，本公司计算各类金融资产的预计信用损失，如果该预计信用损失大于其当前减值准备的账面金额，将其差额确认</w:t>
      </w:r>
    </w:p>
    <w:p>
      <w:pPr>
        <w:pStyle w:val="BodyText"/>
        <w:spacing w:line="240" w:lineRule="auto" w:before="54"/>
        <w:ind w:right="1133"/>
        <w:jc w:val="left"/>
      </w:pPr>
      <w:r>
        <w:rPr/>
        <w:t>为减值损失；如果小于当前减值准备的账面金额，则将差额确认为减值利得。</w:t>
      </w:r>
    </w:p>
    <w:p>
      <w:pPr>
        <w:spacing w:line="240" w:lineRule="auto" w:before="10"/>
        <w:rPr>
          <w:rFonts w:ascii="宋体" w:hAnsi="宋体" w:cs="宋体" w:eastAsia="宋体" w:hint="default"/>
          <w:sz w:val="17"/>
          <w:szCs w:val="17"/>
        </w:rPr>
      </w:pPr>
    </w:p>
    <w:p>
      <w:pPr>
        <w:pStyle w:val="BodyText"/>
        <w:spacing w:line="463" w:lineRule="auto"/>
        <w:ind w:right="1133"/>
        <w:jc w:val="left"/>
      </w:pPr>
      <w:r>
        <w:rPr>
          <w:rFonts w:ascii="Times New Roman" w:hAnsi="Times New Roman" w:cs="Times New Roman" w:eastAsia="Times New Roman" w:hint="default"/>
          <w:b/>
          <w:bCs/>
        </w:rPr>
        <w:t>11</w:t>
      </w:r>
      <w:r>
        <w:rPr>
          <w:rFonts w:ascii="宋体" w:hAnsi="宋体" w:cs="宋体" w:eastAsia="宋体" w:hint="default"/>
          <w:b/>
          <w:bCs/>
        </w:rPr>
        <w:t>、应收票据</w:t>
      </w:r>
      <w:r>
        <w:rPr>
          <w:rFonts w:ascii="宋体" w:hAnsi="宋体" w:cs="宋体" w:eastAsia="宋体" w:hint="default"/>
          <w:b/>
          <w:bCs/>
          <w:w w:val="99"/>
        </w:rPr>
        <w:t> </w:t>
      </w:r>
      <w:r>
        <w:rPr>
          <w:spacing w:val="-2"/>
        </w:rPr>
        <w:t>对于除应收账款以外其他的应收款项（包括应收票据、其他应收款、长期应收款等）的减值损失计量，比照金融资产的减值</w:t>
      </w:r>
      <w:r>
        <w:rPr>
          <w:spacing w:val="-66"/>
        </w:rPr>
        <w:t> </w:t>
      </w:r>
      <w:r>
        <w:rPr>
          <w:spacing w:val="-66"/>
        </w:rPr>
      </w:r>
      <w:r>
        <w:rPr/>
        <w:t>的测试方法及会计处理方法处理。</w:t>
      </w:r>
    </w:p>
    <w:p>
      <w:pPr>
        <w:pStyle w:val="Heading4"/>
        <w:spacing w:line="240" w:lineRule="auto" w:before="65"/>
        <w:ind w:left="152" w:right="1133"/>
        <w:jc w:val="left"/>
        <w:rPr>
          <w:b w:val="0"/>
          <w:bCs w:val="0"/>
        </w:rPr>
      </w:pPr>
      <w:r>
        <w:rPr>
          <w:rFonts w:ascii="Times New Roman" w:hAnsi="Times New Roman" w:cs="Times New Roman" w:eastAsia="Times New Roman" w:hint="default"/>
        </w:rPr>
        <w:t>12</w:t>
      </w:r>
      <w:r>
        <w:rPr/>
        <w:t>、应收账款</w:t>
      </w:r>
      <w:r>
        <w:rPr>
          <w:b w:val="0"/>
          <w:bCs w:val="0"/>
        </w:rPr>
      </w:r>
    </w:p>
    <w:p>
      <w:pPr>
        <w:spacing w:line="240" w:lineRule="auto" w:before="9"/>
        <w:rPr>
          <w:rFonts w:ascii="宋体" w:hAnsi="宋体" w:cs="宋体" w:eastAsia="宋体" w:hint="default"/>
          <w:b/>
          <w:bCs/>
          <w:sz w:val="16"/>
          <w:szCs w:val="16"/>
        </w:rPr>
      </w:pPr>
    </w:p>
    <w:p>
      <w:pPr>
        <w:pStyle w:val="BodyText"/>
        <w:spacing w:line="451" w:lineRule="auto"/>
        <w:ind w:left="513" w:right="0"/>
        <w:jc w:val="left"/>
      </w:pPr>
      <w:r>
        <w:rPr/>
        <w:t>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日起适用的会计政策 </w:t>
      </w:r>
      <w:r>
        <w:rPr>
          <w:spacing w:val="-4"/>
        </w:rPr>
        <w:t>对于应收账款，无论是否包含重大融资成分，本公司始终按照相当于整个存续期内预期信用损失的金额计量其损失准备，</w:t>
      </w:r>
    </w:p>
    <w:p>
      <w:pPr>
        <w:pStyle w:val="BodyText"/>
        <w:spacing w:line="240" w:lineRule="auto" w:before="74"/>
        <w:ind w:right="1133"/>
        <w:jc w:val="left"/>
      </w:pPr>
      <w:r>
        <w:rPr/>
        <w:t>由此形成的损失准备的增加或转回金额，作为减值损失或利得计入当期损益。</w:t>
      </w:r>
    </w:p>
    <w:p>
      <w:pPr>
        <w:spacing w:line="240" w:lineRule="auto" w:before="10"/>
        <w:rPr>
          <w:rFonts w:ascii="宋体" w:hAnsi="宋体" w:cs="宋体" w:eastAsia="宋体" w:hint="default"/>
          <w:sz w:val="17"/>
          <w:szCs w:val="17"/>
        </w:rPr>
      </w:pPr>
    </w:p>
    <w:p>
      <w:pPr>
        <w:pStyle w:val="BodyText"/>
        <w:spacing w:line="240" w:lineRule="auto"/>
        <w:ind w:left="513" w:right="1133"/>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日前适用的会计政策</w:t>
      </w:r>
    </w:p>
    <w:p>
      <w:pPr>
        <w:spacing w:line="240" w:lineRule="auto" w:before="13"/>
        <w:rPr>
          <w:rFonts w:ascii="宋体" w:hAnsi="宋体" w:cs="宋体" w:eastAsia="宋体" w:hint="default"/>
          <w:sz w:val="14"/>
          <w:szCs w:val="14"/>
        </w:rPr>
      </w:pPr>
    </w:p>
    <w:p>
      <w:pPr>
        <w:pStyle w:val="Heading3"/>
        <w:spacing w:line="240" w:lineRule="auto" w:before="0"/>
        <w:ind w:right="1133"/>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8"/>
        <w:rPr>
          <w:rFonts w:ascii="宋体" w:hAnsi="宋体" w:cs="宋体" w:eastAsia="宋体" w:hint="default"/>
          <w:b/>
          <w:bCs/>
          <w:sz w:val="8"/>
          <w:szCs w:val="8"/>
        </w:rPr>
      </w:pPr>
    </w:p>
    <w:tbl>
      <w:tblPr>
        <w:tblW w:w="0" w:type="auto"/>
        <w:jc w:val="left"/>
        <w:tblInd w:w="145" w:type="dxa"/>
        <w:tblLayout w:type="fixed"/>
        <w:tblCellMar>
          <w:top w:w="0" w:type="dxa"/>
          <w:left w:w="0" w:type="dxa"/>
          <w:bottom w:w="0" w:type="dxa"/>
          <w:right w:w="0" w:type="dxa"/>
        </w:tblCellMar>
        <w:tblLook w:val="01E0"/>
      </w:tblPr>
      <w:tblGrid>
        <w:gridCol w:w="4784"/>
        <w:gridCol w:w="4787"/>
      </w:tblGrid>
      <w:tr>
        <w:trPr>
          <w:trHeight w:val="744"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8"/>
              <w:ind w:left="4" w:right="82"/>
              <w:jc w:val="left"/>
              <w:rPr>
                <w:rFonts w:ascii="宋体" w:hAnsi="宋体" w:cs="宋体" w:eastAsia="宋体" w:hint="default"/>
                <w:sz w:val="18"/>
                <w:szCs w:val="18"/>
              </w:rPr>
            </w:pPr>
            <w:r>
              <w:rPr>
                <w:rFonts w:ascii="宋体" w:hAnsi="宋体" w:cs="宋体" w:eastAsia="宋体" w:hint="default"/>
                <w:sz w:val="18"/>
                <w:szCs w:val="18"/>
              </w:rPr>
              <w:t>本公司将期末单项账面余额超过</w:t>
            </w:r>
            <w:r>
              <w:rPr>
                <w:rFonts w:ascii="Times New Roman" w:hAnsi="Times New Roman" w:cs="Times New Roman" w:eastAsia="Times New Roman" w:hint="default"/>
                <w:sz w:val="18"/>
                <w:szCs w:val="18"/>
              </w:rPr>
              <w:t>50</w:t>
            </w:r>
            <w:r>
              <w:rPr>
                <w:rFonts w:ascii="宋体" w:hAnsi="宋体" w:cs="宋体" w:eastAsia="宋体" w:hint="default"/>
                <w:sz w:val="18"/>
                <w:szCs w:val="18"/>
              </w:rPr>
              <w:t>万元（含）以上的应收账 款和其他应收款确定为单项金额重大的应收款项。</w:t>
            </w:r>
          </w:p>
        </w:tc>
      </w:tr>
      <w:tr>
        <w:trPr>
          <w:trHeight w:val="1358"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3"/>
              <w:ind w:left="4" w:right="85"/>
              <w:jc w:val="both"/>
              <w:rPr>
                <w:rFonts w:ascii="宋体" w:hAnsi="宋体" w:cs="宋体" w:eastAsia="宋体" w:hint="default"/>
                <w:sz w:val="18"/>
                <w:szCs w:val="18"/>
              </w:rPr>
            </w:pPr>
            <w:r>
              <w:rPr>
                <w:rFonts w:ascii="宋体" w:hAnsi="宋体" w:cs="宋体" w:eastAsia="宋体" w:hint="default"/>
                <w:sz w:val="18"/>
                <w:szCs w:val="18"/>
              </w:rPr>
              <w:t>单独进行减值测试，如有客观证据表明其已发生减值，按预 计未来现金流量现值低于其账面价值的差额计提坏账准备， 计入当期损益；单独测试未发生减值的应收款项，将其归入 相应组合计提坏账准备。</w:t>
            </w:r>
          </w:p>
        </w:tc>
      </w:tr>
    </w:tbl>
    <w:p>
      <w:pPr>
        <w:spacing w:line="240" w:lineRule="auto" w:before="3"/>
        <w:rPr>
          <w:rFonts w:ascii="宋体" w:hAnsi="宋体" w:cs="宋体" w:eastAsia="宋体" w:hint="default"/>
          <w:b/>
          <w:bCs/>
          <w:sz w:val="19"/>
          <w:szCs w:val="19"/>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4784"/>
        <w:gridCol w:w="4787"/>
      </w:tblGrid>
      <w:tr>
        <w:trPr>
          <w:trHeight w:val="427"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27" w:hRule="exact"/>
        </w:trPr>
        <w:tc>
          <w:tcPr>
            <w:tcW w:w="47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销售货款</w:t>
            </w:r>
          </w:p>
        </w:tc>
        <w:tc>
          <w:tcPr>
            <w:tcW w:w="4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28" w:hRule="exact"/>
        </w:trPr>
        <w:tc>
          <w:tcPr>
            <w:tcW w:w="47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其他款项</w:t>
            </w:r>
          </w:p>
        </w:tc>
        <w:tc>
          <w:tcPr>
            <w:tcW w:w="4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27" w:hRule="exact"/>
        </w:trPr>
        <w:tc>
          <w:tcPr>
            <w:tcW w:w="47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保理款</w:t>
            </w:r>
          </w:p>
        </w:tc>
        <w:tc>
          <w:tcPr>
            <w:tcW w:w="4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风险类别分析法</w:t>
            </w:r>
          </w:p>
        </w:tc>
      </w:tr>
      <w:tr>
        <w:trPr>
          <w:trHeight w:val="427" w:hRule="exact"/>
        </w:trPr>
        <w:tc>
          <w:tcPr>
            <w:tcW w:w="47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合并范围内关联方货款、往来款</w:t>
            </w:r>
          </w:p>
        </w:tc>
        <w:tc>
          <w:tcPr>
            <w:tcW w:w="4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一般不计提</w:t>
            </w:r>
          </w:p>
        </w:tc>
      </w:tr>
    </w:tbl>
    <w:p>
      <w:pPr>
        <w:pStyle w:val="BodyText"/>
        <w:spacing w:line="240" w:lineRule="auto" w:before="49"/>
        <w:ind w:right="1133"/>
        <w:jc w:val="left"/>
      </w:pPr>
      <w:r>
        <w:rPr/>
        <w:t>组合中，采用账龄分析法计提坏账准备的：</w:t>
      </w:r>
    </w:p>
    <w:p>
      <w:pPr>
        <w:spacing w:line="240" w:lineRule="auto" w:before="2"/>
        <w:rPr>
          <w:rFonts w:ascii="宋体" w:hAnsi="宋体" w:cs="宋体" w:eastAsia="宋体" w:hint="default"/>
          <w:sz w:val="9"/>
          <w:szCs w:val="9"/>
        </w:rPr>
      </w:pPr>
    </w:p>
    <w:tbl>
      <w:tblPr>
        <w:tblW w:w="0" w:type="auto"/>
        <w:jc w:val="left"/>
        <w:tblInd w:w="145" w:type="dxa"/>
        <w:tblLayout w:type="fixed"/>
        <w:tblCellMar>
          <w:top w:w="0" w:type="dxa"/>
          <w:left w:w="0" w:type="dxa"/>
          <w:bottom w:w="0" w:type="dxa"/>
          <w:right w:w="0" w:type="dxa"/>
        </w:tblCellMar>
        <w:tblLook w:val="01E0"/>
      </w:tblPr>
      <w:tblGrid>
        <w:gridCol w:w="3191"/>
        <w:gridCol w:w="3190"/>
        <w:gridCol w:w="3190"/>
      </w:tblGrid>
      <w:tr>
        <w:trPr>
          <w:trHeight w:val="414" w:hRule="exact"/>
        </w:trPr>
        <w:tc>
          <w:tcPr>
            <w:tcW w:w="31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7"/>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7"/>
              <w:ind w:left="866"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7"/>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27" w:hRule="exact"/>
        </w:trPr>
        <w:tc>
          <w:tcPr>
            <w:tcW w:w="31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3190"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5.00%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3191"/>
        <w:gridCol w:w="3190"/>
        <w:gridCol w:w="3190"/>
      </w:tblGrid>
      <w:tr>
        <w:trPr>
          <w:trHeight w:val="427" w:hRule="exact"/>
        </w:trPr>
        <w:tc>
          <w:tcPr>
            <w:tcW w:w="31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4"/>
              <w:jc w:val="right"/>
              <w:rPr>
                <w:rFonts w:ascii="Times New Roman" w:hAnsi="Times New Roman" w:cs="Times New Roman" w:eastAsia="Times New Roman" w:hint="default"/>
                <w:sz w:val="18"/>
                <w:szCs w:val="18"/>
              </w:rPr>
            </w:pPr>
            <w:r>
              <w:rPr>
                <w:rFonts w:ascii="Times New Roman"/>
                <w:sz w:val="18"/>
              </w:rPr>
              <w:t>10.00%</w:t>
            </w:r>
          </w:p>
        </w:tc>
      </w:tr>
      <w:tr>
        <w:trPr>
          <w:trHeight w:val="428" w:hRule="exact"/>
        </w:trPr>
        <w:tc>
          <w:tcPr>
            <w:tcW w:w="31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4"/>
              <w:jc w:val="right"/>
              <w:rPr>
                <w:rFonts w:ascii="Times New Roman" w:hAnsi="Times New Roman" w:cs="Times New Roman" w:eastAsia="Times New Roman" w:hint="default"/>
                <w:sz w:val="18"/>
                <w:szCs w:val="18"/>
              </w:rPr>
            </w:pPr>
            <w:r>
              <w:rPr>
                <w:rFonts w:ascii="Times New Roman"/>
                <w:sz w:val="18"/>
              </w:rPr>
              <w:t>30.00%</w:t>
            </w:r>
          </w:p>
        </w:tc>
      </w:tr>
      <w:tr>
        <w:trPr>
          <w:trHeight w:val="427" w:hRule="exact"/>
        </w:trPr>
        <w:tc>
          <w:tcPr>
            <w:tcW w:w="31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2"/>
        <w:rPr>
          <w:rFonts w:ascii="宋体" w:hAnsi="宋体" w:cs="宋体" w:eastAsia="宋体" w:hint="default"/>
          <w:sz w:val="27"/>
          <w:szCs w:val="27"/>
        </w:rPr>
      </w:pPr>
    </w:p>
    <w:p>
      <w:pPr>
        <w:pStyle w:val="BodyText"/>
        <w:spacing w:line="240" w:lineRule="auto" w:before="44"/>
        <w:ind w:right="1133"/>
        <w:jc w:val="left"/>
      </w:pPr>
      <w:r>
        <w:rPr/>
        <w:t>组合中，采用其他方法计提坏账准备的：</w:t>
      </w:r>
    </w:p>
    <w:p>
      <w:pPr>
        <w:spacing w:line="240" w:lineRule="auto" w:before="3"/>
        <w:rPr>
          <w:rFonts w:ascii="宋体" w:hAnsi="宋体" w:cs="宋体" w:eastAsia="宋体" w:hint="default"/>
          <w:sz w:val="9"/>
          <w:szCs w:val="9"/>
        </w:rPr>
      </w:pPr>
    </w:p>
    <w:tbl>
      <w:tblPr>
        <w:tblW w:w="0" w:type="auto"/>
        <w:jc w:val="left"/>
        <w:tblInd w:w="145" w:type="dxa"/>
        <w:tblLayout w:type="fixed"/>
        <w:tblCellMar>
          <w:top w:w="0" w:type="dxa"/>
          <w:left w:w="0" w:type="dxa"/>
          <w:bottom w:w="0" w:type="dxa"/>
          <w:right w:w="0" w:type="dxa"/>
        </w:tblCellMar>
        <w:tblLook w:val="01E0"/>
      </w:tblPr>
      <w:tblGrid>
        <w:gridCol w:w="3191"/>
        <w:gridCol w:w="3190"/>
        <w:gridCol w:w="3190"/>
      </w:tblGrid>
      <w:tr>
        <w:trPr>
          <w:trHeight w:val="408" w:hRule="exact"/>
        </w:trPr>
        <w:tc>
          <w:tcPr>
            <w:tcW w:w="3191" w:type="dxa"/>
            <w:tcBorders>
              <w:top w:val="single" w:sz="6" w:space="0" w:color="000000"/>
              <w:left w:val="single" w:sz="6" w:space="0" w:color="000000"/>
              <w:bottom w:val="single" w:sz="10" w:space="0" w:color="000000"/>
              <w:right w:val="single" w:sz="6" w:space="0" w:color="000000"/>
            </w:tcBorders>
            <w:shd w:val="clear" w:color="auto" w:fill="D2D2D2"/>
          </w:tcPr>
          <w:p>
            <w:pPr>
              <w:pStyle w:val="TableParagraph"/>
              <w:spacing w:line="240" w:lineRule="auto" w:before="46"/>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6"/>
              <w:ind w:left="866"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6"/>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34" w:hRule="exact"/>
        </w:trPr>
        <w:tc>
          <w:tcPr>
            <w:tcW w:w="319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5"/>
              <w:ind w:left="4" w:right="0"/>
              <w:jc w:val="left"/>
              <w:rPr>
                <w:rFonts w:ascii="宋体" w:hAnsi="宋体" w:cs="宋体" w:eastAsia="宋体" w:hint="default"/>
                <w:sz w:val="18"/>
                <w:szCs w:val="18"/>
              </w:rPr>
            </w:pPr>
            <w:r>
              <w:rPr>
                <w:rFonts w:ascii="宋体" w:hAnsi="宋体" w:cs="宋体" w:eastAsia="宋体" w:hint="default"/>
                <w:sz w:val="18"/>
                <w:szCs w:val="18"/>
              </w:rPr>
              <w:t>风险类别分析法（保理款）</w:t>
            </w:r>
          </w:p>
        </w:tc>
        <w:tc>
          <w:tcPr>
            <w:tcW w:w="3190" w:type="dxa"/>
            <w:tcBorders>
              <w:top w:val="single" w:sz="6" w:space="0" w:color="000000"/>
              <w:left w:val="single" w:sz="6" w:space="0" w:color="000000"/>
              <w:bottom w:val="single" w:sz="6" w:space="0" w:color="000000"/>
              <w:right w:val="single" w:sz="6" w:space="0" w:color="000000"/>
            </w:tcBorders>
          </w:tcPr>
          <w:p>
            <w:pPr/>
          </w:p>
        </w:tc>
        <w:tc>
          <w:tcPr>
            <w:tcW w:w="3190"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319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正常类（未逾期）</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0.50%</w:t>
            </w:r>
          </w:p>
        </w:tc>
        <w:tc>
          <w:tcPr>
            <w:tcW w:w="3190"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319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关注类（逾期</w:t>
            </w:r>
            <w:r>
              <w:rPr>
                <w:rFonts w:ascii="Times New Roman" w:hAnsi="Times New Roman" w:cs="Times New Roman" w:eastAsia="Times New Roman" w:hint="default"/>
                <w:sz w:val="18"/>
                <w:szCs w:val="18"/>
              </w:rPr>
              <w:t>1-90</w:t>
            </w:r>
            <w:r>
              <w:rPr>
                <w:rFonts w:ascii="宋体" w:hAnsi="宋体" w:cs="宋体" w:eastAsia="宋体" w:hint="default"/>
                <w:sz w:val="18"/>
                <w:szCs w:val="18"/>
              </w:rPr>
              <w:t>天）</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3.00%</w:t>
            </w:r>
          </w:p>
        </w:tc>
        <w:tc>
          <w:tcPr>
            <w:tcW w:w="3190"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319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次级类（逾期</w:t>
            </w:r>
            <w:r>
              <w:rPr>
                <w:rFonts w:ascii="Times New Roman" w:hAnsi="Times New Roman" w:cs="Times New Roman" w:eastAsia="Times New Roman" w:hint="default"/>
                <w:sz w:val="18"/>
                <w:szCs w:val="18"/>
              </w:rPr>
              <w:t>91-180</w:t>
            </w:r>
            <w:r>
              <w:rPr>
                <w:rFonts w:ascii="宋体" w:hAnsi="宋体" w:cs="宋体" w:eastAsia="宋体" w:hint="default"/>
                <w:sz w:val="18"/>
                <w:szCs w:val="18"/>
              </w:rPr>
              <w:t>天）</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25.00%</w:t>
            </w:r>
          </w:p>
        </w:tc>
        <w:tc>
          <w:tcPr>
            <w:tcW w:w="3190" w:type="dxa"/>
            <w:tcBorders>
              <w:top w:val="single" w:sz="6" w:space="0" w:color="000000"/>
              <w:left w:val="single" w:sz="6" w:space="0" w:color="000000"/>
              <w:bottom w:val="single" w:sz="6" w:space="0" w:color="000000"/>
              <w:right w:val="single" w:sz="6" w:space="0" w:color="000000"/>
            </w:tcBorders>
          </w:tcPr>
          <w:p>
            <w:pPr/>
          </w:p>
        </w:tc>
      </w:tr>
      <w:tr>
        <w:trPr>
          <w:trHeight w:val="425" w:hRule="exact"/>
        </w:trPr>
        <w:tc>
          <w:tcPr>
            <w:tcW w:w="319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可疑类（逾期</w:t>
            </w:r>
            <w:r>
              <w:rPr>
                <w:rFonts w:ascii="Times New Roman" w:hAnsi="Times New Roman" w:cs="Times New Roman" w:eastAsia="Times New Roman" w:hint="default"/>
                <w:sz w:val="18"/>
                <w:szCs w:val="18"/>
              </w:rPr>
              <w:t>181-360</w:t>
            </w:r>
            <w:r>
              <w:rPr>
                <w:rFonts w:ascii="宋体" w:hAnsi="宋体" w:cs="宋体" w:eastAsia="宋体" w:hint="default"/>
                <w:sz w:val="18"/>
                <w:szCs w:val="18"/>
              </w:rPr>
              <w:t>天）</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6" w:space="0" w:color="000000"/>
              <w:left w:val="single" w:sz="6" w:space="0" w:color="000000"/>
              <w:bottom w:val="single" w:sz="6" w:space="0" w:color="000000"/>
              <w:right w:val="single" w:sz="6" w:space="0" w:color="000000"/>
            </w:tcBorders>
          </w:tcPr>
          <w:p>
            <w:pPr/>
          </w:p>
        </w:tc>
      </w:tr>
      <w:tr>
        <w:trPr>
          <w:trHeight w:val="430" w:hRule="exact"/>
        </w:trPr>
        <w:tc>
          <w:tcPr>
            <w:tcW w:w="319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损失类（逾期</w:t>
            </w:r>
            <w:r>
              <w:rPr>
                <w:rFonts w:ascii="Times New Roman" w:hAnsi="Times New Roman" w:cs="Times New Roman" w:eastAsia="Times New Roman" w:hint="default"/>
                <w:sz w:val="18"/>
                <w:szCs w:val="18"/>
              </w:rPr>
              <w:t>360</w:t>
            </w:r>
            <w:r>
              <w:rPr>
                <w:rFonts w:ascii="宋体" w:hAnsi="宋体" w:cs="宋体" w:eastAsia="宋体" w:hint="default"/>
                <w:sz w:val="18"/>
                <w:szCs w:val="18"/>
              </w:rPr>
              <w:t>天以上）</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4784"/>
        <w:gridCol w:w="4787"/>
      </w:tblGrid>
      <w:tr>
        <w:trPr>
          <w:trHeight w:val="739"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85"/>
              <w:jc w:val="left"/>
              <w:rPr>
                <w:rFonts w:ascii="宋体" w:hAnsi="宋体" w:cs="宋体" w:eastAsia="宋体" w:hint="default"/>
                <w:sz w:val="18"/>
                <w:szCs w:val="18"/>
              </w:rPr>
            </w:pPr>
            <w:r>
              <w:rPr>
                <w:rFonts w:ascii="宋体" w:hAnsi="宋体" w:cs="宋体" w:eastAsia="宋体" w:hint="default"/>
                <w:sz w:val="18"/>
                <w:szCs w:val="18"/>
              </w:rPr>
              <w:t>单项金额不重大但有证据表明其未来现金流量现值低于账面 价值</w:t>
            </w:r>
          </w:p>
        </w:tc>
      </w:tr>
      <w:tr>
        <w:trPr>
          <w:trHeight w:val="427"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按其低于账面价值的差额单项计提坏账准备</w:t>
            </w:r>
          </w:p>
        </w:tc>
      </w:tr>
    </w:tbl>
    <w:p>
      <w:pPr>
        <w:spacing w:line="240" w:lineRule="auto" w:before="3"/>
        <w:rPr>
          <w:rFonts w:ascii="宋体" w:hAnsi="宋体" w:cs="宋体" w:eastAsia="宋体" w:hint="default"/>
          <w:b/>
          <w:bCs/>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13</w:t>
      </w:r>
      <w:r>
        <w:rPr/>
        <w:t>、应收款项融资</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14</w:t>
      </w:r>
      <w:r>
        <w:rPr/>
        <w:t>、其他应收款</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6434"/>
        <w:jc w:val="left"/>
      </w:pPr>
      <w:r>
        <w:rPr/>
        <w:t>其他应收款的预期信用损失的确定方法及会计处理方法 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日起适用的会计政策</w:t>
      </w:r>
    </w:p>
    <w:p>
      <w:pPr>
        <w:pStyle w:val="BodyText"/>
        <w:spacing w:line="201" w:lineRule="exact"/>
        <w:ind w:right="0"/>
        <w:jc w:val="left"/>
      </w:pPr>
      <w:r>
        <w:rPr/>
        <w:t>对于除应收账款以外其他的应收款项（包括应收票据、其他应收款、长期应收款等）的减值损失计量，比照金融资产的减值</w:t>
      </w:r>
    </w:p>
    <w:p>
      <w:pPr>
        <w:pStyle w:val="BodyText"/>
        <w:spacing w:line="240" w:lineRule="auto" w:before="76"/>
        <w:ind w:right="1133"/>
        <w:jc w:val="left"/>
      </w:pPr>
      <w:r>
        <w:rPr/>
        <w:t>的测试方法及会计处理方法处理。</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15</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left="513" w:right="5533"/>
        <w:jc w:val="left"/>
      </w:pPr>
      <w:r>
        <w:rPr>
          <w:rFonts w:ascii="宋体" w:hAnsi="宋体" w:cs="宋体" w:eastAsia="宋体" w:hint="default"/>
        </w:rPr>
        <w:t>1</w:t>
      </w:r>
      <w:r>
        <w:rPr/>
        <w:t>、存货的分类 存货分类为：原材料、库存商品、在产品、委托加工物资等。 </w:t>
      </w:r>
      <w:r>
        <w:rPr>
          <w:rFonts w:ascii="宋体" w:hAnsi="宋体" w:cs="宋体" w:eastAsia="宋体" w:hint="default"/>
        </w:rPr>
        <w:t>2</w:t>
      </w:r>
      <w:r>
        <w:rPr/>
        <w:t>、存货取得和发出存货的计价方法</w:t>
      </w:r>
    </w:p>
    <w:p>
      <w:pPr>
        <w:pStyle w:val="BodyText"/>
        <w:spacing w:line="316" w:lineRule="auto" w:before="17"/>
        <w:ind w:left="513" w:right="1129"/>
        <w:jc w:val="left"/>
      </w:pPr>
      <w:r>
        <w:rPr/>
        <w:t>存货在取得时，按成本进行初始计量，包括采购成本、加工成本和其他成本。存货发出时按加权平均法计价。 </w:t>
      </w:r>
      <w:r>
        <w:rPr>
          <w:rFonts w:ascii="宋体" w:hAnsi="宋体" w:cs="宋体" w:eastAsia="宋体" w:hint="default"/>
        </w:rPr>
        <w:t>3</w:t>
      </w:r>
      <w:r>
        <w:rPr/>
        <w:t>、期末存货的计量 </w:t>
      </w:r>
      <w:r>
        <w:rPr>
          <w:spacing w:val="-2"/>
        </w:rPr>
        <w:t>产成品、库存商品和用于出售的材料等直接用于出售的商品存货，在正常生产经营过程中，以该存货的估计售价减去估</w:t>
      </w:r>
    </w:p>
    <w:p>
      <w:pPr>
        <w:pStyle w:val="BodyText"/>
        <w:spacing w:line="316" w:lineRule="auto" w:before="18"/>
        <w:ind w:right="1129"/>
        <w:jc w:val="left"/>
      </w:pPr>
      <w:r>
        <w:rPr>
          <w:spacing w:val="-2"/>
        </w:rPr>
        <w:t>计的销售费用和相关税费后的金额，确定其可变现净值；需要经过加工的材料存货，在正常生产经营过程中，以所生产的产</w:t>
      </w:r>
      <w:r>
        <w:rPr>
          <w:spacing w:val="-64"/>
        </w:rPr>
        <w:t> </w:t>
      </w:r>
      <w:r>
        <w:rPr>
          <w:spacing w:val="-64"/>
        </w:rPr>
      </w:r>
      <w:r>
        <w:rPr>
          <w:spacing w:val="-2"/>
        </w:rPr>
        <w:t>成品的估计售价减去至完工时估计将要发生的成本、估计的销售费用和相关税费后的金额，确定其可变现净值；为执行销售</w:t>
      </w:r>
    </w:p>
    <w:p>
      <w:pPr>
        <w:spacing w:after="0" w:line="316"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319" w:lineRule="auto" w:before="44"/>
        <w:ind w:right="1129"/>
        <w:jc w:val="left"/>
      </w:pPr>
      <w:r>
        <w:rPr>
          <w:spacing w:val="-2"/>
        </w:rPr>
        <w:t>合同或者劳务合同而持有的存货，其可变现净值以合同价格为基础计算，若持有存货的数量多于销售合同订购数量的，超出</w:t>
      </w:r>
      <w:r>
        <w:rPr>
          <w:spacing w:val="-63"/>
        </w:rPr>
        <w:t> </w:t>
      </w:r>
      <w:r>
        <w:rPr>
          <w:spacing w:val="-63"/>
        </w:rPr>
      </w:r>
      <w:r>
        <w:rPr/>
        <w:t>部分的存货的可变现净值以一般销售价格为基础计算。</w:t>
      </w:r>
    </w:p>
    <w:p>
      <w:pPr>
        <w:pStyle w:val="BodyText"/>
        <w:spacing w:line="316" w:lineRule="auto" w:before="17"/>
        <w:ind w:right="1130" w:firstLine="360"/>
        <w:jc w:val="both"/>
      </w:pPr>
      <w:r>
        <w:rPr>
          <w:spacing w:val="-2"/>
        </w:rPr>
        <w:t>期末按照单个存货项目计提存货跌价准备；但对于数量繁多、单价较低的存货，按照存货类别计提存货跌价准备；与在</w:t>
      </w:r>
      <w:r>
        <w:rPr/>
        <w:t> </w:t>
      </w:r>
      <w:r>
        <w:rPr>
          <w:spacing w:val="-2"/>
        </w:rPr>
        <w:t>同一地区生产和销售的产品系列相关、具有相同或类似最终用途或目的，且难以与其他项目分开计量的存货，则合并计提存</w:t>
      </w:r>
      <w:r>
        <w:rPr>
          <w:spacing w:val="-63"/>
        </w:rPr>
        <w:t> </w:t>
      </w:r>
      <w:r>
        <w:rPr>
          <w:spacing w:val="-63"/>
        </w:rPr>
      </w:r>
      <w:r>
        <w:rPr/>
        <w:t>货跌价准备。</w:t>
      </w:r>
    </w:p>
    <w:p>
      <w:pPr>
        <w:pStyle w:val="BodyText"/>
        <w:spacing w:line="316" w:lineRule="auto" w:before="19"/>
        <w:ind w:left="513" w:right="1573"/>
        <w:jc w:val="left"/>
      </w:pPr>
      <w:r>
        <w:rPr/>
        <w:t>除有明确证据表明资产负债表日市场价格异常外，存货项目的可变现净值以资产负债表日市场价格为基础确定。 本期期末存货项目的可变现净值以资产负债表日市场价格为基础确定。</w:t>
      </w:r>
    </w:p>
    <w:p>
      <w:pPr>
        <w:pStyle w:val="BodyText"/>
        <w:spacing w:line="316" w:lineRule="auto" w:before="19"/>
        <w:ind w:left="513" w:right="8863"/>
        <w:jc w:val="left"/>
      </w:pPr>
      <w:r>
        <w:rPr>
          <w:rFonts w:ascii="宋体" w:hAnsi="宋体" w:cs="宋体" w:eastAsia="宋体" w:hint="default"/>
        </w:rPr>
        <w:t>4</w:t>
      </w:r>
      <w:r>
        <w:rPr/>
        <w:t>、存货的盘存制度 采用永续盘存制</w:t>
      </w:r>
    </w:p>
    <w:p>
      <w:pPr>
        <w:pStyle w:val="BodyText"/>
        <w:spacing w:line="240" w:lineRule="auto" w:before="19"/>
        <w:ind w:left="513" w:right="1133"/>
        <w:jc w:val="left"/>
      </w:pPr>
      <w:r>
        <w:rPr>
          <w:rFonts w:ascii="宋体" w:hAnsi="宋体" w:cs="宋体" w:eastAsia="宋体" w:hint="default"/>
        </w:rPr>
        <w:t>5</w:t>
      </w:r>
      <w:r>
        <w:rPr/>
        <w:t>、低值易耗品和包装物的摊销方法</w:t>
      </w:r>
    </w:p>
    <w:p>
      <w:pPr>
        <w:pStyle w:val="BodyText"/>
        <w:spacing w:line="240" w:lineRule="auto" w:before="76"/>
        <w:ind w:left="513" w:right="1133"/>
        <w:jc w:val="left"/>
      </w:pPr>
      <w:r>
        <w:rPr/>
        <w:t>（</w:t>
      </w:r>
      <w:r>
        <w:rPr>
          <w:rFonts w:ascii="宋体" w:hAnsi="宋体" w:cs="宋体" w:eastAsia="宋体" w:hint="default"/>
        </w:rPr>
        <w:t>1</w:t>
      </w:r>
      <w:r>
        <w:rPr/>
        <w:t>）低值易耗品采用一次转销法</w:t>
      </w:r>
    </w:p>
    <w:p>
      <w:pPr>
        <w:pStyle w:val="BodyText"/>
        <w:spacing w:line="240" w:lineRule="auto" w:before="76"/>
        <w:ind w:left="513" w:right="1133"/>
        <w:jc w:val="left"/>
      </w:pPr>
      <w:r>
        <w:rPr/>
        <w:t>（</w:t>
      </w:r>
      <w:r>
        <w:rPr>
          <w:rFonts w:ascii="宋体" w:hAnsi="宋体" w:cs="宋体" w:eastAsia="宋体" w:hint="default"/>
        </w:rPr>
        <w:t>2</w:t>
      </w:r>
      <w:r>
        <w:rPr/>
        <w:t>）包装物采用一次转销法</w:t>
      </w:r>
    </w:p>
    <w:p>
      <w:pPr>
        <w:spacing w:line="240" w:lineRule="auto" w:before="0"/>
        <w:rPr>
          <w:rFonts w:ascii="宋体" w:hAnsi="宋体" w:cs="宋体" w:eastAsia="宋体" w:hint="default"/>
          <w:sz w:val="18"/>
          <w:szCs w:val="18"/>
        </w:rPr>
      </w:pPr>
    </w:p>
    <w:p>
      <w:pPr>
        <w:pStyle w:val="Heading3"/>
        <w:spacing w:line="240" w:lineRule="auto" w:before="121"/>
        <w:ind w:right="1133"/>
        <w:jc w:val="left"/>
        <w:rPr>
          <w:b w:val="0"/>
          <w:bCs w:val="0"/>
        </w:rPr>
      </w:pPr>
      <w:r>
        <w:rPr>
          <w:rFonts w:ascii="Times New Roman" w:hAnsi="Times New Roman" w:cs="Times New Roman" w:eastAsia="Times New Roman" w:hint="default"/>
        </w:rPr>
        <w:t>16</w:t>
      </w:r>
      <w:r>
        <w:rPr/>
        <w:t>、合同资产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17</w:t>
      </w:r>
      <w:r>
        <w:rPr/>
        <w:t>、合同成本</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18</w:t>
      </w:r>
      <w:r>
        <w:rPr/>
        <w:t>、持有待售资产</w:t>
      </w:r>
      <w:r>
        <w:rPr>
          <w:b w:val="0"/>
          <w:bCs w:val="0"/>
        </w:rPr>
      </w:r>
    </w:p>
    <w:p>
      <w:pPr>
        <w:spacing w:line="240" w:lineRule="auto" w:before="8"/>
        <w:rPr>
          <w:rFonts w:ascii="宋体" w:hAnsi="宋体" w:cs="宋体" w:eastAsia="宋体" w:hint="default"/>
          <w:b/>
          <w:bCs/>
          <w:sz w:val="22"/>
          <w:szCs w:val="22"/>
        </w:rPr>
      </w:pPr>
    </w:p>
    <w:p>
      <w:pPr>
        <w:pStyle w:val="Heading2"/>
        <w:spacing w:line="240" w:lineRule="auto"/>
        <w:ind w:right="1133"/>
        <w:jc w:val="left"/>
        <w:rPr>
          <w:b w:val="0"/>
          <w:bCs w:val="0"/>
        </w:rPr>
      </w:pPr>
      <w:r>
        <w:rPr/>
        <w:t>持有待售的非流动资产、处置组和终止经营</w:t>
      </w:r>
      <w:r>
        <w:rPr>
          <w:b w:val="0"/>
          <w:bCs w:val="0"/>
        </w:rPr>
      </w:r>
    </w:p>
    <w:p>
      <w:pPr>
        <w:pStyle w:val="BodyText"/>
        <w:spacing w:line="477" w:lineRule="auto" w:before="125"/>
        <w:ind w:left="513" w:right="1129"/>
        <w:jc w:val="left"/>
      </w:pPr>
      <w:r>
        <w:rPr>
          <w:rFonts w:ascii="宋体" w:hAnsi="宋体" w:cs="宋体" w:eastAsia="宋体" w:hint="default"/>
        </w:rPr>
        <w:t>1</w:t>
      </w:r>
      <w:r>
        <w:rPr/>
        <w:t>、持有待售的非流动资产或处置组的分类与计量 </w:t>
      </w:r>
      <w:r>
        <w:rPr>
          <w:spacing w:val="-2"/>
        </w:rPr>
        <w:t>本公司主要通过出售（包括具有商业实质的非货币性资产交换）而非持续使用一项非流动资产或处置组收回其账面价值</w:t>
      </w:r>
    </w:p>
    <w:p>
      <w:pPr>
        <w:pStyle w:val="BodyText"/>
        <w:spacing w:line="477" w:lineRule="auto" w:before="54"/>
        <w:ind w:left="513" w:right="1129" w:hanging="361"/>
        <w:jc w:val="left"/>
      </w:pPr>
      <w:r>
        <w:rPr/>
        <w:t>时，该非流动资产或处置组被划分为持有待售类别。 </w:t>
      </w:r>
      <w:r>
        <w:rPr>
          <w:spacing w:val="-2"/>
        </w:rPr>
        <w:t>上述非流动资产不包括采用公允价值模式进行后续计量的投资性房地产、采用公允价值减去出售费用后的净额计量的生</w:t>
      </w:r>
    </w:p>
    <w:p>
      <w:pPr>
        <w:pStyle w:val="BodyText"/>
        <w:spacing w:line="477" w:lineRule="auto" w:before="54"/>
        <w:ind w:left="513" w:right="1129" w:hanging="361"/>
        <w:jc w:val="left"/>
      </w:pPr>
      <w:r>
        <w:rPr/>
        <w:t>物资产、职工薪酬形成的资产、金融资产、递延所得税资产及保险合同产生的权利。 </w:t>
      </w:r>
      <w:r>
        <w:rPr>
          <w:spacing w:val="-2"/>
        </w:rPr>
        <w:t>处置组，是指在一项交易中作为整体通过出售或其他方式一并处置的一组资产，以及在该交易中转让的与这些资产直接</w:t>
      </w:r>
    </w:p>
    <w:p>
      <w:pPr>
        <w:pStyle w:val="BodyText"/>
        <w:spacing w:line="477" w:lineRule="auto" w:before="54"/>
        <w:ind w:left="513" w:right="1129" w:hanging="361"/>
        <w:jc w:val="left"/>
      </w:pPr>
      <w:r>
        <w:rPr/>
        <w:t>相关的负债。在特定情况下，处置组包括企业合并中取得的商誉等。 </w:t>
      </w:r>
      <w:r>
        <w:rPr>
          <w:spacing w:val="-2"/>
        </w:rPr>
        <w:t>同时满足下列条件的非流动资产或处置组被划分为持有待售类别：根据类似交易中出售此类资产或处置组的惯例，该非</w:t>
      </w:r>
    </w:p>
    <w:p>
      <w:pPr>
        <w:pStyle w:val="BodyText"/>
        <w:spacing w:line="477" w:lineRule="auto" w:before="54"/>
        <w:ind w:right="1034"/>
        <w:jc w:val="left"/>
      </w:pPr>
      <w:r>
        <w:rPr/>
        <w:t>流动资产或处置组在当前状况下即可立即出售；出售极可能发生，即已经就一项出售计划作出决议且获得确定的购买承诺， </w:t>
      </w:r>
      <w:r>
        <w:rPr>
          <w:spacing w:val="-2"/>
        </w:rPr>
        <w:t>预计出售将在一年内完成。因出售对子公司的投资等原因导致丧失对子公司控制权的，无论出售后本公司是否保留部分权益</w:t>
      </w:r>
      <w:r>
        <w:rPr>
          <w:spacing w:val="-64"/>
        </w:rPr>
        <w:t> </w:t>
      </w:r>
      <w:r>
        <w:rPr>
          <w:spacing w:val="-64"/>
        </w:rPr>
      </w:r>
      <w:r>
        <w:rPr>
          <w:spacing w:val="-2"/>
        </w:rPr>
        <w:t>性投资，在拟出售的对子公司投资满足持有待售类别划分条件时，在个别财务报表中将对子公司投资整体划分为持有待售类</w:t>
      </w:r>
      <w:r>
        <w:rPr>
          <w:spacing w:val="-64"/>
        </w:rPr>
        <w:t> </w:t>
      </w:r>
      <w:r>
        <w:rPr>
          <w:spacing w:val="-64"/>
        </w:rPr>
      </w:r>
      <w:r>
        <w:rPr/>
        <w:t>别，在合并财务报表中将子公司所有资产和负债划分为持有待售类别。</w:t>
      </w:r>
    </w:p>
    <w:p>
      <w:pPr>
        <w:pStyle w:val="BodyText"/>
        <w:spacing w:line="477" w:lineRule="auto" w:before="54"/>
        <w:ind w:right="1129" w:firstLine="360"/>
        <w:jc w:val="left"/>
      </w:pPr>
      <w:r>
        <w:rPr>
          <w:spacing w:val="-2"/>
        </w:rPr>
        <w:t>初始计量或在资产负债表日重新计量持有待售的非流动资产或处置组时，账面价值高于公允价值减去出售费用后净额的</w:t>
      </w:r>
      <w:r>
        <w:rPr/>
        <w:t> </w:t>
      </w:r>
      <w:r>
        <w:rPr>
          <w:spacing w:val="-2"/>
        </w:rPr>
        <w:t>差额确认为资产减值损失。对于持有待售的处置组确认的资产减值损失金额，先抵减处置组中商誉的账面价值，再根据处置</w:t>
      </w:r>
    </w:p>
    <w:p>
      <w:pPr>
        <w:spacing w:after="0" w:line="477" w:lineRule="auto"/>
        <w:jc w:val="left"/>
        <w:sectPr>
          <w:pgSz w:w="11910" w:h="16840"/>
          <w:pgMar w:header="877" w:footer="980" w:top="1100" w:bottom="1160" w:left="980" w:right="0"/>
        </w:sectPr>
      </w:pPr>
    </w:p>
    <w:p>
      <w:pPr>
        <w:spacing w:line="240" w:lineRule="auto" w:before="11"/>
        <w:rPr>
          <w:rFonts w:ascii="宋体" w:hAnsi="宋体" w:cs="宋体" w:eastAsia="宋体" w:hint="default"/>
          <w:sz w:val="27"/>
          <w:szCs w:val="27"/>
        </w:rPr>
      </w:pPr>
    </w:p>
    <w:p>
      <w:pPr>
        <w:pStyle w:val="BodyText"/>
        <w:spacing w:line="477" w:lineRule="auto" w:before="44"/>
        <w:ind w:left="513" w:right="1033" w:hanging="361"/>
        <w:jc w:val="left"/>
      </w:pPr>
      <w:r>
        <w:rPr/>
        <w:t>组中的各项非流动资产账面价值所占比重，按比例抵减其账面价值。 后续资产负债表日持有待售的非流动资产或处置组公允价值减去出售费用后的净额增加的，以前减记的金额予以恢复，</w:t>
      </w:r>
    </w:p>
    <w:p>
      <w:pPr>
        <w:pStyle w:val="BodyText"/>
        <w:spacing w:line="477" w:lineRule="auto" w:before="54"/>
        <w:ind w:left="513" w:right="1129" w:hanging="361"/>
        <w:jc w:val="left"/>
      </w:pPr>
      <w:r>
        <w:rPr/>
        <w:t>并在划分为持有待售类别后确认的资产减值损失金额内转回，转回金额计入当期损益。已抵减的商誉账面价值不得转回。 </w:t>
      </w:r>
      <w:r>
        <w:rPr>
          <w:spacing w:val="-2"/>
        </w:rPr>
        <w:t>持有待售的非流动资产和持有待售的处置组中的资产不计提折旧或进行摊销；持有待售的处置组中负债的利息和其他费</w:t>
      </w:r>
    </w:p>
    <w:p>
      <w:pPr>
        <w:pStyle w:val="BodyText"/>
        <w:spacing w:line="477" w:lineRule="auto" w:before="54"/>
        <w:ind w:right="1045"/>
        <w:jc w:val="both"/>
      </w:pPr>
      <w:r>
        <w:rPr>
          <w:spacing w:val="-4"/>
        </w:rPr>
        <w:t>用继续予以确认。被划分为持有待售的联营企业或合营企业的全部或部分投资，对于划分为持有待售的部分停止权益法核算，</w:t>
      </w:r>
      <w:r>
        <w:rPr>
          <w:spacing w:val="-44"/>
        </w:rPr>
        <w:t> </w:t>
      </w:r>
      <w:r>
        <w:rPr>
          <w:spacing w:val="-44"/>
        </w:rPr>
      </w:r>
      <w:r>
        <w:rPr>
          <w:spacing w:val="-4"/>
        </w:rPr>
        <w:t>保留的部分（未被划分为持有待售类别）则继续采用权益法核算；当本公司因出售丧失对联营企业和合营企业的重大影响时，</w:t>
      </w:r>
      <w:r>
        <w:rPr>
          <w:spacing w:val="-44"/>
        </w:rPr>
        <w:t> </w:t>
      </w:r>
      <w:r>
        <w:rPr>
          <w:spacing w:val="-44"/>
        </w:rPr>
      </w:r>
      <w:r>
        <w:rPr/>
        <w:t>停止使用权益法。</w:t>
      </w:r>
    </w:p>
    <w:p>
      <w:pPr>
        <w:pStyle w:val="BodyText"/>
        <w:spacing w:line="477" w:lineRule="auto" w:before="54"/>
        <w:ind w:right="1132" w:firstLine="360"/>
        <w:jc w:val="both"/>
      </w:pPr>
      <w:r>
        <w:rPr>
          <w:spacing w:val="-2"/>
        </w:rPr>
        <w:t>某项非流动资产或处置组被划分为持有待售类别，但后来不再满足持有待售类别划分条件的，本公司停止将其划分为持</w:t>
      </w:r>
      <w:r>
        <w:rPr/>
        <w:t> 有待售类别，并按照下列两项金额中较低者计量：</w:t>
      </w:r>
    </w:p>
    <w:p>
      <w:pPr>
        <w:pStyle w:val="BodyText"/>
        <w:spacing w:line="477" w:lineRule="auto" w:before="55"/>
        <w:ind w:right="1139" w:firstLine="360"/>
        <w:jc w:val="both"/>
      </w:pPr>
      <w:r>
        <w:rPr/>
        <w:t>（</w:t>
      </w:r>
      <w:r>
        <w:rPr>
          <w:rFonts w:ascii="宋体" w:hAnsi="宋体" w:cs="宋体" w:eastAsia="宋体" w:hint="default"/>
        </w:rPr>
        <w:t>1</w:t>
      </w:r>
      <w:r>
        <w:rPr/>
        <w:t>）该资产或处置组被划分为持有待售类别之前的账面价值，按照其假定在没有被划分为持有待售类别的情况下本应 确认的折旧、摊销或减值进行调整后的金额；</w:t>
      </w:r>
    </w:p>
    <w:p>
      <w:pPr>
        <w:pStyle w:val="BodyText"/>
        <w:spacing w:line="477" w:lineRule="auto" w:before="54"/>
        <w:ind w:left="513" w:right="8863"/>
        <w:jc w:val="left"/>
      </w:pPr>
      <w:r>
        <w:rPr/>
        <w:t>（</w:t>
      </w:r>
      <w:r>
        <w:rPr>
          <w:rFonts w:ascii="宋体" w:hAnsi="宋体" w:cs="宋体" w:eastAsia="宋体" w:hint="default"/>
        </w:rPr>
        <w:t>2</w:t>
      </w:r>
      <w:r>
        <w:rPr/>
        <w:t>）可收回金额。 </w:t>
      </w:r>
      <w:r>
        <w:rPr>
          <w:rFonts w:ascii="宋体" w:hAnsi="宋体" w:cs="宋体" w:eastAsia="宋体" w:hint="default"/>
        </w:rPr>
        <w:t>2</w:t>
      </w:r>
      <w:r>
        <w:rPr/>
        <w:t>、终止经营</w:t>
      </w:r>
    </w:p>
    <w:p>
      <w:pPr>
        <w:pStyle w:val="BodyText"/>
        <w:spacing w:line="240" w:lineRule="auto" w:before="54"/>
        <w:ind w:left="513" w:right="1133"/>
        <w:jc w:val="left"/>
      </w:pPr>
      <w:r>
        <w:rPr/>
        <w:t>终止经营，是指满足下列条件之一的已被本公司处置或被本公司划分为持有待售类别的、能够单独区分的组成部分：</w:t>
      </w:r>
    </w:p>
    <w:p>
      <w:pPr>
        <w:spacing w:line="240" w:lineRule="auto" w:before="10"/>
        <w:rPr>
          <w:rFonts w:ascii="宋体" w:hAnsi="宋体" w:cs="宋体" w:eastAsia="宋体" w:hint="default"/>
          <w:sz w:val="17"/>
          <w:szCs w:val="17"/>
        </w:rPr>
      </w:pPr>
    </w:p>
    <w:p>
      <w:pPr>
        <w:pStyle w:val="BodyText"/>
        <w:spacing w:line="240" w:lineRule="auto"/>
        <w:ind w:left="513" w:right="1133"/>
        <w:jc w:val="left"/>
      </w:pPr>
      <w:r>
        <w:rPr/>
        <w:t>（</w:t>
      </w:r>
      <w:r>
        <w:rPr>
          <w:rFonts w:ascii="宋体" w:hAnsi="宋体" w:cs="宋体" w:eastAsia="宋体" w:hint="default"/>
        </w:rPr>
        <w:t>1</w:t>
      </w:r>
      <w:r>
        <w:rPr/>
        <w:t>）该组成部分代表一项独立的主要业务或一个单独的主要经营地区。</w:t>
      </w:r>
    </w:p>
    <w:p>
      <w:pPr>
        <w:spacing w:line="240" w:lineRule="auto" w:before="10"/>
        <w:rPr>
          <w:rFonts w:ascii="宋体" w:hAnsi="宋体" w:cs="宋体" w:eastAsia="宋体" w:hint="default"/>
          <w:sz w:val="17"/>
          <w:szCs w:val="17"/>
        </w:rPr>
      </w:pPr>
    </w:p>
    <w:p>
      <w:pPr>
        <w:pStyle w:val="BodyText"/>
        <w:spacing w:line="240" w:lineRule="auto"/>
        <w:ind w:left="513" w:right="1133"/>
        <w:jc w:val="left"/>
      </w:pPr>
      <w:r>
        <w:rPr/>
        <w:t>（</w:t>
      </w:r>
      <w:r>
        <w:rPr>
          <w:rFonts w:ascii="宋体" w:hAnsi="宋体" w:cs="宋体" w:eastAsia="宋体" w:hint="default"/>
        </w:rPr>
        <w:t>2</w:t>
      </w:r>
      <w:r>
        <w:rPr/>
        <w:t>）该组成部分是拟对一项独立的主要业务或一个单独的主要经营地区进行处置的一项相关联计划的一部分。</w:t>
      </w:r>
    </w:p>
    <w:p>
      <w:pPr>
        <w:spacing w:line="240" w:lineRule="auto" w:before="10"/>
        <w:rPr>
          <w:rFonts w:ascii="宋体" w:hAnsi="宋体" w:cs="宋体" w:eastAsia="宋体" w:hint="default"/>
          <w:sz w:val="17"/>
          <w:szCs w:val="17"/>
        </w:rPr>
      </w:pPr>
    </w:p>
    <w:p>
      <w:pPr>
        <w:pStyle w:val="BodyText"/>
        <w:spacing w:line="477" w:lineRule="auto"/>
        <w:ind w:left="513" w:right="6703"/>
        <w:jc w:val="left"/>
      </w:pPr>
      <w:r>
        <w:rPr/>
        <w:t>（</w:t>
      </w:r>
      <w:r>
        <w:rPr>
          <w:rFonts w:ascii="宋体" w:hAnsi="宋体" w:cs="宋体" w:eastAsia="宋体" w:hint="default"/>
        </w:rPr>
        <w:t>3</w:t>
      </w:r>
      <w:r>
        <w:rPr/>
        <w:t>）该组成部分是专为转售而取得的子公司。 </w:t>
      </w:r>
      <w:r>
        <w:rPr>
          <w:rFonts w:ascii="宋体" w:hAnsi="宋体" w:cs="宋体" w:eastAsia="宋体" w:hint="default"/>
        </w:rPr>
        <w:t>3</w:t>
      </w:r>
      <w:r>
        <w:rPr/>
        <w:t>、列报</w:t>
      </w:r>
    </w:p>
    <w:p>
      <w:pPr>
        <w:pStyle w:val="BodyText"/>
        <w:spacing w:line="477" w:lineRule="auto" w:before="54"/>
        <w:ind w:right="1128" w:firstLine="360"/>
        <w:jc w:val="both"/>
      </w:pPr>
      <w:r>
        <w:rPr>
          <w:spacing w:val="-2"/>
        </w:rPr>
        <w:t>本公司在资产负债表中将持有待售的非流动资产或持有待售的处置组中的资产列报于“划分为持有待售的资产”，将持</w:t>
      </w:r>
      <w:r>
        <w:rPr/>
        <w:t> 有待售的处置组中的负债列报于“划分为持有待售的负债”。</w:t>
      </w:r>
    </w:p>
    <w:p>
      <w:pPr>
        <w:pStyle w:val="BodyText"/>
        <w:spacing w:line="477" w:lineRule="auto" w:before="54"/>
        <w:ind w:right="1132" w:firstLine="360"/>
        <w:jc w:val="both"/>
      </w:pPr>
      <w:r>
        <w:rPr>
          <w:spacing w:val="-2"/>
        </w:rPr>
        <w:t>本公司在利润表中分别列示持续经营损益和终止经营损益。不符合终止经营定义的持有待售的非流动资产或处置组，其</w:t>
      </w:r>
      <w:r>
        <w:rPr/>
        <w:t> </w:t>
      </w:r>
      <w:r>
        <w:rPr>
          <w:spacing w:val="-2"/>
        </w:rPr>
        <w:t>减值损失和转回金额及处置损益作为持续经营损益列报。终止经营的减值损失和转回金额等经营损益及处置损益作为终止经</w:t>
      </w:r>
      <w:r>
        <w:rPr>
          <w:spacing w:val="-64"/>
        </w:rPr>
        <w:t> </w:t>
      </w:r>
      <w:r>
        <w:rPr>
          <w:spacing w:val="-64"/>
        </w:rPr>
      </w:r>
      <w:r>
        <w:rPr/>
        <w:t>营损益列报。</w:t>
      </w:r>
    </w:p>
    <w:p>
      <w:pPr>
        <w:pStyle w:val="BodyText"/>
        <w:spacing w:line="477" w:lineRule="auto" w:before="54"/>
        <w:ind w:left="513" w:right="1129"/>
        <w:jc w:val="left"/>
      </w:pPr>
      <w:r>
        <w:rPr/>
        <w:t>拟结束使用而非出售且满足终止经营定义中有关组成部分的条件的处置组，自其停止使用日起作为终止经营列报。 </w:t>
      </w:r>
      <w:r>
        <w:rPr>
          <w:spacing w:val="-2"/>
        </w:rPr>
        <w:t>对于当期列报的终止经营，在当期财务报表中，原来作为持续经营损益列报的信息被重新作为可比会计期间的终止经营</w:t>
      </w:r>
    </w:p>
    <w:p>
      <w:pPr>
        <w:pStyle w:val="BodyText"/>
        <w:spacing w:line="477" w:lineRule="auto" w:before="55"/>
        <w:ind w:right="1130"/>
        <w:jc w:val="both"/>
      </w:pPr>
      <w:r>
        <w:rPr>
          <w:spacing w:val="-2"/>
        </w:rPr>
        <w:t>损益列报。终止经营不再满足持有待售类别划分条件的，在当期财务报表中，原来作为终止经营损益列报的信息被重新作为</w:t>
      </w:r>
      <w:r>
        <w:rPr>
          <w:spacing w:val="-63"/>
        </w:rPr>
        <w:t> </w:t>
      </w:r>
      <w:r>
        <w:rPr>
          <w:spacing w:val="-63"/>
        </w:rPr>
      </w:r>
      <w:r>
        <w:rPr/>
        <w:t>可比会计期间的持续经营损益列报。</w:t>
      </w:r>
    </w:p>
    <w:p>
      <w:pPr>
        <w:spacing w:after="0" w:line="477" w:lineRule="auto"/>
        <w:jc w:val="both"/>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ind w:right="0"/>
        <w:jc w:val="both"/>
        <w:rPr>
          <w:b w:val="0"/>
          <w:bCs w:val="0"/>
        </w:rPr>
      </w:pPr>
      <w:r>
        <w:rPr>
          <w:rFonts w:ascii="Times New Roman" w:hAnsi="Times New Roman" w:cs="Times New Roman" w:eastAsia="Times New Roman" w:hint="default"/>
        </w:rPr>
        <w:t>19</w:t>
      </w:r>
      <w:r>
        <w:rPr/>
        <w:t>、债权投资</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both"/>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rFonts w:ascii="Times New Roman" w:hAnsi="Times New Roman" w:cs="Times New Roman" w:eastAsia="Times New Roman" w:hint="default"/>
        </w:rPr>
        <w:t>20</w:t>
      </w:r>
      <w:r>
        <w:rPr/>
        <w:t>、其他债权投资</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rFonts w:ascii="Times New Roman" w:hAnsi="Times New Roman" w:cs="Times New Roman" w:eastAsia="Times New Roman" w:hint="default"/>
        </w:rPr>
        <w:t>21</w:t>
      </w:r>
      <w:r>
        <w:rPr/>
        <w:t>、长期应收款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rFonts w:ascii="Times New Roman" w:hAnsi="Times New Roman" w:cs="Times New Roman" w:eastAsia="Times New Roman" w:hint="default"/>
        </w:rPr>
        <w:t>22</w:t>
      </w:r>
      <w:r>
        <w:rPr/>
        <w:t>、长期股权投资</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rFonts w:ascii="宋体" w:hAnsi="宋体" w:cs="宋体" w:eastAsia="宋体" w:hint="default"/>
        </w:rPr>
        <w:t>1</w:t>
      </w:r>
      <w:r>
        <w:rPr/>
        <w:t>、初始计量</w:t>
      </w:r>
    </w:p>
    <w:p>
      <w:pPr>
        <w:pStyle w:val="BodyText"/>
        <w:spacing w:line="240" w:lineRule="auto" w:before="76"/>
        <w:ind w:left="633" w:right="1133"/>
        <w:jc w:val="left"/>
      </w:pPr>
      <w:r>
        <w:rPr/>
        <w:t>本公司分别下列两种情况对长期股权投资进行初始计量：</w:t>
      </w:r>
    </w:p>
    <w:p>
      <w:pPr>
        <w:pStyle w:val="BodyText"/>
        <w:spacing w:line="316" w:lineRule="auto" w:before="76"/>
        <w:ind w:left="633" w:right="1183" w:hanging="118"/>
        <w:jc w:val="left"/>
      </w:pPr>
      <w:r>
        <w:rPr/>
        <w:t>（</w:t>
      </w:r>
      <w:r>
        <w:rPr>
          <w:rFonts w:ascii="宋体" w:hAnsi="宋体" w:cs="宋体" w:eastAsia="宋体" w:hint="default"/>
        </w:rPr>
        <w:t>1</w:t>
      </w:r>
      <w:r>
        <w:rPr/>
        <w:t>）企业合并形成的长期股权投资，按照下列规定确定其初始投资成本： </w:t>
      </w:r>
      <w:r>
        <w:rPr>
          <w:rFonts w:ascii="宋体" w:hAnsi="宋体" w:cs="宋体" w:eastAsia="宋体" w:hint="default"/>
        </w:rPr>
        <w:t>A</w:t>
      </w:r>
      <w:r>
        <w:rPr/>
        <w:t>、同一控制下的企业合并中，合并方以支付现金、转让非现金资产或承担债务方式作为合并对价的，在合并日按照</w:t>
      </w:r>
    </w:p>
    <w:p>
      <w:pPr>
        <w:pStyle w:val="BodyText"/>
        <w:spacing w:line="316" w:lineRule="auto" w:before="19"/>
        <w:ind w:right="1129"/>
        <w:jc w:val="both"/>
      </w:pPr>
      <w:r>
        <w:rPr>
          <w:spacing w:val="-2"/>
        </w:rPr>
        <w:t>被合并方所有者权益在最终控制方合并财务报表中的账面价值的份额作为长期股权投资的初始投资成本。长期股权投资初始</w:t>
      </w:r>
      <w:r>
        <w:rPr>
          <w:spacing w:val="-64"/>
        </w:rPr>
        <w:t> </w:t>
      </w:r>
      <w:r>
        <w:rPr>
          <w:spacing w:val="-64"/>
        </w:rPr>
      </w:r>
      <w:r>
        <w:rPr>
          <w:spacing w:val="-2"/>
        </w:rPr>
        <w:t>投资成本与支付的现金、转让的非现金资产以及所承担债务账面价值之间的差额，调整资本公积；资本公积不足冲减的，调</w:t>
      </w:r>
      <w:r>
        <w:rPr>
          <w:spacing w:val="-62"/>
        </w:rPr>
        <w:t> </w:t>
      </w:r>
      <w:r>
        <w:rPr>
          <w:spacing w:val="-62"/>
        </w:rPr>
      </w:r>
      <w:r>
        <w:rPr>
          <w:spacing w:val="-2"/>
        </w:rPr>
        <w:t>整留存收益。为进行企业合并发生的各项直接相关费用，包括为进行企业合并而支付的审计费用、评估费用、法律服务费用</w:t>
      </w:r>
      <w:r>
        <w:rPr>
          <w:spacing w:val="-64"/>
        </w:rPr>
        <w:t> </w:t>
      </w:r>
      <w:r>
        <w:rPr>
          <w:spacing w:val="-64"/>
        </w:rPr>
      </w:r>
      <w:r>
        <w:rPr/>
        <w:t>等，于发生时计入当期损益。</w:t>
      </w:r>
    </w:p>
    <w:p>
      <w:pPr>
        <w:pStyle w:val="BodyText"/>
        <w:spacing w:line="316" w:lineRule="auto" w:before="19"/>
        <w:ind w:left="633" w:right="1183"/>
        <w:jc w:val="left"/>
      </w:pPr>
      <w:r>
        <w:rPr>
          <w:rFonts w:ascii="宋体" w:hAnsi="宋体" w:cs="宋体" w:eastAsia="宋体" w:hint="default"/>
        </w:rPr>
        <w:t>B</w:t>
      </w:r>
      <w:r>
        <w:rPr/>
        <w:t>、非同一控制下的企业合并中，本公司区别下列情况确定合并成本： </w:t>
      </w:r>
      <w:r>
        <w:rPr>
          <w:rFonts w:ascii="宋体" w:hAnsi="宋体" w:cs="宋体" w:eastAsia="宋体" w:hint="default"/>
        </w:rPr>
        <w:t>a</w:t>
      </w:r>
      <w:r>
        <w:rPr/>
        <w:t>）一次交换交易实现的企业合并，合并成本为在购买日为取得对被购买方的控制权而付出的资产、发生或承担的负</w:t>
      </w:r>
    </w:p>
    <w:p>
      <w:pPr>
        <w:pStyle w:val="BodyText"/>
        <w:spacing w:line="240" w:lineRule="auto" w:before="19"/>
        <w:ind w:right="0"/>
        <w:jc w:val="both"/>
      </w:pPr>
      <w:r>
        <w:rPr/>
        <w:t>债的公允价值；</w:t>
      </w:r>
    </w:p>
    <w:p>
      <w:pPr>
        <w:pStyle w:val="BodyText"/>
        <w:spacing w:line="319" w:lineRule="auto" w:before="76"/>
        <w:ind w:right="1184" w:firstLine="480"/>
        <w:jc w:val="left"/>
      </w:pPr>
      <w:r>
        <w:rPr>
          <w:rFonts w:ascii="宋体" w:hAnsi="宋体" w:cs="宋体" w:eastAsia="宋体" w:hint="default"/>
        </w:rPr>
        <w:t>b</w:t>
      </w:r>
      <w:r>
        <w:rPr/>
        <w:t>）通过多次交换交易分步实现的企业合并，以购买日之前所持被购买方的股权投资的账面价值与购买日新增投资成 本之和，作为该项投资的初始投资成本；</w:t>
      </w:r>
    </w:p>
    <w:p>
      <w:pPr>
        <w:pStyle w:val="BodyText"/>
        <w:spacing w:line="316" w:lineRule="auto" w:before="17"/>
        <w:ind w:left="633" w:right="1183"/>
        <w:jc w:val="left"/>
      </w:pPr>
      <w:r>
        <w:rPr>
          <w:rFonts w:ascii="宋体" w:hAnsi="宋体" w:cs="宋体" w:eastAsia="宋体" w:hint="default"/>
        </w:rPr>
        <w:t>c</w:t>
      </w:r>
      <w:r>
        <w:rPr/>
        <w:t>）为企业合并发生的审计、法律服务、评估咨询等中介费用以及其他相关管理费用，于发生时计入当期损益； </w:t>
      </w:r>
      <w:r>
        <w:rPr>
          <w:rFonts w:ascii="宋体" w:hAnsi="宋体" w:cs="宋体" w:eastAsia="宋体" w:hint="default"/>
        </w:rPr>
        <w:t>d</w:t>
      </w:r>
      <w:r>
        <w:rPr/>
        <w:t>）在合并合同或协议中对可能影响合并成本的未来事项作出约定的，购买日如果估计未来事项很可能发生并且对合</w:t>
      </w:r>
    </w:p>
    <w:p>
      <w:pPr>
        <w:pStyle w:val="BodyText"/>
        <w:spacing w:line="240" w:lineRule="auto" w:before="19"/>
        <w:ind w:right="0"/>
        <w:jc w:val="both"/>
      </w:pPr>
      <w:r>
        <w:rPr/>
        <w:t>并成本的影响金额能够可靠计量的，将其计入合并成本。</w:t>
      </w:r>
    </w:p>
    <w:p>
      <w:pPr>
        <w:pStyle w:val="BodyText"/>
        <w:spacing w:line="316" w:lineRule="auto" w:before="76"/>
        <w:ind w:left="633" w:right="1183" w:hanging="118"/>
        <w:jc w:val="left"/>
      </w:pPr>
      <w:r>
        <w:rPr/>
        <w:t>（</w:t>
      </w:r>
      <w:r>
        <w:rPr>
          <w:rFonts w:ascii="宋体" w:hAnsi="宋体" w:cs="宋体" w:eastAsia="宋体" w:hint="default"/>
        </w:rPr>
        <w:t>2</w:t>
      </w:r>
      <w:r>
        <w:rPr/>
        <w:t>）除企业合并形成的长期股权投资以外，其他方式取得的长期股权投资，按照下列规定确定其初始投资成本： </w:t>
      </w:r>
      <w:r>
        <w:rPr>
          <w:rFonts w:ascii="宋体" w:hAnsi="宋体" w:cs="宋体" w:eastAsia="宋体" w:hint="default"/>
        </w:rPr>
        <w:t>A</w:t>
      </w:r>
      <w:r>
        <w:rPr/>
        <w:t>、以支付现金取得的长期股权投资，按照实际支付的购买价款作为初始投资成本。初始投资成本包括与取得长期股</w:t>
      </w:r>
    </w:p>
    <w:p>
      <w:pPr>
        <w:pStyle w:val="BodyText"/>
        <w:spacing w:line="316" w:lineRule="auto" w:before="19"/>
        <w:ind w:left="633" w:right="1196" w:hanging="481"/>
        <w:jc w:val="left"/>
      </w:pPr>
      <w:r>
        <w:rPr/>
        <w:t>权投资直接相关的费用、税金及其他必要支出。 </w:t>
      </w:r>
      <w:r>
        <w:rPr>
          <w:rFonts w:ascii="宋体" w:hAnsi="宋体" w:cs="宋体" w:eastAsia="宋体" w:hint="default"/>
        </w:rPr>
        <w:t>B</w:t>
      </w:r>
      <w:r>
        <w:rPr/>
        <w:t>、通过非货币性资产交换取得的长期股权投资，其初始投资成本按照《企业会计准则第</w:t>
      </w:r>
      <w:r>
        <w:rPr>
          <w:rFonts w:ascii="宋体" w:hAnsi="宋体" w:cs="宋体" w:eastAsia="宋体" w:hint="default"/>
        </w:rPr>
        <w:t>7</w:t>
      </w:r>
      <w:r>
        <w:rPr/>
        <w:t>号</w:t>
      </w:r>
      <w:r>
        <w:rPr>
          <w:rFonts w:ascii="宋体" w:hAnsi="宋体" w:cs="宋体" w:eastAsia="宋体" w:hint="default"/>
        </w:rPr>
        <w:t>-</w:t>
      </w:r>
      <w:r>
        <w:rPr/>
        <w:t>非货币性资产交换》确</w:t>
      </w:r>
    </w:p>
    <w:p>
      <w:pPr>
        <w:pStyle w:val="BodyText"/>
        <w:spacing w:line="240" w:lineRule="auto" w:before="19"/>
        <w:ind w:right="1133"/>
        <w:jc w:val="left"/>
      </w:pPr>
      <w:r>
        <w:rPr/>
        <w:t>定。</w:t>
      </w:r>
    </w:p>
    <w:p>
      <w:pPr>
        <w:pStyle w:val="BodyText"/>
        <w:spacing w:line="240" w:lineRule="auto" w:before="76"/>
        <w:ind w:left="633" w:right="1133"/>
        <w:jc w:val="left"/>
      </w:pPr>
      <w:r>
        <w:rPr>
          <w:rFonts w:ascii="宋体" w:hAnsi="宋体" w:cs="宋体" w:eastAsia="宋体" w:hint="default"/>
        </w:rPr>
        <w:t>C</w:t>
      </w:r>
      <w:r>
        <w:rPr/>
        <w:t>、通过债务重组取得的长期股权投资，其初始投资成本按照《企业会计准则第</w:t>
      </w:r>
      <w:r>
        <w:rPr>
          <w:rFonts w:ascii="宋体" w:hAnsi="宋体" w:cs="宋体" w:eastAsia="宋体" w:hint="default"/>
        </w:rPr>
        <w:t>12</w:t>
      </w:r>
      <w:r>
        <w:rPr/>
        <w:t>号</w:t>
      </w:r>
      <w:r>
        <w:rPr>
          <w:rFonts w:ascii="宋体" w:hAnsi="宋体" w:cs="宋体" w:eastAsia="宋体" w:hint="default"/>
        </w:rPr>
        <w:t>--</w:t>
      </w:r>
      <w:r>
        <w:rPr/>
        <w:t>债务重组》确定。</w:t>
      </w:r>
    </w:p>
    <w:p>
      <w:pPr>
        <w:pStyle w:val="BodyText"/>
        <w:spacing w:line="240" w:lineRule="auto" w:before="76"/>
        <w:ind w:left="633" w:right="0"/>
        <w:jc w:val="left"/>
      </w:pPr>
      <w:r>
        <w:rPr/>
        <w:t>③无论是以何种方式取得长期股权投资，取得投资时，对于支付的对价中包含的应享有被投资单位已经宣告但尚未发</w:t>
      </w:r>
    </w:p>
    <w:p>
      <w:pPr>
        <w:pStyle w:val="BodyText"/>
        <w:spacing w:line="319" w:lineRule="auto" w:before="76"/>
        <w:ind w:right="3554"/>
        <w:jc w:val="left"/>
      </w:pPr>
      <w:r>
        <w:rPr/>
        <w:t>放的现金股利或利润都作为应收项目单独核算，不构成取得长期股权投资的初始投资成本。 </w:t>
      </w:r>
      <w:r>
        <w:rPr>
          <w:rFonts w:ascii="宋体" w:hAnsi="宋体" w:cs="宋体" w:eastAsia="宋体" w:hint="default"/>
        </w:rPr>
        <w:t>2</w:t>
      </w:r>
      <w:r>
        <w:rPr/>
        <w:t>、后续计量</w:t>
      </w:r>
    </w:p>
    <w:p>
      <w:pPr>
        <w:pStyle w:val="BodyText"/>
        <w:spacing w:line="316" w:lineRule="auto" w:before="17"/>
        <w:ind w:right="1133" w:firstLine="480"/>
        <w:jc w:val="left"/>
      </w:pPr>
      <w:r>
        <w:rPr>
          <w:spacing w:val="-1"/>
        </w:rPr>
        <w:t>能够对被投资单位实施控制的长期股权投资，在个别财务报表中采用成本法核算。对被投资单位具有共同控制或重大</w:t>
      </w:r>
      <w:r>
        <w:rPr/>
        <w:t> 影响的长期股权投资，采用权益法核算。</w:t>
      </w:r>
    </w:p>
    <w:p>
      <w:pPr>
        <w:pStyle w:val="BodyText"/>
        <w:spacing w:line="316" w:lineRule="auto" w:before="19"/>
        <w:ind w:right="1122" w:firstLine="362"/>
        <w:jc w:val="left"/>
      </w:pPr>
      <w:r>
        <w:rPr/>
        <w:t>（</w:t>
      </w:r>
      <w:r>
        <w:rPr>
          <w:rFonts w:ascii="宋体" w:hAnsi="宋体" w:cs="宋体" w:eastAsia="宋体" w:hint="default"/>
        </w:rPr>
        <w:t>1</w:t>
      </w:r>
      <w:r>
        <w:rPr/>
        <w:t>）采用成本法核算的长期股权投资按照初始投资成本计价。追加或收回投资调整长期股权投资的成本。被投资单位 宣告分派的现金股利或利润，确认为当期投资收益。</w:t>
      </w:r>
    </w:p>
    <w:p>
      <w:pPr>
        <w:pStyle w:val="BodyText"/>
        <w:spacing w:line="316" w:lineRule="auto" w:before="18"/>
        <w:ind w:right="1122" w:firstLine="362"/>
        <w:jc w:val="left"/>
      </w:pPr>
      <w:r>
        <w:rPr/>
        <w:t>（</w:t>
      </w:r>
      <w:r>
        <w:rPr>
          <w:rFonts w:ascii="宋体" w:hAnsi="宋体" w:cs="宋体" w:eastAsia="宋体" w:hint="default"/>
        </w:rPr>
        <w:t>2</w:t>
      </w:r>
      <w:r>
        <w:rPr/>
        <w:t>）采用权益法核算的长期股权投资，其初始投资成本大于投资时应享有被投资单位可辨认净资产公允价值份额的， </w:t>
      </w:r>
      <w:r>
        <w:rPr>
          <w:spacing w:val="-2"/>
        </w:rPr>
        <w:t>不调整长期股权投资的初始投资成本；长期股权投资的初始投资成本小于投资时应享有被投资单位可辨认净资产公允价值份</w:t>
      </w:r>
    </w:p>
    <w:p>
      <w:pPr>
        <w:spacing w:after="0" w:line="316"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319" w:lineRule="auto" w:before="44"/>
        <w:ind w:left="633" w:right="1129" w:hanging="481"/>
        <w:jc w:val="left"/>
      </w:pPr>
      <w:r>
        <w:rPr/>
        <w:t>额的，其差额计入当期损益，同时调整长期股权投资的成本。 </w:t>
      </w:r>
      <w:r>
        <w:rPr>
          <w:spacing w:val="-1"/>
        </w:rPr>
        <w:t>取得长期股权投资后，按照应享有或应分担的被投资单位实现的净损益和其他综合收益的份额，分别确认投资收益和</w:t>
      </w:r>
    </w:p>
    <w:p>
      <w:pPr>
        <w:pStyle w:val="BodyText"/>
        <w:spacing w:line="316" w:lineRule="auto" w:before="17"/>
        <w:ind w:right="1130"/>
        <w:jc w:val="both"/>
      </w:pPr>
      <w:r>
        <w:rPr>
          <w:spacing w:val="-2"/>
        </w:rPr>
        <w:t>其他综合收益，同时调整长期股权投资的账面价值；按照被投资单位宣告分派的利润或现金股利计算应享有的部分，相应减</w:t>
      </w:r>
      <w:r>
        <w:rPr>
          <w:spacing w:val="-63"/>
        </w:rPr>
        <w:t> </w:t>
      </w:r>
      <w:r>
        <w:rPr>
          <w:spacing w:val="-63"/>
        </w:rPr>
      </w:r>
      <w:r>
        <w:rPr>
          <w:spacing w:val="-2"/>
        </w:rPr>
        <w:t>少长期股权投资的账面价值；对于被投资单位除净损益、其他综合收益和利润分配以外所有者权益的其他变动，调整长期股</w:t>
      </w:r>
      <w:r>
        <w:rPr>
          <w:spacing w:val="-63"/>
        </w:rPr>
        <w:t> </w:t>
      </w:r>
      <w:r>
        <w:rPr>
          <w:spacing w:val="-63"/>
        </w:rPr>
      </w:r>
      <w:r>
        <w:rPr>
          <w:spacing w:val="-2"/>
        </w:rPr>
        <w:t>权投资的账面价值并计入所有者权益。在确认应享有被投资单位净损益的份额时，以取得投资时被投资单位可辨认净资产的</w:t>
      </w:r>
      <w:r>
        <w:rPr>
          <w:spacing w:val="-64"/>
        </w:rPr>
        <w:t> </w:t>
      </w:r>
      <w:r>
        <w:rPr>
          <w:spacing w:val="-64"/>
        </w:rPr>
      </w:r>
      <w:r>
        <w:rPr>
          <w:spacing w:val="-2"/>
        </w:rPr>
        <w:t>公允价值为基础，对被投资单位的净利润进行调整后确认。被投资单位采用的会计政策及会计期间与本公司不一致的，按照</w:t>
      </w:r>
      <w:r>
        <w:rPr>
          <w:spacing w:val="-63"/>
        </w:rPr>
        <w:t> </w:t>
      </w:r>
      <w:r>
        <w:rPr>
          <w:spacing w:val="-63"/>
        </w:rPr>
      </w:r>
      <w:r>
        <w:rPr>
          <w:spacing w:val="-2"/>
        </w:rPr>
        <w:t>本公司的会计政策及会计期间对被投资单位的财务报表进行调整，并据以确认投资收益和其他综合收益等。确认被投资单位</w:t>
      </w:r>
      <w:r>
        <w:rPr>
          <w:spacing w:val="-63"/>
        </w:rPr>
        <w:t> </w:t>
      </w:r>
      <w:r>
        <w:rPr>
          <w:spacing w:val="-63"/>
        </w:rPr>
      </w:r>
      <w:r>
        <w:rPr>
          <w:spacing w:val="-2"/>
        </w:rPr>
        <w:t>发生的净亏损，以长期股权投资的账面价值以及其他实质上构成对被投资单位净投资的长期权益减记至零为限，本公司负有</w:t>
      </w:r>
      <w:r>
        <w:rPr>
          <w:spacing w:val="-64"/>
        </w:rPr>
        <w:t> </w:t>
      </w:r>
      <w:r>
        <w:rPr>
          <w:spacing w:val="-64"/>
        </w:rPr>
      </w:r>
      <w:r>
        <w:rPr>
          <w:spacing w:val="-2"/>
        </w:rPr>
        <w:t>承担额外损失义务的除外。被投资单位以后实现净利润的，本公司在其收益分享额弥补未确认的亏损分担额后，恢复确认收</w:t>
      </w:r>
      <w:r>
        <w:rPr>
          <w:spacing w:val="-63"/>
        </w:rPr>
        <w:t> </w:t>
      </w:r>
      <w:r>
        <w:rPr>
          <w:spacing w:val="-63"/>
        </w:rPr>
      </w:r>
      <w:r>
        <w:rPr/>
        <w:t>益分享额。</w:t>
      </w:r>
    </w:p>
    <w:p>
      <w:pPr>
        <w:pStyle w:val="BodyText"/>
        <w:spacing w:line="316" w:lineRule="auto" w:before="19"/>
        <w:ind w:right="1133" w:firstLine="480"/>
        <w:jc w:val="both"/>
      </w:pPr>
      <w:r>
        <w:rPr>
          <w:spacing w:val="-1"/>
        </w:rPr>
        <w:t>计算确认应享有或应分担被投资单位的净损益时，与联营企业、合营企业之间发生的未实现内部交易损益按照应享有</w:t>
      </w:r>
      <w:r>
        <w:rPr/>
        <w:t> </w:t>
      </w:r>
      <w:r>
        <w:rPr>
          <w:spacing w:val="-2"/>
        </w:rPr>
        <w:t>的比例计算归属于本公司的部分，予以抵销，在此基础上确认投资收益。本公司与被投资单位发生的未实现内部交易损失属</w:t>
      </w:r>
      <w:r>
        <w:rPr>
          <w:spacing w:val="-66"/>
        </w:rPr>
        <w:t> </w:t>
      </w:r>
      <w:r>
        <w:rPr>
          <w:spacing w:val="-66"/>
        </w:rPr>
      </w:r>
      <w:r>
        <w:rPr/>
        <w:t>于资产减值损失的，予以全额确认。</w:t>
      </w:r>
    </w:p>
    <w:p>
      <w:pPr>
        <w:pStyle w:val="BodyText"/>
        <w:spacing w:line="316" w:lineRule="auto" w:before="19"/>
        <w:ind w:right="1131" w:firstLine="480"/>
        <w:jc w:val="both"/>
      </w:pPr>
      <w:r>
        <w:rPr>
          <w:spacing w:val="-1"/>
        </w:rPr>
        <w:t>本公司对联营企业的权益性投资，其中一部分通过风险投资机构、共同基金、信托公司或包括投连险基金在内的类似</w:t>
      </w:r>
      <w:r>
        <w:rPr/>
        <w:t> </w:t>
      </w:r>
      <w:r>
        <w:rPr>
          <w:spacing w:val="-2"/>
        </w:rPr>
        <w:t>主体间接持有的，无论以上主体是否对这部分投资具有重大影响，本公司都按照《企业会计准则第</w:t>
      </w:r>
      <w:r>
        <w:rPr>
          <w:rFonts w:ascii="宋体" w:hAnsi="宋体" w:cs="宋体" w:eastAsia="宋体" w:hint="default"/>
          <w:spacing w:val="-2"/>
        </w:rPr>
        <w:t>22</w:t>
      </w:r>
      <w:r>
        <w:rPr>
          <w:spacing w:val="-2"/>
        </w:rPr>
        <w:t>号——金融工具确认和</w:t>
      </w:r>
      <w:r>
        <w:rPr>
          <w:spacing w:val="-64"/>
        </w:rPr>
        <w:t> </w:t>
      </w:r>
      <w:r>
        <w:rPr>
          <w:spacing w:val="-64"/>
        </w:rPr>
      </w:r>
      <w:r>
        <w:rPr/>
        <w:t>计量》的有关规定，对间接持有的该部分投资选择以公允价值计量且其变动计入损益，并对其余部分采用权益法核算。</w:t>
      </w:r>
    </w:p>
    <w:p>
      <w:pPr>
        <w:pStyle w:val="BodyText"/>
        <w:spacing w:line="316" w:lineRule="auto" w:before="19"/>
        <w:ind w:right="1032" w:firstLine="362"/>
        <w:jc w:val="left"/>
      </w:pPr>
      <w:r>
        <w:rPr>
          <w:spacing w:val="-2"/>
        </w:rPr>
        <w:t>（</w:t>
      </w:r>
      <w:r>
        <w:rPr>
          <w:rFonts w:ascii="宋体" w:hAnsi="宋体" w:cs="宋体" w:eastAsia="宋体" w:hint="default"/>
          <w:spacing w:val="-2"/>
        </w:rPr>
        <w:t>3</w:t>
      </w:r>
      <w:r>
        <w:rPr>
          <w:spacing w:val="-2"/>
        </w:rPr>
        <w:t>）本公司处置长期股权投资，其账面价值与实际取得价款的差额，计入当期损益。采用权益法核算的长期股权投资，</w:t>
      </w:r>
      <w:r>
        <w:rPr/>
        <w:t> </w:t>
      </w:r>
      <w:r>
        <w:rPr>
          <w:spacing w:val="-2"/>
        </w:rPr>
        <w:t>在处置该项投资时，采用与被投资单位直接处置相关资产或负债相同的基础，按相应比例对原计入其他综合收益的部分进行</w:t>
      </w:r>
      <w:r>
        <w:rPr>
          <w:spacing w:val="-63"/>
        </w:rPr>
        <w:t> </w:t>
      </w:r>
      <w:r>
        <w:rPr>
          <w:spacing w:val="-63"/>
        </w:rPr>
      </w:r>
      <w:r>
        <w:rPr/>
        <w:t>会计处理。</w:t>
      </w:r>
    </w:p>
    <w:p>
      <w:pPr>
        <w:pStyle w:val="BodyText"/>
        <w:spacing w:line="316" w:lineRule="auto" w:before="19"/>
        <w:ind w:left="515" w:right="1129" w:hanging="363"/>
        <w:jc w:val="left"/>
      </w:pPr>
      <w:r>
        <w:rPr>
          <w:rFonts w:ascii="宋体" w:hAnsi="宋体" w:cs="宋体" w:eastAsia="宋体" w:hint="default"/>
        </w:rPr>
        <w:t>3</w:t>
      </w:r>
      <w:r>
        <w:rPr/>
        <w:t>、确定对被投资单位具有共同控制、重大影响的依据 </w:t>
      </w:r>
      <w:r>
        <w:rPr>
          <w:spacing w:val="-2"/>
        </w:rPr>
        <w:t>共同控制，是指按照相关约定对某项安排所共有的控制，并且该安排的相关活动必须经过分享控制权的参与方一致同意</w:t>
      </w:r>
    </w:p>
    <w:p>
      <w:pPr>
        <w:pStyle w:val="BodyText"/>
        <w:spacing w:line="316" w:lineRule="auto" w:before="19"/>
        <w:ind w:right="1133"/>
        <w:jc w:val="both"/>
      </w:pPr>
      <w:r>
        <w:rPr>
          <w:spacing w:val="-2"/>
        </w:rPr>
        <w:t>后才能决策。重大影响，是指投资方对被投资单位的财务和经营政策有参与决策的权力，但并不能够控制或者与其他方一起</w:t>
      </w:r>
      <w:r>
        <w:rPr>
          <w:spacing w:val="-66"/>
        </w:rPr>
        <w:t> </w:t>
      </w:r>
      <w:r>
        <w:rPr>
          <w:spacing w:val="-66"/>
        </w:rPr>
      </w:r>
      <w:r>
        <w:rPr>
          <w:spacing w:val="-2"/>
        </w:rPr>
        <w:t>共同控制这些政策的制定。在确定能否对被投资单位实施控制或施加重大影响时，同时考虑本公司和其他方持有的被投资单</w:t>
      </w:r>
      <w:r>
        <w:rPr>
          <w:spacing w:val="-64"/>
        </w:rPr>
        <w:t> </w:t>
      </w:r>
      <w:r>
        <w:rPr>
          <w:spacing w:val="-64"/>
        </w:rPr>
      </w:r>
      <w:r>
        <w:rPr/>
        <w:t>位当期可转换债券、当期可执行认股权证等潜在表决权因素。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0"/>
        <w:jc w:val="both"/>
        <w:rPr>
          <w:b w:val="0"/>
          <w:bCs w:val="0"/>
        </w:rPr>
      </w:pPr>
      <w:r>
        <w:rPr>
          <w:rFonts w:ascii="Times New Roman" w:hAnsi="Times New Roman" w:cs="Times New Roman" w:eastAsia="Times New Roman" w:hint="default"/>
        </w:rPr>
        <w:t>23</w:t>
      </w:r>
      <w:r>
        <w:rPr/>
        <w:t>、投资性房地产</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8954"/>
        <w:jc w:val="left"/>
      </w:pPr>
      <w:r>
        <w:rPr/>
        <w:t>投资性房地产计量模式 不适用</w:t>
      </w:r>
    </w:p>
    <w:p>
      <w:pPr>
        <w:spacing w:line="240" w:lineRule="auto" w:before="6"/>
        <w:rPr>
          <w:rFonts w:ascii="宋体" w:hAnsi="宋体" w:cs="宋体" w:eastAsia="宋体" w:hint="default"/>
          <w:sz w:val="20"/>
          <w:szCs w:val="20"/>
        </w:rPr>
      </w:pPr>
    </w:p>
    <w:p>
      <w:pPr>
        <w:pStyle w:val="Heading3"/>
        <w:spacing w:line="240" w:lineRule="auto" w:before="0"/>
        <w:ind w:right="0"/>
        <w:jc w:val="both"/>
        <w:rPr>
          <w:b w:val="0"/>
          <w:bCs w:val="0"/>
        </w:rPr>
      </w:pPr>
      <w:r>
        <w:rPr>
          <w:rFonts w:ascii="Times New Roman" w:hAnsi="Times New Roman" w:cs="Times New Roman" w:eastAsia="Times New Roman" w:hint="default"/>
        </w:rPr>
        <w:t>24</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before="0"/>
        <w:ind w:right="0"/>
        <w:jc w:val="both"/>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2"/>
        <w:rPr>
          <w:rFonts w:ascii="宋体" w:hAnsi="宋体" w:cs="宋体" w:eastAsia="宋体" w:hint="default"/>
          <w:b/>
          <w:bCs/>
          <w:sz w:val="32"/>
          <w:szCs w:val="32"/>
        </w:rPr>
      </w:pPr>
    </w:p>
    <w:p>
      <w:pPr>
        <w:pStyle w:val="BodyText"/>
        <w:spacing w:line="477" w:lineRule="auto"/>
        <w:ind w:right="1131"/>
        <w:jc w:val="both"/>
      </w:pPr>
      <w:r>
        <w:rPr>
          <w:spacing w:val="-2"/>
        </w:rPr>
        <w:t>本公司固定资产是指为生产商品、提供劳务、出租或经营管理而持有的，并且使用年限超过一年，与该资产有关的经济利益</w:t>
      </w:r>
      <w:r>
        <w:rPr>
          <w:spacing w:val="-64"/>
        </w:rPr>
        <w:t> </w:t>
      </w:r>
      <w:r>
        <w:rPr>
          <w:spacing w:val="-64"/>
        </w:rPr>
      </w:r>
      <w:r>
        <w:rPr/>
        <w:t>很可能流入本公司且其成本能够可靠计量的有形资产。</w:t>
      </w:r>
    </w:p>
    <w:p>
      <w:pPr>
        <w:spacing w:line="240" w:lineRule="auto" w:before="6"/>
        <w:rPr>
          <w:rFonts w:ascii="宋体" w:hAnsi="宋体" w:cs="宋体" w:eastAsia="宋体" w:hint="default"/>
          <w:sz w:val="19"/>
          <w:szCs w:val="19"/>
        </w:rPr>
      </w:pPr>
    </w:p>
    <w:p>
      <w:pPr>
        <w:pStyle w:val="Heading3"/>
        <w:spacing w:line="240" w:lineRule="auto" w:before="0"/>
        <w:ind w:right="0"/>
        <w:jc w:val="both"/>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0"/>
              <w:jc w:val="right"/>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01"/>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4.75%</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9.50%</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19.00%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19.00%</w:t>
            </w:r>
          </w:p>
        </w:tc>
      </w:tr>
    </w:tbl>
    <w:p>
      <w:pPr>
        <w:spacing w:line="240" w:lineRule="auto" w:before="3"/>
        <w:rPr>
          <w:rFonts w:ascii="宋体" w:hAnsi="宋体" w:cs="宋体" w:eastAsia="宋体" w:hint="default"/>
          <w:b/>
          <w:bCs/>
          <w:sz w:val="19"/>
          <w:szCs w:val="19"/>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1131" w:firstLine="360"/>
        <w:jc w:val="both"/>
      </w:pPr>
      <w:r>
        <w:rPr>
          <w:spacing w:val="-2"/>
        </w:rPr>
        <w:t>本公司在租入的固定资产实质上转移了与资产有关的全部风险和报酬时确认该项固定资产的租赁为融资租赁。融资租赁</w:t>
      </w:r>
      <w:r>
        <w:rPr/>
        <w:t> </w:t>
      </w:r>
      <w:r>
        <w:rPr>
          <w:spacing w:val="-2"/>
        </w:rPr>
        <w:t>取得的固定资产的成本，按租赁开始日租赁资产公允价值与最低租赁付款额现值两者中较低者确定。融资租入的固定资产采</w:t>
      </w:r>
      <w:r>
        <w:rPr>
          <w:spacing w:val="-64"/>
        </w:rPr>
        <w:t> </w:t>
      </w:r>
      <w:r>
        <w:rPr>
          <w:spacing w:val="-64"/>
        </w:rPr>
      </w:r>
      <w:r>
        <w:rPr>
          <w:spacing w:val="-2"/>
        </w:rPr>
        <w:t>用与自有应计折旧资产相一致的折旧政策。能够合理确定租赁期届满时取得租赁资产所有权的，在租赁资产尚可使用年限内</w:t>
      </w:r>
      <w:r>
        <w:rPr>
          <w:spacing w:val="-64"/>
        </w:rPr>
        <w:t> </w:t>
      </w:r>
      <w:r>
        <w:rPr>
          <w:spacing w:val="-64"/>
        </w:rPr>
      </w:r>
      <w:r>
        <w:rPr>
          <w:spacing w:val="-2"/>
        </w:rPr>
        <w:t>计提折旧；无法合理确定租赁期届满时能够取得租赁资产所有权的，在租赁期与租赁资产尚可使用年限两者中较短的期间内</w:t>
      </w:r>
      <w:r>
        <w:rPr>
          <w:spacing w:val="-62"/>
        </w:rPr>
        <w:t> </w:t>
      </w:r>
      <w:r>
        <w:rPr>
          <w:spacing w:val="-62"/>
        </w:rPr>
      </w:r>
      <w:r>
        <w:rPr/>
        <w:t>计提折旧。</w:t>
      </w:r>
    </w:p>
    <w:p>
      <w:pPr>
        <w:spacing w:line="240" w:lineRule="auto" w:before="6"/>
        <w:rPr>
          <w:rFonts w:ascii="宋体" w:hAnsi="宋体" w:cs="宋体" w:eastAsia="宋体" w:hint="default"/>
          <w:sz w:val="19"/>
          <w:szCs w:val="19"/>
        </w:rPr>
      </w:pPr>
    </w:p>
    <w:p>
      <w:pPr>
        <w:pStyle w:val="Heading3"/>
        <w:spacing w:line="240" w:lineRule="auto" w:before="0"/>
        <w:ind w:right="1133"/>
        <w:jc w:val="left"/>
        <w:rPr>
          <w:b w:val="0"/>
          <w:bCs w:val="0"/>
        </w:rPr>
      </w:pPr>
      <w:r>
        <w:rPr>
          <w:rFonts w:ascii="Times New Roman" w:hAnsi="Times New Roman" w:cs="Times New Roman" w:eastAsia="Times New Roman" w:hint="default"/>
        </w:rPr>
        <w:t>25</w:t>
      </w:r>
      <w:r>
        <w:rPr/>
        <w:t>、在建工程</w:t>
      </w:r>
      <w:r>
        <w:rPr>
          <w:b w:val="0"/>
          <w:bCs w:val="0"/>
        </w:rPr>
      </w:r>
    </w:p>
    <w:p>
      <w:pPr>
        <w:spacing w:line="240" w:lineRule="auto" w:before="2"/>
        <w:rPr>
          <w:rFonts w:ascii="宋体" w:hAnsi="宋体" w:cs="宋体" w:eastAsia="宋体" w:hint="default"/>
          <w:b/>
          <w:bCs/>
          <w:sz w:val="32"/>
          <w:szCs w:val="32"/>
        </w:rPr>
      </w:pPr>
    </w:p>
    <w:p>
      <w:pPr>
        <w:pStyle w:val="BodyText"/>
        <w:spacing w:line="477" w:lineRule="auto"/>
        <w:ind w:right="1032" w:firstLine="360"/>
        <w:jc w:val="left"/>
      </w:pPr>
      <w:r>
        <w:rPr>
          <w:spacing w:val="-2"/>
        </w:rPr>
        <w:t>本公司在建工程指兴建中的厂房与设备及其他固定资产，按工程项目进行明细核算，按实际成本入账，其中包括直接建</w:t>
      </w:r>
      <w:r>
        <w:rPr/>
        <w:t> </w:t>
      </w:r>
      <w:r>
        <w:rPr>
          <w:spacing w:val="-4"/>
        </w:rPr>
        <w:t>筑及安装成本，以及符合资本化条件的借款费用。在建工程达到预定可使用状态时，暂估结转为固定资产，停止利息资本化，</w:t>
      </w:r>
      <w:r>
        <w:rPr>
          <w:spacing w:val="-46"/>
        </w:rPr>
        <w:t> </w:t>
      </w:r>
      <w:r>
        <w:rPr>
          <w:spacing w:val="-46"/>
        </w:rPr>
      </w:r>
      <w:r>
        <w:rPr>
          <w:spacing w:val="-2"/>
        </w:rPr>
        <w:t>并开始按确定的固定资产折旧方法计提折旧，待工程竣工决算后，按竣工决算的金额调整原暂估金额，但不调整原已计提的</w:t>
      </w:r>
      <w:r>
        <w:rPr>
          <w:spacing w:val="-63"/>
        </w:rPr>
        <w:t> </w:t>
      </w:r>
      <w:r>
        <w:rPr>
          <w:spacing w:val="-63"/>
        </w:rPr>
      </w:r>
      <w:r>
        <w:rPr/>
        <w:t>折旧额。</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5"/>
          <w:szCs w:val="25"/>
        </w:rPr>
      </w:pPr>
    </w:p>
    <w:p>
      <w:pPr>
        <w:pStyle w:val="Heading3"/>
        <w:spacing w:line="240" w:lineRule="auto" w:before="0"/>
        <w:ind w:right="1133"/>
        <w:jc w:val="left"/>
        <w:rPr>
          <w:b w:val="0"/>
          <w:bCs w:val="0"/>
        </w:rPr>
      </w:pPr>
      <w:r>
        <w:rPr>
          <w:rFonts w:ascii="Times New Roman" w:hAnsi="Times New Roman" w:cs="Times New Roman" w:eastAsia="Times New Roman" w:hint="default"/>
        </w:rPr>
        <w:t>26</w:t>
      </w:r>
      <w:r>
        <w:rPr/>
        <w:t>、借款费用</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left="513" w:right="0"/>
        <w:jc w:val="left"/>
      </w:pPr>
      <w:r>
        <w:rPr>
          <w:rFonts w:ascii="宋体" w:hAnsi="宋体" w:cs="宋体" w:eastAsia="宋体" w:hint="default"/>
        </w:rPr>
        <w:t>1</w:t>
      </w:r>
      <w:r>
        <w:rPr/>
        <w:t>、借款费用资本化的确认原则和资本化期间 </w:t>
      </w:r>
      <w:r>
        <w:rPr>
          <w:spacing w:val="-2"/>
        </w:rPr>
        <w:t>本公司发生的借款费用，可直接归属于符合资本化条件的资产的购建或生产的，在同时满足下列条件时予以资本化，计</w:t>
      </w:r>
    </w:p>
    <w:p>
      <w:pPr>
        <w:pStyle w:val="BodyText"/>
        <w:spacing w:line="240" w:lineRule="auto" w:before="54"/>
        <w:ind w:right="1133"/>
        <w:jc w:val="left"/>
      </w:pPr>
      <w:r>
        <w:rPr/>
        <w:t>入相关资产成本：</w:t>
      </w:r>
    </w:p>
    <w:p>
      <w:pPr>
        <w:spacing w:line="240" w:lineRule="auto" w:before="10"/>
        <w:rPr>
          <w:rFonts w:ascii="宋体" w:hAnsi="宋体" w:cs="宋体" w:eastAsia="宋体" w:hint="default"/>
          <w:sz w:val="17"/>
          <w:szCs w:val="17"/>
        </w:rPr>
      </w:pPr>
    </w:p>
    <w:p>
      <w:pPr>
        <w:pStyle w:val="BodyText"/>
        <w:spacing w:line="240" w:lineRule="auto"/>
        <w:ind w:left="513" w:right="1133"/>
        <w:jc w:val="left"/>
      </w:pPr>
      <w:r>
        <w:rPr/>
        <w:t>①</w:t>
      </w:r>
      <w:r>
        <w:rPr>
          <w:spacing w:val="1"/>
        </w:rPr>
        <w:t> </w:t>
      </w:r>
      <w:r>
        <w:rPr/>
        <w:t>资产支出已经发生；</w:t>
      </w:r>
    </w:p>
    <w:p>
      <w:pPr>
        <w:spacing w:line="240" w:lineRule="auto" w:before="10"/>
        <w:rPr>
          <w:rFonts w:ascii="宋体" w:hAnsi="宋体" w:cs="宋体" w:eastAsia="宋体" w:hint="default"/>
          <w:sz w:val="17"/>
          <w:szCs w:val="17"/>
        </w:rPr>
      </w:pPr>
    </w:p>
    <w:p>
      <w:pPr>
        <w:pStyle w:val="BodyText"/>
        <w:spacing w:line="240" w:lineRule="auto"/>
        <w:ind w:left="513" w:right="1133"/>
        <w:jc w:val="left"/>
      </w:pPr>
      <w:r>
        <w:rPr/>
        <w:t>②</w:t>
      </w:r>
      <w:r>
        <w:rPr>
          <w:spacing w:val="1"/>
        </w:rPr>
        <w:t> </w:t>
      </w:r>
      <w:r>
        <w:rPr/>
        <w:t>借款费用已经发生；</w:t>
      </w:r>
    </w:p>
    <w:p>
      <w:pPr>
        <w:spacing w:line="240" w:lineRule="auto" w:before="10"/>
        <w:rPr>
          <w:rFonts w:ascii="宋体" w:hAnsi="宋体" w:cs="宋体" w:eastAsia="宋体" w:hint="default"/>
          <w:sz w:val="17"/>
          <w:szCs w:val="17"/>
        </w:rPr>
      </w:pPr>
    </w:p>
    <w:p>
      <w:pPr>
        <w:pStyle w:val="BodyText"/>
        <w:spacing w:line="477" w:lineRule="auto"/>
        <w:ind w:left="513" w:right="0"/>
        <w:jc w:val="left"/>
      </w:pPr>
      <w:r>
        <w:rPr/>
        <w:t>③</w:t>
      </w:r>
      <w:r>
        <w:rPr>
          <w:spacing w:val="1"/>
        </w:rPr>
        <w:t> </w:t>
      </w:r>
      <w:r>
        <w:rPr/>
        <w:t>为使资产达到预定可使用或者可销售状态所必要的购建或者生产活动已经开始。</w:t>
      </w:r>
      <w:r>
        <w:rPr/>
        <w:t> </w:t>
      </w:r>
      <w:r>
        <w:rPr>
          <w:spacing w:val="-2"/>
        </w:rPr>
        <w:t>符合资本化条件的资产在购建或者生产过程中发生非正常中断、且中断时间连续超过</w:t>
      </w:r>
      <w:r>
        <w:rPr>
          <w:rFonts w:ascii="宋体" w:hAnsi="宋体" w:cs="宋体" w:eastAsia="宋体" w:hint="default"/>
          <w:spacing w:val="-2"/>
        </w:rPr>
        <w:t>3</w:t>
      </w:r>
      <w:r>
        <w:rPr>
          <w:spacing w:val="-2"/>
        </w:rPr>
        <w:t>个月的，暂停借款费用的资本化。</w:t>
      </w:r>
    </w:p>
    <w:p>
      <w:pPr>
        <w:pStyle w:val="BodyText"/>
        <w:spacing w:line="477" w:lineRule="auto" w:before="54"/>
        <w:ind w:right="1129"/>
        <w:jc w:val="left"/>
      </w:pPr>
      <w:r>
        <w:rPr>
          <w:spacing w:val="-2"/>
        </w:rPr>
        <w:t>在中断期间发生的借款费用确认为费用，计入当期损益，直至资产的购建或者生产活动重新开始。如果中断是所购建或者生</w:t>
      </w:r>
      <w:r>
        <w:rPr>
          <w:spacing w:val="-66"/>
        </w:rPr>
        <w:t> </w:t>
      </w:r>
      <w:r>
        <w:rPr>
          <w:spacing w:val="-66"/>
        </w:rPr>
      </w:r>
      <w:r>
        <w:rPr/>
        <w:t>产的符合资本化条件的资产达到预定可使用或者可销售状态必要的程序，借款费用的资本化继续进行。</w:t>
      </w:r>
    </w:p>
    <w:p>
      <w:pPr>
        <w:pStyle w:val="BodyText"/>
        <w:spacing w:line="477" w:lineRule="auto" w:before="54"/>
        <w:ind w:right="1129" w:firstLine="360"/>
        <w:jc w:val="left"/>
      </w:pPr>
      <w:r>
        <w:rPr>
          <w:spacing w:val="-2"/>
        </w:rPr>
        <w:t>购建或者生产符合资本化条件的资产达到预定可使用或者可销售状态时，借款费用停止资本化。以后发生的借款费用于</w:t>
      </w:r>
      <w:r>
        <w:rPr/>
        <w:t> 发生当期确认为费用。</w:t>
      </w:r>
    </w:p>
    <w:p>
      <w:pPr>
        <w:spacing w:after="0" w:line="477" w:lineRule="auto"/>
        <w:jc w:val="left"/>
        <w:sectPr>
          <w:pgSz w:w="11910" w:h="16840"/>
          <w:pgMar w:header="877" w:footer="980" w:top="1100" w:bottom="1160" w:left="980" w:right="0"/>
        </w:sectPr>
      </w:pPr>
    </w:p>
    <w:p>
      <w:pPr>
        <w:spacing w:line="240" w:lineRule="auto" w:before="11"/>
        <w:rPr>
          <w:rFonts w:ascii="宋体" w:hAnsi="宋体" w:cs="宋体" w:eastAsia="宋体" w:hint="default"/>
          <w:sz w:val="27"/>
          <w:szCs w:val="27"/>
        </w:rPr>
      </w:pPr>
    </w:p>
    <w:p>
      <w:pPr>
        <w:pStyle w:val="BodyText"/>
        <w:spacing w:line="477" w:lineRule="auto" w:before="44"/>
        <w:ind w:left="513" w:right="1129"/>
        <w:jc w:val="left"/>
      </w:pPr>
      <w:r>
        <w:rPr>
          <w:rFonts w:ascii="宋体" w:hAnsi="宋体" w:cs="宋体" w:eastAsia="宋体" w:hint="default"/>
        </w:rPr>
        <w:t>2</w:t>
      </w:r>
      <w:r>
        <w:rPr/>
        <w:t>、借款费用资本化金额的计算方法 </w:t>
      </w:r>
      <w:r>
        <w:rPr>
          <w:spacing w:val="-2"/>
        </w:rPr>
        <w:t>为购建或者生产符合资本化条件的资产而借入专门借款的，以专门借款当期实际发生的利息费用，减去将尚未动用的借</w:t>
      </w:r>
    </w:p>
    <w:p>
      <w:pPr>
        <w:pStyle w:val="BodyText"/>
        <w:spacing w:line="477" w:lineRule="auto" w:before="54"/>
        <w:ind w:left="513" w:right="1129" w:hanging="361"/>
        <w:jc w:val="left"/>
      </w:pPr>
      <w:r>
        <w:rPr/>
        <w:t>款资金存入银行取得的利息收入或进行暂时性投资取得的投资收益后的金额确定。 </w:t>
      </w:r>
      <w:r>
        <w:rPr>
          <w:spacing w:val="-2"/>
        </w:rPr>
        <w:t>为购建或者生产符合资本化条件的资产而占用了一般借款的，根据累计资产支出超过专门借款部分的资产支出加权平均</w:t>
      </w:r>
    </w:p>
    <w:p>
      <w:pPr>
        <w:pStyle w:val="BodyText"/>
        <w:spacing w:line="477" w:lineRule="auto" w:before="54"/>
        <w:ind w:right="1129"/>
        <w:jc w:val="left"/>
      </w:pPr>
      <w:r>
        <w:rPr>
          <w:spacing w:val="-2"/>
        </w:rPr>
        <w:t>数乘以所占用一般借款的资本化率，计算确定一般借款应予资本化的利息金额。资本化率根据一般借款加权平均利率计算确</w:t>
      </w:r>
      <w:r>
        <w:rPr>
          <w:spacing w:val="-64"/>
        </w:rPr>
        <w:t> </w:t>
      </w:r>
      <w:r>
        <w:rPr>
          <w:spacing w:val="-64"/>
        </w:rPr>
      </w:r>
      <w:r>
        <w:rPr/>
        <w:t>定。</w:t>
      </w:r>
    </w:p>
    <w:p>
      <w:pPr>
        <w:spacing w:line="240" w:lineRule="auto" w:before="6"/>
        <w:rPr>
          <w:rFonts w:ascii="宋体" w:hAnsi="宋体" w:cs="宋体" w:eastAsia="宋体" w:hint="default"/>
          <w:sz w:val="19"/>
          <w:szCs w:val="19"/>
        </w:rPr>
      </w:pPr>
    </w:p>
    <w:p>
      <w:pPr>
        <w:pStyle w:val="Heading3"/>
        <w:spacing w:line="240" w:lineRule="auto" w:before="0"/>
        <w:ind w:right="1133"/>
        <w:jc w:val="left"/>
        <w:rPr>
          <w:b w:val="0"/>
          <w:bCs w:val="0"/>
        </w:rPr>
      </w:pPr>
      <w:r>
        <w:rPr>
          <w:rFonts w:ascii="Times New Roman" w:hAnsi="Times New Roman" w:cs="Times New Roman" w:eastAsia="Times New Roman" w:hint="default"/>
        </w:rPr>
        <w:t>27</w:t>
      </w:r>
      <w:r>
        <w:rPr/>
        <w:t>、生物资产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1"/>
        <w:ind w:right="1133"/>
        <w:jc w:val="left"/>
        <w:rPr>
          <w:b w:val="0"/>
          <w:bCs w:val="0"/>
        </w:rPr>
      </w:pPr>
      <w:r>
        <w:rPr>
          <w:rFonts w:ascii="Times New Roman" w:hAnsi="Times New Roman" w:cs="Times New Roman" w:eastAsia="Times New Roman" w:hint="default"/>
        </w:rPr>
        <w:t>28</w:t>
      </w:r>
      <w:r>
        <w:rPr/>
        <w:t>、油气资产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29</w:t>
      </w:r>
      <w:r>
        <w:rPr/>
        <w:t>、使用权资产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30</w:t>
      </w:r>
      <w:r>
        <w:rPr/>
        <w:t>、无形资产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before="0"/>
        <w:ind w:right="1133"/>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1129" w:firstLine="360"/>
        <w:jc w:val="left"/>
      </w:pPr>
      <w:r>
        <w:rPr>
          <w:spacing w:val="-2"/>
        </w:rPr>
        <w:t>本公司将企业拥有或者控制的没有实物形态，并且与该资产相关的预计未来经济利益很可能流入企业、该资产的成本能</w:t>
      </w:r>
      <w:r>
        <w:rPr/>
        <w:t> 够可靠计量的可辨认非货币性资产确认为无形资产。</w:t>
      </w:r>
    </w:p>
    <w:p>
      <w:pPr>
        <w:pStyle w:val="BodyText"/>
        <w:spacing w:line="477" w:lineRule="auto" w:before="54"/>
        <w:ind w:left="513" w:right="1123"/>
        <w:jc w:val="left"/>
      </w:pPr>
      <w:r>
        <w:rPr/>
        <w:t>本公司的无形资产按实际支付的金额或确定的价值入账。 </w:t>
      </w:r>
      <w:r>
        <w:rPr>
          <w:rFonts w:ascii="宋体" w:hAnsi="宋体" w:cs="宋体" w:eastAsia="宋体" w:hint="default"/>
        </w:rPr>
        <w:t>1</w:t>
      </w:r>
      <w:r>
        <w:rPr/>
        <w:t>、购买无形资产的价款超过正常信用条件延期支付，实质上具有融资性质，无形资产的成本以购买价款的现值为基础</w:t>
      </w:r>
    </w:p>
    <w:p>
      <w:pPr>
        <w:pStyle w:val="BodyText"/>
        <w:spacing w:line="477" w:lineRule="auto" w:before="54"/>
        <w:ind w:left="513" w:right="1129" w:hanging="361"/>
        <w:jc w:val="left"/>
      </w:pPr>
      <w:r>
        <w:rPr/>
        <w:t>确定。实际支付的价款与购买价款的现值之间的差额，除按照规定应予资本化的以外，应当在信用期间内计入当期损益。 </w:t>
      </w:r>
      <w:r>
        <w:rPr>
          <w:rFonts w:ascii="宋体" w:hAnsi="宋体" w:cs="宋体" w:eastAsia="宋体" w:hint="default"/>
        </w:rPr>
        <w:t>2</w:t>
      </w:r>
      <w:r>
        <w:rPr/>
        <w:t>、投资者投入的无形资产，按照投资合同或协议约定的价值作为成本，但合同或协议约定价值不公允的除外。 </w:t>
      </w:r>
      <w:r>
        <w:rPr>
          <w:spacing w:val="-2"/>
        </w:rPr>
        <w:t>本公司使用寿命有限的无形资产，自该无形资产可供使用时起在使用寿命期内平均摊销。使用寿命不确定的无形资产不</w:t>
      </w:r>
    </w:p>
    <w:p>
      <w:pPr>
        <w:pStyle w:val="BodyText"/>
        <w:spacing w:line="477" w:lineRule="auto" w:before="54"/>
        <w:ind w:right="1129"/>
        <w:jc w:val="left"/>
      </w:pPr>
      <w:r>
        <w:rPr>
          <w:spacing w:val="-2"/>
        </w:rPr>
        <w:t>予摊销。无形资产摊销金额为其成本扣除预计残值后的金额，已计提减值准备的无形资产，还需扣除已计提的无形资产减值</w:t>
      </w:r>
      <w:r>
        <w:rPr>
          <w:spacing w:val="-63"/>
        </w:rPr>
        <w:t> </w:t>
      </w:r>
      <w:r>
        <w:rPr>
          <w:spacing w:val="-63"/>
        </w:rPr>
      </w:r>
      <w:r>
        <w:rPr/>
        <w:t>准备累计金额。</w:t>
      </w:r>
    </w:p>
    <w:p>
      <w:pPr>
        <w:pStyle w:val="BodyText"/>
        <w:spacing w:line="240" w:lineRule="auto" w:before="54"/>
        <w:ind w:left="513" w:right="1133"/>
        <w:jc w:val="left"/>
      </w:pPr>
      <w:r>
        <w:rPr/>
        <w:t>对于使用寿命有限的各项无形资产的摊销年限分别为：</w:t>
      </w:r>
    </w:p>
    <w:p>
      <w:pPr>
        <w:spacing w:line="240" w:lineRule="auto" w:before="1"/>
        <w:rPr>
          <w:rFonts w:ascii="宋体" w:hAnsi="宋体" w:cs="宋体" w:eastAsia="宋体" w:hint="default"/>
          <w:sz w:val="11"/>
          <w:szCs w:val="11"/>
        </w:rPr>
      </w:pPr>
    </w:p>
    <w:tbl>
      <w:tblPr>
        <w:tblW w:w="0" w:type="auto"/>
        <w:jc w:val="left"/>
        <w:tblInd w:w="731" w:type="dxa"/>
        <w:tblLayout w:type="fixed"/>
        <w:tblCellMar>
          <w:top w:w="0" w:type="dxa"/>
          <w:left w:w="0" w:type="dxa"/>
          <w:bottom w:w="0" w:type="dxa"/>
          <w:right w:w="0" w:type="dxa"/>
        </w:tblCellMar>
        <w:tblLook w:val="01E0"/>
      </w:tblPr>
      <w:tblGrid>
        <w:gridCol w:w="3056"/>
        <w:gridCol w:w="1913"/>
        <w:gridCol w:w="3505"/>
      </w:tblGrid>
      <w:tr>
        <w:trPr>
          <w:trHeight w:val="341"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b/>
                <w:bCs/>
                <w:sz w:val="18"/>
                <w:szCs w:val="18"/>
              </w:rPr>
              <w:t>预计使用寿命（月）</w:t>
            </w:r>
            <w:r>
              <w:rPr>
                <w:rFonts w:ascii="宋体" w:hAnsi="宋体" w:cs="宋体" w:eastAsia="宋体" w:hint="default"/>
                <w:sz w:val="18"/>
                <w:szCs w:val="18"/>
              </w:rPr>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b/>
                <w:bCs/>
                <w:sz w:val="18"/>
                <w:szCs w:val="18"/>
              </w:rPr>
              <w:t>依据</w:t>
            </w:r>
            <w:r>
              <w:rPr>
                <w:rFonts w:ascii="宋体" w:hAnsi="宋体" w:cs="宋体" w:eastAsia="宋体" w:hint="default"/>
                <w:sz w:val="18"/>
                <w:szCs w:val="18"/>
              </w:rPr>
            </w:r>
          </w:p>
        </w:tc>
      </w:tr>
      <w:tr>
        <w:trPr>
          <w:trHeight w:val="343"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484~600</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土地出让期限</w:t>
            </w:r>
          </w:p>
        </w:tc>
      </w:tr>
      <w:tr>
        <w:trPr>
          <w:trHeight w:val="341"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60~120</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受益期限</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731" w:type="dxa"/>
        <w:tblLayout w:type="fixed"/>
        <w:tblCellMar>
          <w:top w:w="0" w:type="dxa"/>
          <w:left w:w="0" w:type="dxa"/>
          <w:bottom w:w="0" w:type="dxa"/>
          <w:right w:w="0" w:type="dxa"/>
        </w:tblCellMar>
        <w:tblLook w:val="01E0"/>
      </w:tblPr>
      <w:tblGrid>
        <w:gridCol w:w="3056"/>
        <w:gridCol w:w="1913"/>
        <w:gridCol w:w="3505"/>
      </w:tblGrid>
      <w:tr>
        <w:trPr>
          <w:trHeight w:val="341"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专利技术</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815" w:right="0"/>
              <w:jc w:val="left"/>
              <w:rPr>
                <w:rFonts w:ascii="Times New Roman" w:hAnsi="Times New Roman" w:cs="Times New Roman" w:eastAsia="Times New Roman" w:hint="default"/>
                <w:sz w:val="18"/>
                <w:szCs w:val="18"/>
              </w:rPr>
            </w:pPr>
            <w:r>
              <w:rPr>
                <w:rFonts w:ascii="Times New Roman"/>
                <w:sz w:val="18"/>
              </w:rPr>
              <w:t>120</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受益期限</w:t>
            </w:r>
          </w:p>
        </w:tc>
      </w:tr>
      <w:tr>
        <w:trPr>
          <w:trHeight w:val="344"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生产技术</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815" w:right="0"/>
              <w:jc w:val="left"/>
              <w:rPr>
                <w:rFonts w:ascii="Times New Roman" w:hAnsi="Times New Roman" w:cs="Times New Roman" w:eastAsia="Times New Roman" w:hint="default"/>
                <w:sz w:val="18"/>
                <w:szCs w:val="18"/>
              </w:rPr>
            </w:pPr>
            <w:r>
              <w:rPr>
                <w:rFonts w:ascii="Times New Roman"/>
                <w:sz w:val="18"/>
              </w:rPr>
              <w:t>120</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受益期限</w:t>
            </w:r>
          </w:p>
        </w:tc>
      </w:tr>
      <w:tr>
        <w:trPr>
          <w:trHeight w:val="343"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815" w:right="0"/>
              <w:jc w:val="left"/>
              <w:rPr>
                <w:rFonts w:ascii="Times New Roman" w:hAnsi="Times New Roman" w:cs="Times New Roman" w:eastAsia="Times New Roman" w:hint="default"/>
                <w:sz w:val="18"/>
                <w:szCs w:val="18"/>
              </w:rPr>
            </w:pPr>
            <w:r>
              <w:rPr>
                <w:rFonts w:ascii="Times New Roman"/>
                <w:sz w:val="18"/>
              </w:rPr>
              <w:t>120</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受益期限</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2"/>
        <w:rPr>
          <w:rFonts w:ascii="宋体" w:hAnsi="宋体" w:cs="宋体" w:eastAsia="宋体" w:hint="default"/>
          <w:b/>
          <w:bCs/>
          <w:sz w:val="32"/>
          <w:szCs w:val="32"/>
        </w:rPr>
      </w:pPr>
    </w:p>
    <w:p>
      <w:pPr>
        <w:pStyle w:val="BodyText"/>
        <w:spacing w:line="477" w:lineRule="auto"/>
        <w:ind w:right="1130" w:firstLine="360"/>
        <w:jc w:val="both"/>
      </w:pPr>
      <w:r>
        <w:rPr>
          <w:spacing w:val="-2"/>
        </w:rPr>
        <w:t>本公司内部研究开发项目的支出，区分研究阶段支出与开发阶段支出。研究是指为获取并理解新的科学或技术知识而进</w:t>
      </w:r>
      <w:r>
        <w:rPr/>
        <w:t> </w:t>
      </w:r>
      <w:r>
        <w:rPr>
          <w:spacing w:val="-2"/>
        </w:rPr>
        <w:t>行的独创性的有计划调查。开发是指在进行商业性生产或使用前，将研究成果或其他知识应用于某项计划或设计，以生产出</w:t>
      </w:r>
      <w:r>
        <w:rPr>
          <w:spacing w:val="-63"/>
        </w:rPr>
        <w:t> </w:t>
      </w:r>
      <w:r>
        <w:rPr>
          <w:spacing w:val="-63"/>
        </w:rPr>
      </w:r>
      <w:r>
        <w:rPr/>
        <w:t>新的或具有实质性改进的材料、装置、产品等。</w:t>
      </w:r>
    </w:p>
    <w:p>
      <w:pPr>
        <w:pStyle w:val="BodyText"/>
        <w:spacing w:line="477" w:lineRule="auto" w:before="54"/>
        <w:ind w:right="1034" w:firstLine="360"/>
        <w:jc w:val="left"/>
      </w:pPr>
      <w:r>
        <w:rPr>
          <w:spacing w:val="-2"/>
        </w:rPr>
        <w:t>内部研究开发项目研究阶段的支出，于发生时计入当期损益。内部研究开发项目开发阶段的支出，同时满足下列条件的</w:t>
      </w:r>
      <w:r>
        <w:rPr/>
        <w:t> 确认为无形资产：完成该无形资产以使其能够使用或出售在技术上具有可行性；具有完成该无形资产并使用或出售的意图； </w:t>
      </w:r>
      <w:r>
        <w:rPr>
          <w:spacing w:val="-2"/>
        </w:rPr>
        <w:t>无形资产产生经济利益的方式，包括能够证明运用该无形资产生产的产品存在市场或无形资产自身存在市场，无形资产将在</w:t>
      </w:r>
      <w:r>
        <w:rPr>
          <w:spacing w:val="-64"/>
        </w:rPr>
        <w:t> </w:t>
      </w:r>
      <w:r>
        <w:rPr>
          <w:spacing w:val="-64"/>
        </w:rPr>
      </w:r>
      <w:r>
        <w:rPr>
          <w:spacing w:val="-2"/>
        </w:rPr>
        <w:t>内部使用的，应当证明其有用性；有足够的技术、财务资源和其他资源支持，以完成该无形资产的开发，并有能力使用或出</w:t>
      </w:r>
      <w:r>
        <w:rPr>
          <w:spacing w:val="-67"/>
        </w:rPr>
        <w:t> </w:t>
      </w:r>
      <w:r>
        <w:rPr>
          <w:spacing w:val="-67"/>
        </w:rPr>
      </w:r>
      <w:r>
        <w:rPr/>
        <w:t>售该无形资产；归属于该无形资产开发阶段的支出能够可靠地计量。</w:t>
      </w:r>
    </w:p>
    <w:p>
      <w:pPr>
        <w:spacing w:line="240" w:lineRule="auto" w:before="6"/>
        <w:rPr>
          <w:rFonts w:ascii="宋体" w:hAnsi="宋体" w:cs="宋体" w:eastAsia="宋体" w:hint="default"/>
          <w:sz w:val="19"/>
          <w:szCs w:val="19"/>
        </w:rPr>
      </w:pPr>
    </w:p>
    <w:p>
      <w:pPr>
        <w:pStyle w:val="Heading3"/>
        <w:spacing w:line="240" w:lineRule="auto" w:before="0"/>
        <w:ind w:right="1133"/>
        <w:jc w:val="left"/>
        <w:rPr>
          <w:b w:val="0"/>
          <w:bCs w:val="0"/>
        </w:rPr>
      </w:pPr>
      <w:r>
        <w:rPr>
          <w:rFonts w:ascii="Times New Roman" w:hAnsi="Times New Roman" w:cs="Times New Roman" w:eastAsia="Times New Roman" w:hint="default"/>
        </w:rPr>
        <w:t>31</w:t>
      </w:r>
      <w:r>
        <w:rPr/>
        <w:t>、长期资产减值</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1130" w:firstLine="360"/>
        <w:jc w:val="both"/>
      </w:pPr>
      <w:r>
        <w:rPr>
          <w:spacing w:val="-2"/>
        </w:rPr>
        <w:t>长期股权投资、固定资产、在建工程、使用寿命有限的无形资产等长期资产，于资产负债表日存在减值迹象的，进行减</w:t>
      </w:r>
      <w:r>
        <w:rPr/>
        <w:t> </w:t>
      </w:r>
      <w:r>
        <w:rPr>
          <w:spacing w:val="-2"/>
        </w:rPr>
        <w:t>值测试。减值测试结果表明资产的可收回金额低于其账面价值的，按其差额计提减值准备并计入减值损失。可收回金额为资</w:t>
      </w:r>
      <w:r>
        <w:rPr>
          <w:spacing w:val="-63"/>
        </w:rPr>
        <w:t> </w:t>
      </w:r>
      <w:r>
        <w:rPr>
          <w:spacing w:val="-63"/>
        </w:rPr>
      </w:r>
      <w:r>
        <w:rPr>
          <w:spacing w:val="-2"/>
        </w:rPr>
        <w:t>产的公允价值减去处置费用后的净额与资产预计未来现金流量的现值两者之间的较高者。资产减值准备按单项资产为基础计</w:t>
      </w:r>
      <w:r>
        <w:rPr>
          <w:spacing w:val="-64"/>
        </w:rPr>
        <w:t> </w:t>
      </w:r>
      <w:r>
        <w:rPr>
          <w:spacing w:val="-64"/>
        </w:rPr>
      </w:r>
      <w:r>
        <w:rPr>
          <w:spacing w:val="-2"/>
        </w:rPr>
        <w:t>算并确认，如果难以对单项资产的可收回金额进行估计的，以该资产所属的资产组确定资产组的可收回金额。资产组是能够</w:t>
      </w:r>
      <w:r>
        <w:rPr>
          <w:spacing w:val="-63"/>
        </w:rPr>
        <w:t> </w:t>
      </w:r>
      <w:r>
        <w:rPr>
          <w:spacing w:val="-63"/>
        </w:rPr>
      </w:r>
      <w:r>
        <w:rPr/>
        <w:t>独立产生现金流入的最小资产组合。</w:t>
      </w:r>
    </w:p>
    <w:p>
      <w:pPr>
        <w:pStyle w:val="BodyText"/>
        <w:spacing w:line="477" w:lineRule="auto" w:before="54"/>
        <w:ind w:left="513" w:right="1033"/>
        <w:jc w:val="left"/>
      </w:pPr>
      <w:r>
        <w:rPr/>
        <w:t>商誉和使用寿命不确定的无形资产至少在每年年度终了进行减值测试。 本公司进行商誉减值测试，对于因企业合并形成的商誉的账面价值，自购买日起按照合理的方法分摊至相关的资产组；</w:t>
      </w:r>
    </w:p>
    <w:p>
      <w:pPr>
        <w:pStyle w:val="BodyText"/>
        <w:spacing w:line="477" w:lineRule="auto" w:before="54"/>
        <w:ind w:right="1034"/>
        <w:jc w:val="left"/>
      </w:pPr>
      <w:r>
        <w:rPr/>
        <w:t>难以分摊至相关的资产组的，将其分摊至相关的资产组组合。在将商誉的账面价值分摊至相关的资产组或者资产组组合时， </w:t>
      </w:r>
      <w:r>
        <w:rPr>
          <w:spacing w:val="-2"/>
        </w:rPr>
        <w:t>按照各资产组或者资产组组合的公允价值占相关资产组或者资产组组合公允价值总额的比例进行分摊。公允价值难以可靠计</w:t>
      </w:r>
      <w:r>
        <w:rPr>
          <w:spacing w:val="-64"/>
        </w:rPr>
        <w:t> </w:t>
      </w:r>
      <w:r>
        <w:rPr>
          <w:spacing w:val="-64"/>
        </w:rPr>
      </w:r>
      <w:r>
        <w:rPr/>
        <w:t>量的，按照各资产组或者资产组组合的账面价值占相关资产组或者资产组组合账面价值总额的比例进行分摊。</w:t>
      </w:r>
    </w:p>
    <w:p>
      <w:pPr>
        <w:pStyle w:val="BodyText"/>
        <w:spacing w:line="477" w:lineRule="auto" w:before="55"/>
        <w:ind w:right="1034" w:firstLine="360"/>
        <w:jc w:val="left"/>
      </w:pPr>
      <w:r>
        <w:rPr/>
        <w:t>在对包含商誉的相关资产组或者资产组组合进行减值测试时，如与商誉相关的资产组或者资产组组合存在减值迹象的， </w:t>
      </w:r>
      <w:r>
        <w:rPr>
          <w:spacing w:val="-4"/>
        </w:rPr>
        <w:t>先对不包含商誉的资产组或者资产组组合进行减值测试，计算可收回金额，并与相关账面价值相比较，确认相应的减值损失。</w:t>
      </w:r>
      <w:r>
        <w:rPr>
          <w:spacing w:val="-42"/>
        </w:rPr>
        <w:t> </w:t>
      </w:r>
      <w:r>
        <w:rPr>
          <w:spacing w:val="-42"/>
        </w:rPr>
      </w:r>
      <w:r>
        <w:rPr>
          <w:spacing w:val="-2"/>
        </w:rPr>
        <w:t>再对包含商誉的资产组或者资产组组合进行减值测试，比较这些相关资产组或者资产组组合的账面价值（包括所分摊的商誉</w:t>
      </w:r>
      <w:r>
        <w:rPr>
          <w:spacing w:val="-64"/>
        </w:rPr>
        <w:t> </w:t>
      </w:r>
      <w:r>
        <w:rPr>
          <w:spacing w:val="-64"/>
        </w:rPr>
      </w:r>
      <w:r>
        <w:rPr/>
        <w:t>的账面价值部分）与其可收回金额，如相关资产组或者资产组组合的可收回金额低于其账面价值的，确认商誉的减值损失。 上述资产减值损失一经确认，在以后会计期间不予转回。</w:t>
      </w:r>
    </w:p>
    <w:p>
      <w:pPr>
        <w:spacing w:after="0" w:line="477"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ind w:right="1133"/>
        <w:jc w:val="left"/>
        <w:rPr>
          <w:b w:val="0"/>
          <w:bCs w:val="0"/>
        </w:rPr>
      </w:pPr>
      <w:r>
        <w:rPr>
          <w:rFonts w:ascii="Times New Roman" w:hAnsi="Times New Roman" w:cs="Times New Roman" w:eastAsia="Times New Roman" w:hint="default"/>
        </w:rPr>
        <w:t>32</w:t>
      </w:r>
      <w:r>
        <w:rPr/>
        <w:t>、长期待摊费用</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1129" w:firstLine="360"/>
        <w:jc w:val="left"/>
      </w:pPr>
      <w:r>
        <w:rPr>
          <w:spacing w:val="-2"/>
        </w:rPr>
        <w:t>长期待摊费用按实际发生额入账，在受益期或规定的期限内分期平均摊销。如果长期待摊的费用项目不能使以后会计期</w:t>
      </w:r>
      <w:r>
        <w:rPr/>
        <w:t> 间受益则将尚未摊销的该项目的摊余价值全部转入当期损益。</w:t>
      </w:r>
    </w:p>
    <w:p>
      <w:pPr>
        <w:pStyle w:val="BodyText"/>
        <w:spacing w:line="477" w:lineRule="auto" w:before="54"/>
        <w:ind w:left="513" w:right="7513"/>
        <w:jc w:val="left"/>
      </w:pPr>
      <w:r>
        <w:rPr/>
        <w:pict>
          <v:shape style="position:absolute;margin-left:86.664001pt;margin-top:68.531715pt;width:391.8pt;height:35.4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72"/>
                    <w:gridCol w:w="1844"/>
                    <w:gridCol w:w="1925"/>
                    <w:gridCol w:w="2173"/>
                  </w:tblGrid>
                  <w:tr>
                    <w:trPr>
                      <w:trHeight w:val="329" w:hRule="exact"/>
                    </w:trPr>
                    <w:tc>
                      <w:tcPr>
                        <w:tcW w:w="187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8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192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依</w:t>
                        </w:r>
                        <w:r>
                          <w:rPr>
                            <w:rFonts w:ascii="宋体" w:hAnsi="宋体" w:cs="宋体" w:eastAsia="宋体" w:hint="default"/>
                            <w:spacing w:val="54"/>
                            <w:sz w:val="18"/>
                            <w:szCs w:val="18"/>
                          </w:rPr>
                          <w:t> </w:t>
                        </w:r>
                        <w:r>
                          <w:rPr>
                            <w:rFonts w:ascii="宋体" w:hAnsi="宋体" w:cs="宋体" w:eastAsia="宋体" w:hint="default"/>
                            <w:sz w:val="18"/>
                            <w:szCs w:val="18"/>
                          </w:rPr>
                          <w:t>据</w:t>
                        </w:r>
                      </w:p>
                    </w:tc>
                    <w:tc>
                      <w:tcPr>
                        <w:tcW w:w="217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65" w:hRule="exact"/>
                    </w:trPr>
                    <w:tc>
                      <w:tcPr>
                        <w:tcW w:w="187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厂房改造费</w:t>
                        </w:r>
                      </w:p>
                    </w:tc>
                    <w:tc>
                      <w:tcPr>
                        <w:tcW w:w="184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32"/>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92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受益期限</w:t>
                        </w:r>
                      </w:p>
                    </w:tc>
                    <w:tc>
                      <w:tcPr>
                        <w:tcW w:w="2173" w:type="dxa"/>
                        <w:tcBorders>
                          <w:top w:val="single" w:sz="10" w:space="0" w:color="000000"/>
                          <w:left w:val="single" w:sz="6" w:space="0" w:color="000000"/>
                          <w:bottom w:val="single" w:sz="6" w:space="0" w:color="000000"/>
                          <w:right w:val="single" w:sz="6" w:space="0" w:color="000000"/>
                        </w:tcBorders>
                      </w:tcPr>
                      <w:p>
                        <w:pPr/>
                      </w:p>
                    </w:tc>
                  </w:tr>
                </w:tbl>
                <w:p>
                  <w:pPr/>
                </w:p>
              </w:txbxContent>
            </v:textbox>
            <w10:wrap type="none"/>
          </v:shape>
        </w:pict>
      </w:r>
      <w:r>
        <w:rPr>
          <w:rFonts w:ascii="宋体" w:hAnsi="宋体" w:cs="宋体" w:eastAsia="宋体" w:hint="default"/>
        </w:rPr>
        <w:t>1</w:t>
      </w:r>
      <w:r>
        <w:rPr/>
        <w:t>、摊销方法 长期待摊费用在受益期内平均摊销。 </w:t>
      </w:r>
      <w:r>
        <w:rPr>
          <w:rFonts w:ascii="宋体" w:hAnsi="宋体" w:cs="宋体" w:eastAsia="宋体" w:hint="default"/>
        </w:rPr>
        <w:t>2</w:t>
      </w:r>
      <w:r>
        <w:rPr/>
        <w:t>、摊销年限</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Heading3"/>
        <w:spacing w:line="240" w:lineRule="auto"/>
        <w:ind w:right="1133"/>
        <w:jc w:val="left"/>
        <w:rPr>
          <w:b w:val="0"/>
          <w:bCs w:val="0"/>
        </w:rPr>
      </w:pPr>
      <w:r>
        <w:rPr>
          <w:rFonts w:ascii="Times New Roman" w:hAnsi="Times New Roman" w:cs="Times New Roman" w:eastAsia="Times New Roman" w:hint="default"/>
        </w:rPr>
        <w:t>33</w:t>
      </w:r>
      <w:r>
        <w:rPr/>
        <w:t>、合同负债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34</w:t>
      </w:r>
      <w:r>
        <w:rPr/>
        <w:t>、职工薪酬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before="0"/>
        <w:ind w:right="1133"/>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9" w:firstLine="360"/>
        <w:jc w:val="left"/>
      </w:pPr>
      <w:r>
        <w:rPr>
          <w:spacing w:val="-2"/>
        </w:rPr>
        <w:t>本公司在职工为其提供服务的会计期间，将实际发生的短期薪酬确认为负债，并计入当期损益，其他会计准则要求或允</w:t>
      </w:r>
      <w:r>
        <w:rPr/>
        <w:t> 许计入资产成本的除外。</w:t>
      </w:r>
    </w:p>
    <w:p>
      <w:pPr>
        <w:spacing w:line="240" w:lineRule="auto" w:before="10"/>
        <w:rPr>
          <w:rFonts w:ascii="宋体" w:hAnsi="宋体" w:cs="宋体" w:eastAsia="宋体" w:hint="default"/>
          <w:sz w:val="22"/>
          <w:szCs w:val="22"/>
        </w:rPr>
      </w:pPr>
    </w:p>
    <w:p>
      <w:pPr>
        <w:pStyle w:val="Heading3"/>
        <w:spacing w:line="240" w:lineRule="auto" w:before="0"/>
        <w:ind w:right="1133"/>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3"/>
        <w:rPr>
          <w:rFonts w:ascii="宋体" w:hAnsi="宋体" w:cs="宋体" w:eastAsia="宋体" w:hint="default"/>
          <w:b/>
          <w:bCs/>
          <w:sz w:val="32"/>
          <w:szCs w:val="32"/>
        </w:rPr>
      </w:pPr>
    </w:p>
    <w:p>
      <w:pPr>
        <w:pStyle w:val="BodyText"/>
        <w:spacing w:line="477" w:lineRule="auto"/>
        <w:ind w:right="1129" w:firstLine="360"/>
        <w:jc w:val="both"/>
      </w:pPr>
      <w:r>
        <w:rPr>
          <w:spacing w:val="-2"/>
        </w:rPr>
        <w:t>本公司将离职后福利计划分类为设定提存计划和设定受益计划。离职后福利计划，是指本公司与职工就离职后福利达成</w:t>
      </w:r>
      <w:r>
        <w:rPr/>
        <w:t> </w:t>
      </w:r>
      <w:r>
        <w:rPr>
          <w:spacing w:val="-2"/>
        </w:rPr>
        <w:t>的协议，或者本公司为向职工提供离职后福利制定的规章或办法等。其中，设定提存计划，是指向独立的基金缴存固定费用</w:t>
      </w:r>
      <w:r>
        <w:rPr>
          <w:spacing w:val="-63"/>
        </w:rPr>
        <w:t> </w:t>
      </w:r>
      <w:r>
        <w:rPr>
          <w:spacing w:val="-63"/>
        </w:rPr>
      </w:r>
      <w:r>
        <w:rPr/>
        <w:t>后，本公司不再承担进一步支付义务的离职后福利计划；设定受益计划，是指除设定提存计划以外的离职后福利计划。</w:t>
      </w:r>
    </w:p>
    <w:p>
      <w:pPr>
        <w:spacing w:line="240" w:lineRule="auto" w:before="6"/>
        <w:rPr>
          <w:rFonts w:ascii="宋体" w:hAnsi="宋体" w:cs="宋体" w:eastAsia="宋体" w:hint="default"/>
          <w:sz w:val="19"/>
          <w:szCs w:val="19"/>
        </w:rPr>
      </w:pPr>
    </w:p>
    <w:p>
      <w:pPr>
        <w:pStyle w:val="Heading3"/>
        <w:spacing w:line="240" w:lineRule="auto" w:before="0"/>
        <w:ind w:right="1133"/>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1129" w:firstLine="360"/>
        <w:jc w:val="left"/>
      </w:pPr>
      <w:r>
        <w:rPr>
          <w:spacing w:val="-2"/>
        </w:rPr>
        <w:t>本公司向职工提供辞退福利的，在下列两者孰早日确认辞退福利产生的职工薪酬负债，并计入当期损益：本公司不能单</w:t>
      </w:r>
      <w:r>
        <w:rPr/>
        <w:t> 方面撤回因解除劳动关系计划或裁减建议所提供的辞退福利时；本公司确认与涉及支付辞退福利的重组相关的成本或费用 时。</w:t>
      </w:r>
    </w:p>
    <w:p>
      <w:pPr>
        <w:spacing w:line="240" w:lineRule="auto" w:before="6"/>
        <w:rPr>
          <w:rFonts w:ascii="宋体" w:hAnsi="宋体" w:cs="宋体" w:eastAsia="宋体" w:hint="default"/>
          <w:sz w:val="19"/>
          <w:szCs w:val="19"/>
        </w:rPr>
      </w:pPr>
    </w:p>
    <w:p>
      <w:pPr>
        <w:pStyle w:val="Heading3"/>
        <w:spacing w:line="240" w:lineRule="auto" w:before="0"/>
        <w:ind w:right="1133"/>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2"/>
        <w:rPr>
          <w:rFonts w:ascii="宋体" w:hAnsi="宋体" w:cs="宋体" w:eastAsia="宋体" w:hint="default"/>
          <w:b/>
          <w:bCs/>
          <w:sz w:val="32"/>
          <w:szCs w:val="32"/>
        </w:rPr>
      </w:pPr>
    </w:p>
    <w:p>
      <w:pPr>
        <w:pStyle w:val="BodyText"/>
        <w:spacing w:line="477" w:lineRule="auto"/>
        <w:ind w:right="0" w:firstLine="360"/>
        <w:jc w:val="left"/>
      </w:pPr>
      <w:r>
        <w:rPr>
          <w:spacing w:val="-2"/>
        </w:rPr>
        <w:t>本公司向职工提供的其他长期职工福利，符合设定提存计划条件的，按照上述设定提存计划的会计政策进行处理；除此</w:t>
      </w:r>
      <w:r>
        <w:rPr/>
        <w:t> 以外的，按照上述设定受益计划的会计政策确认和计量其他长期职工福利净负债或净资产。</w:t>
      </w:r>
    </w:p>
    <w:p>
      <w:pPr>
        <w:spacing w:after="0" w:line="477"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Heading3"/>
        <w:spacing w:line="240" w:lineRule="auto"/>
        <w:ind w:right="1133"/>
        <w:jc w:val="left"/>
        <w:rPr>
          <w:b w:val="0"/>
          <w:bCs w:val="0"/>
        </w:rPr>
      </w:pPr>
      <w:r>
        <w:rPr>
          <w:rFonts w:ascii="Times New Roman" w:hAnsi="Times New Roman" w:cs="Times New Roman" w:eastAsia="Times New Roman" w:hint="default"/>
        </w:rPr>
        <w:t>35</w:t>
      </w:r>
      <w:r>
        <w:rPr/>
        <w:t>、租赁负债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36</w:t>
      </w:r>
      <w:r>
        <w:rPr/>
        <w:t>、预计负债</w:t>
      </w:r>
      <w:r>
        <w:rPr>
          <w:b w:val="0"/>
          <w:bCs w:val="0"/>
        </w:rPr>
      </w:r>
    </w:p>
    <w:p>
      <w:pPr>
        <w:spacing w:line="240" w:lineRule="auto" w:before="2"/>
        <w:rPr>
          <w:rFonts w:ascii="宋体" w:hAnsi="宋体" w:cs="宋体" w:eastAsia="宋体" w:hint="default"/>
          <w:b/>
          <w:bCs/>
          <w:sz w:val="32"/>
          <w:szCs w:val="32"/>
        </w:rPr>
      </w:pPr>
    </w:p>
    <w:p>
      <w:pPr>
        <w:pStyle w:val="BodyText"/>
        <w:spacing w:line="477" w:lineRule="auto"/>
        <w:ind w:left="513" w:right="4453"/>
        <w:jc w:val="left"/>
      </w:pPr>
      <w:r>
        <w:rPr>
          <w:rFonts w:ascii="宋体" w:hAnsi="宋体" w:cs="宋体" w:eastAsia="宋体" w:hint="default"/>
        </w:rPr>
        <w:t>1</w:t>
      </w:r>
      <w:r>
        <w:rPr/>
        <w:t>、预计负债的确认标准 本公司规定与或有事项相关的义务同时满足下列条件的，确认为预计负债：</w:t>
      </w:r>
    </w:p>
    <w:p>
      <w:pPr>
        <w:pStyle w:val="BodyText"/>
        <w:spacing w:line="240" w:lineRule="auto" w:before="54"/>
        <w:ind w:left="513" w:right="1133"/>
        <w:jc w:val="left"/>
      </w:pPr>
      <w:r>
        <w:rPr/>
        <w:t>（</w:t>
      </w:r>
      <w:r>
        <w:rPr>
          <w:rFonts w:ascii="宋体" w:hAnsi="宋体" w:cs="宋体" w:eastAsia="宋体" w:hint="default"/>
        </w:rPr>
        <w:t>1</w:t>
      </w:r>
      <w:r>
        <w:rPr/>
        <w:t>）该义务是企业承担的现时义务；</w:t>
      </w:r>
    </w:p>
    <w:p>
      <w:pPr>
        <w:spacing w:line="240" w:lineRule="auto" w:before="10"/>
        <w:rPr>
          <w:rFonts w:ascii="宋体" w:hAnsi="宋体" w:cs="宋体" w:eastAsia="宋体" w:hint="default"/>
          <w:sz w:val="17"/>
          <w:szCs w:val="17"/>
        </w:rPr>
      </w:pPr>
    </w:p>
    <w:p>
      <w:pPr>
        <w:pStyle w:val="BodyText"/>
        <w:spacing w:line="240" w:lineRule="auto"/>
        <w:ind w:left="513" w:right="1133"/>
        <w:jc w:val="left"/>
      </w:pPr>
      <w:r>
        <w:rPr/>
        <w:t>（</w:t>
      </w:r>
      <w:r>
        <w:rPr>
          <w:rFonts w:ascii="宋体" w:hAnsi="宋体" w:cs="宋体" w:eastAsia="宋体" w:hint="default"/>
        </w:rPr>
        <w:t>2</w:t>
      </w:r>
      <w:r>
        <w:rPr/>
        <w:t>）履行该义务很可能导致经济利益流出企业；</w:t>
      </w:r>
    </w:p>
    <w:p>
      <w:pPr>
        <w:spacing w:line="240" w:lineRule="auto" w:before="11"/>
        <w:rPr>
          <w:rFonts w:ascii="宋体" w:hAnsi="宋体" w:cs="宋体" w:eastAsia="宋体" w:hint="default"/>
          <w:sz w:val="17"/>
          <w:szCs w:val="17"/>
        </w:rPr>
      </w:pPr>
    </w:p>
    <w:p>
      <w:pPr>
        <w:pStyle w:val="BodyText"/>
        <w:spacing w:line="477" w:lineRule="auto"/>
        <w:ind w:left="513" w:right="7423"/>
        <w:jc w:val="left"/>
      </w:pPr>
      <w:r>
        <w:rPr/>
        <w:t>（</w:t>
      </w:r>
      <w:r>
        <w:rPr>
          <w:rFonts w:ascii="宋体" w:hAnsi="宋体" w:cs="宋体" w:eastAsia="宋体" w:hint="default"/>
        </w:rPr>
        <w:t>3</w:t>
      </w:r>
      <w:r>
        <w:rPr/>
        <w:t>）该义务的金额能够可靠地计量。 </w:t>
      </w:r>
      <w:r>
        <w:rPr>
          <w:rFonts w:ascii="宋体" w:hAnsi="宋体" w:cs="宋体" w:eastAsia="宋体" w:hint="default"/>
        </w:rPr>
        <w:t>2</w:t>
      </w:r>
      <w:r>
        <w:rPr/>
        <w:t>、预计负债的计量方法</w:t>
      </w:r>
    </w:p>
    <w:p>
      <w:pPr>
        <w:pStyle w:val="BodyText"/>
        <w:spacing w:line="477" w:lineRule="auto" w:before="54"/>
        <w:ind w:right="1129" w:firstLine="360"/>
        <w:jc w:val="left"/>
      </w:pPr>
      <w:r>
        <w:rPr>
          <w:spacing w:val="-2"/>
        </w:rPr>
        <w:t>预计负债按照履行相关现时义务所需支出的最佳估计数进行初始计量。所需支出存在一个连续范围，且该范围内各种结</w:t>
      </w:r>
      <w:r>
        <w:rPr/>
        <w:t> 果发生的可能性相同的，最佳估计数按照该范围内的中间值确定。在其他情况下，最佳估计数分别下列情况处理：</w:t>
      </w:r>
    </w:p>
    <w:p>
      <w:pPr>
        <w:pStyle w:val="BodyText"/>
        <w:spacing w:line="240" w:lineRule="auto" w:before="54"/>
        <w:ind w:left="513" w:right="1133"/>
        <w:jc w:val="left"/>
      </w:pPr>
      <w:r>
        <w:rPr/>
        <w:t>①或有事项涉及单个项目的，按照最可能发生金额确定。</w:t>
      </w:r>
    </w:p>
    <w:p>
      <w:pPr>
        <w:spacing w:line="240" w:lineRule="auto" w:before="10"/>
        <w:rPr>
          <w:rFonts w:ascii="宋体" w:hAnsi="宋体" w:cs="宋体" w:eastAsia="宋体" w:hint="default"/>
          <w:sz w:val="17"/>
          <w:szCs w:val="17"/>
        </w:rPr>
      </w:pPr>
    </w:p>
    <w:p>
      <w:pPr>
        <w:pStyle w:val="BodyText"/>
        <w:spacing w:line="477" w:lineRule="auto"/>
        <w:ind w:left="513" w:right="1033"/>
        <w:jc w:val="left"/>
      </w:pPr>
      <w:r>
        <w:rPr/>
        <w:t>②或有事项涉及多个项目的，按照各种可能结果及相关概率计算确定。 在确定最佳估计数时，综合考虑与或有事项有关的风险、不确定性和货币时间价值等因素。货币时间价值影响重大的，</w:t>
      </w:r>
    </w:p>
    <w:p>
      <w:pPr>
        <w:pStyle w:val="BodyText"/>
        <w:spacing w:line="477" w:lineRule="auto" w:before="54"/>
        <w:ind w:left="513" w:right="1129" w:hanging="361"/>
        <w:jc w:val="left"/>
      </w:pPr>
      <w:r>
        <w:rPr/>
        <w:t>通过对相关未来现金流出进行折现后确定最佳估计数。 </w:t>
      </w:r>
      <w:r>
        <w:rPr>
          <w:spacing w:val="-2"/>
        </w:rPr>
        <w:t>本公司清偿预计负债所需支出全部或部分预期由第三方补偿的，补偿金额只有在基本确定能够收到时才能作为资产单独</w:t>
      </w:r>
    </w:p>
    <w:p>
      <w:pPr>
        <w:pStyle w:val="BodyText"/>
        <w:spacing w:line="477" w:lineRule="auto" w:before="54"/>
        <w:ind w:left="513" w:right="1033" w:hanging="361"/>
        <w:jc w:val="left"/>
      </w:pPr>
      <w:r>
        <w:rPr/>
        <w:t>确认。确认的补偿金额不超过预计负债的账面价值。 本公司在资产负债表日对预计负债的账面价值进行复核。有确凿证据表明该账面价值不能真实反映当前最佳估计数的，</w:t>
      </w:r>
    </w:p>
    <w:p>
      <w:pPr>
        <w:pStyle w:val="BodyText"/>
        <w:spacing w:line="240" w:lineRule="auto" w:before="54"/>
        <w:ind w:right="1133"/>
        <w:jc w:val="left"/>
      </w:pPr>
      <w:r>
        <w:rPr/>
        <w:t>按照当前最佳估计数对该账面价值进行调整。</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before="0"/>
        <w:ind w:right="1133"/>
        <w:jc w:val="left"/>
        <w:rPr>
          <w:b w:val="0"/>
          <w:bCs w:val="0"/>
        </w:rPr>
      </w:pPr>
      <w:r>
        <w:rPr>
          <w:rFonts w:ascii="Times New Roman" w:hAnsi="Times New Roman" w:cs="Times New Roman" w:eastAsia="Times New Roman" w:hint="default"/>
        </w:rPr>
        <w:t>37</w:t>
      </w:r>
      <w:r>
        <w:rPr/>
        <w:t>、股份支付</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38</w:t>
      </w:r>
      <w:r>
        <w:rPr/>
        <w:t>、优先股、永续债等其他金融工具</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39</w:t>
      </w:r>
      <w:r>
        <w:rPr/>
        <w:t>、收入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7"/>
          <w:szCs w:val="27"/>
        </w:rPr>
      </w:pPr>
    </w:p>
    <w:p>
      <w:pPr>
        <w:pStyle w:val="BodyText"/>
        <w:spacing w:line="240" w:lineRule="auto" w:before="44"/>
        <w:ind w:left="513" w:right="1133"/>
        <w:jc w:val="left"/>
      </w:pPr>
      <w:r>
        <w:rPr>
          <w:rFonts w:ascii="宋体" w:hAnsi="宋体" w:cs="宋体" w:eastAsia="宋体" w:hint="default"/>
        </w:rPr>
        <w:t>1</w:t>
      </w:r>
      <w:r>
        <w:rPr/>
        <w:t>、销售商品收入确认确认原则和计量方法</w:t>
      </w:r>
    </w:p>
    <w:p>
      <w:pPr>
        <w:spacing w:line="240" w:lineRule="auto" w:before="10"/>
        <w:rPr>
          <w:rFonts w:ascii="宋体" w:hAnsi="宋体" w:cs="宋体" w:eastAsia="宋体" w:hint="default"/>
          <w:sz w:val="17"/>
          <w:szCs w:val="17"/>
        </w:rPr>
      </w:pPr>
    </w:p>
    <w:p>
      <w:pPr>
        <w:pStyle w:val="BodyText"/>
        <w:spacing w:line="477" w:lineRule="auto"/>
        <w:ind w:left="513" w:right="1129"/>
        <w:jc w:val="left"/>
      </w:pPr>
      <w:r>
        <w:rPr/>
        <w:t>（</w:t>
      </w:r>
      <w:r>
        <w:rPr>
          <w:rFonts w:ascii="宋体" w:hAnsi="宋体" w:cs="宋体" w:eastAsia="宋体" w:hint="default"/>
        </w:rPr>
        <w:t>1</w:t>
      </w:r>
      <w:r>
        <w:rPr/>
        <w:t>）销售商品收入确认和计量的总体原则 </w:t>
      </w:r>
      <w:r>
        <w:rPr>
          <w:spacing w:val="-2"/>
        </w:rPr>
        <w:t>本公司已将商品所有权上的主要风险和报酬转移给购货方；本公司既没有保留通常与所有权相联系的继续管理权，也没</w:t>
      </w:r>
    </w:p>
    <w:p>
      <w:pPr>
        <w:pStyle w:val="BodyText"/>
        <w:spacing w:line="477" w:lineRule="auto" w:before="54"/>
        <w:ind w:right="1129"/>
        <w:jc w:val="left"/>
      </w:pPr>
      <w:r>
        <w:rPr>
          <w:spacing w:val="-2"/>
        </w:rPr>
        <w:t>有对已售出的商品实施有效控制；收入的金额能够可靠地计量；相关的经济利益很可能流入本公司；相关的、已发生或将发</w:t>
      </w:r>
      <w:r>
        <w:rPr>
          <w:spacing w:val="-64"/>
        </w:rPr>
        <w:t> </w:t>
      </w:r>
      <w:r>
        <w:rPr>
          <w:spacing w:val="-64"/>
        </w:rPr>
      </w:r>
      <w:r>
        <w:rPr/>
        <w:t>生的成本能够可靠地计量。</w:t>
      </w:r>
    </w:p>
    <w:p>
      <w:pPr>
        <w:pStyle w:val="BodyText"/>
        <w:spacing w:line="477" w:lineRule="auto" w:before="54"/>
        <w:ind w:left="513" w:right="5173" w:firstLine="91"/>
        <w:jc w:val="left"/>
      </w:pPr>
      <w:r>
        <w:rPr/>
        <w:t>（</w:t>
      </w:r>
      <w:r>
        <w:rPr>
          <w:rFonts w:ascii="宋体" w:hAnsi="宋体" w:cs="宋体" w:eastAsia="宋体" w:hint="default"/>
        </w:rPr>
        <w:t>2</w:t>
      </w:r>
      <w:r>
        <w:rPr/>
        <w:t>）本公司销售商品收入确认的具体标准 结合公司的销售模式及运输模式，公司销售商品收入确认方法为： 国内销售收入：</w:t>
      </w:r>
    </w:p>
    <w:p>
      <w:pPr>
        <w:pStyle w:val="BodyText"/>
        <w:spacing w:line="477" w:lineRule="auto" w:before="54"/>
        <w:ind w:right="1139" w:firstLine="360"/>
        <w:jc w:val="both"/>
      </w:pPr>
      <w:r>
        <w:rPr/>
        <w:t>①</w:t>
      </w:r>
      <w:r>
        <w:rPr>
          <w:spacing w:val="1"/>
        </w:rPr>
        <w:t> </w:t>
      </w:r>
      <w:r>
        <w:rPr/>
        <w:t>现款销售：客户自行提货的，在客户付款后，公司开出发货单，仓库发出货物当日确认销售收入；通过物流公司发</w:t>
      </w:r>
      <w:r>
        <w:rPr/>
        <w:t> 货的，在收到货款后，公司开出发货单，仓库发出货物交由物流公司对外发货时确认销售收入。</w:t>
      </w:r>
    </w:p>
    <w:p>
      <w:pPr>
        <w:pStyle w:val="BodyText"/>
        <w:spacing w:line="477" w:lineRule="auto" w:before="54"/>
        <w:ind w:right="1135" w:firstLine="360"/>
        <w:jc w:val="both"/>
      </w:pPr>
      <w:r>
        <w:rPr/>
        <w:t>②</w:t>
      </w:r>
      <w:r>
        <w:rPr>
          <w:spacing w:val="1"/>
        </w:rPr>
        <w:t> </w:t>
      </w:r>
      <w:r>
        <w:rPr/>
        <w:t>信用销售：客户自行提货，在合同签订后，约定收款期限，公司开出发货单，仓库发出货物当日确认销售收入；通</w:t>
      </w:r>
      <w:r>
        <w:rPr/>
        <w:t> </w:t>
      </w:r>
      <w:r>
        <w:rPr>
          <w:spacing w:val="-2"/>
        </w:rPr>
        <w:t>过物流公司发货，公司根据已经签订的合同，约定收款期限，开出发货单，仓库发出货物交由物流公司对外发货，客户确认</w:t>
      </w:r>
      <w:r>
        <w:rPr>
          <w:spacing w:val="-67"/>
        </w:rPr>
        <w:t> </w:t>
      </w:r>
      <w:r>
        <w:rPr>
          <w:spacing w:val="-67"/>
        </w:rPr>
      </w:r>
      <w:r>
        <w:rPr/>
        <w:t>收到货物后确认销售收入。</w:t>
      </w:r>
    </w:p>
    <w:p>
      <w:pPr>
        <w:pStyle w:val="BodyText"/>
        <w:spacing w:line="477" w:lineRule="auto" w:before="54"/>
        <w:ind w:left="513" w:right="1129"/>
        <w:jc w:val="left"/>
      </w:pPr>
      <w:r>
        <w:rPr/>
        <w:t>出口销售收入： </w:t>
      </w:r>
      <w:r>
        <w:rPr>
          <w:spacing w:val="-2"/>
        </w:rPr>
        <w:t>公司与客户订立的合同以离岸价为报价基础，货物离岸时确认风险的转移，在取得海关出口货物报关单和提单时确认销</w:t>
      </w:r>
    </w:p>
    <w:p>
      <w:pPr>
        <w:pStyle w:val="BodyText"/>
        <w:spacing w:line="240" w:lineRule="auto" w:before="54"/>
        <w:ind w:right="1133"/>
        <w:jc w:val="left"/>
      </w:pPr>
      <w:r>
        <w:rPr/>
        <w:t>售收入。</w:t>
      </w:r>
    </w:p>
    <w:p>
      <w:pPr>
        <w:spacing w:line="240" w:lineRule="auto" w:before="10"/>
        <w:rPr>
          <w:rFonts w:ascii="宋体" w:hAnsi="宋体" w:cs="宋体" w:eastAsia="宋体" w:hint="default"/>
          <w:sz w:val="17"/>
          <w:szCs w:val="17"/>
        </w:rPr>
      </w:pPr>
    </w:p>
    <w:p>
      <w:pPr>
        <w:pStyle w:val="BodyText"/>
        <w:spacing w:line="477" w:lineRule="auto"/>
        <w:ind w:left="513" w:right="1033"/>
        <w:jc w:val="left"/>
      </w:pPr>
      <w:r>
        <w:rPr>
          <w:rFonts w:ascii="宋体" w:hAnsi="宋体" w:cs="宋体" w:eastAsia="宋体" w:hint="default"/>
        </w:rPr>
        <w:t>2</w:t>
      </w:r>
      <w:r>
        <w:rPr/>
        <w:t>、让渡资产使用权收入的确认原则和计量方法 与交易相关的经济利益很可能流入公司，收入的金额能够可靠地计量时。分别下列情况确定让渡资产使用权收入金额： 公司商业保理业务收入确认方法为：</w:t>
      </w:r>
    </w:p>
    <w:p>
      <w:pPr>
        <w:pStyle w:val="BodyText"/>
        <w:spacing w:line="240" w:lineRule="auto" w:before="54"/>
        <w:ind w:left="513" w:right="1133"/>
        <w:jc w:val="left"/>
      </w:pPr>
      <w:r>
        <w:rPr/>
        <w:t>①利息收入金额，按照他人使用本公司货币资金的时间和实际利率计算确定。</w:t>
      </w:r>
    </w:p>
    <w:p>
      <w:pPr>
        <w:spacing w:line="240" w:lineRule="auto" w:before="10"/>
        <w:rPr>
          <w:rFonts w:ascii="宋体" w:hAnsi="宋体" w:cs="宋体" w:eastAsia="宋体" w:hint="default"/>
          <w:sz w:val="17"/>
          <w:szCs w:val="17"/>
        </w:rPr>
      </w:pPr>
    </w:p>
    <w:p>
      <w:pPr>
        <w:pStyle w:val="BodyText"/>
        <w:spacing w:line="477" w:lineRule="auto"/>
        <w:ind w:left="513" w:right="0"/>
        <w:jc w:val="left"/>
      </w:pPr>
      <w:r>
        <w:rPr/>
        <w:t>②管理费收入金额，按照有关合同或协议约定的收费时间和方法计算确定。 </w:t>
      </w:r>
      <w:r>
        <w:rPr>
          <w:rFonts w:ascii="宋体" w:hAnsi="宋体" w:cs="宋体" w:eastAsia="宋体" w:hint="default"/>
        </w:rPr>
        <w:t>3</w:t>
      </w:r>
      <w:r>
        <w:rPr/>
        <w:t>、按完工百分比法确认提供劳务的收入和建造合同收入时，确定合同完工进度的依据和方法 </w:t>
      </w:r>
      <w:r>
        <w:rPr>
          <w:spacing w:val="-4"/>
        </w:rPr>
        <w:t>在资产负债表日提供劳务交易的结果能够可靠估计的，采用完工百分比法确认提供劳务收入。提供劳务交易的完工进度，</w:t>
      </w:r>
    </w:p>
    <w:p>
      <w:pPr>
        <w:pStyle w:val="BodyText"/>
        <w:spacing w:line="477" w:lineRule="auto" w:before="54"/>
        <w:ind w:left="513" w:right="1129" w:hanging="361"/>
        <w:jc w:val="left"/>
      </w:pPr>
      <w:r>
        <w:rPr/>
        <w:t>依据已完工作的测量确定。 </w:t>
      </w:r>
      <w:r>
        <w:rPr>
          <w:spacing w:val="-2"/>
        </w:rPr>
        <w:t>按照已收或应收的合同或协议价款确定提供劳务收入总额，但已收或应收的合同或协议价款不公允的除外。资产负债表</w:t>
      </w:r>
    </w:p>
    <w:p>
      <w:pPr>
        <w:pStyle w:val="BodyText"/>
        <w:spacing w:line="477" w:lineRule="auto" w:before="55"/>
        <w:ind w:right="0"/>
        <w:jc w:val="left"/>
      </w:pPr>
      <w:r>
        <w:rPr>
          <w:spacing w:val="-4"/>
        </w:rPr>
        <w:t>日按照提供劳务收入总额乘以完工进度扣除以前会计期间累计已确认提供劳务收入后的金额，确认当期提供劳务收入；同时，</w:t>
      </w:r>
      <w:r>
        <w:rPr>
          <w:spacing w:val="-44"/>
        </w:rPr>
        <w:t> </w:t>
      </w:r>
      <w:r>
        <w:rPr>
          <w:spacing w:val="-44"/>
        </w:rPr>
      </w:r>
      <w:r>
        <w:rPr/>
        <w:t>按照提供劳务估计总成本乘以完工进度扣除以前会计期间累计已确认劳务成本后的金额，结转当期劳务成本。</w:t>
      </w:r>
    </w:p>
    <w:p>
      <w:pPr>
        <w:pStyle w:val="BodyText"/>
        <w:spacing w:line="240" w:lineRule="auto" w:before="54"/>
        <w:ind w:left="513" w:right="1133"/>
        <w:jc w:val="left"/>
      </w:pPr>
      <w:r>
        <w:rPr/>
        <w:t>在资产负债表日提供劳务交易结果不能够可靠估计的，分别下列情况处理：</w:t>
      </w:r>
    </w:p>
    <w:p>
      <w:pPr>
        <w:spacing w:line="240" w:lineRule="auto" w:before="10"/>
        <w:rPr>
          <w:rFonts w:ascii="宋体" w:hAnsi="宋体" w:cs="宋体" w:eastAsia="宋体" w:hint="default"/>
          <w:sz w:val="17"/>
          <w:szCs w:val="17"/>
        </w:rPr>
      </w:pPr>
    </w:p>
    <w:p>
      <w:pPr>
        <w:pStyle w:val="BodyText"/>
        <w:spacing w:line="477" w:lineRule="auto"/>
        <w:ind w:right="1132" w:firstLine="360"/>
        <w:jc w:val="both"/>
      </w:pPr>
      <w:r>
        <w:rPr>
          <w:spacing w:val="-2"/>
        </w:rPr>
        <w:t>①已经发生的劳务成本预计能够得到补偿的，按照已经发生的劳务成本金额确认提供劳务收入，并按相同金额结转劳务</w:t>
      </w:r>
      <w:r>
        <w:rPr/>
        <w:t> 成本。</w:t>
      </w:r>
    </w:p>
    <w:p>
      <w:pPr>
        <w:spacing w:after="0" w:line="477" w:lineRule="auto"/>
        <w:jc w:val="both"/>
        <w:sectPr>
          <w:pgSz w:w="11910" w:h="16840"/>
          <w:pgMar w:header="877" w:footer="980" w:top="1100" w:bottom="1160" w:left="980" w:right="0"/>
        </w:sectPr>
      </w:pPr>
    </w:p>
    <w:p>
      <w:pPr>
        <w:spacing w:line="240" w:lineRule="auto" w:before="11"/>
        <w:rPr>
          <w:rFonts w:ascii="宋体" w:hAnsi="宋体" w:cs="宋体" w:eastAsia="宋体" w:hint="default"/>
          <w:sz w:val="27"/>
          <w:szCs w:val="27"/>
        </w:rPr>
      </w:pPr>
    </w:p>
    <w:p>
      <w:pPr>
        <w:pStyle w:val="BodyText"/>
        <w:spacing w:line="240" w:lineRule="auto" w:before="44"/>
        <w:ind w:left="513" w:right="1133"/>
        <w:jc w:val="left"/>
      </w:pPr>
      <w:r>
        <w:rPr/>
        <w:t>②已经发生的劳务成本预计不能够得到补偿的，将已经发生的劳务成本计入当期损益，不确认提供劳务收入。</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before="0"/>
        <w:ind w:right="1133"/>
        <w:jc w:val="left"/>
        <w:rPr>
          <w:b w:val="0"/>
          <w:bCs w:val="0"/>
        </w:rPr>
      </w:pPr>
      <w:r>
        <w:rPr>
          <w:rFonts w:ascii="Times New Roman" w:hAnsi="Times New Roman" w:cs="Times New Roman" w:eastAsia="Times New Roman" w:hint="default"/>
        </w:rPr>
        <w:t>40</w:t>
      </w:r>
      <w:r>
        <w:rPr/>
        <w:t>、政府补助</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left="513" w:right="1129"/>
        <w:jc w:val="left"/>
      </w:pPr>
      <w:r>
        <w:rPr/>
        <w:t>政府补助在满足政府补助所附条件并能够收到时确认。 </w:t>
      </w:r>
      <w:r>
        <w:rPr>
          <w:spacing w:val="-2"/>
        </w:rPr>
        <w:t>对于货币性资产的政府补助，按照收到或应收的金额计量。对于非货币性资产的政府补助，按照公允价值计量；公允价</w:t>
      </w:r>
    </w:p>
    <w:p>
      <w:pPr>
        <w:pStyle w:val="BodyText"/>
        <w:spacing w:line="477" w:lineRule="auto" w:before="54"/>
        <w:ind w:left="513" w:right="1129" w:hanging="361"/>
        <w:jc w:val="left"/>
      </w:pPr>
      <w:r>
        <w:rPr/>
        <w:t>值不能够可靠取得的，按照名义金额</w:t>
      </w:r>
      <w:r>
        <w:rPr>
          <w:rFonts w:ascii="宋体" w:hAnsi="宋体" w:cs="宋体" w:eastAsia="宋体" w:hint="default"/>
        </w:rPr>
        <w:t>1</w:t>
      </w:r>
      <w:r>
        <w:rPr/>
        <w:t>元计量。 </w:t>
      </w:r>
      <w:r>
        <w:rPr>
          <w:spacing w:val="-2"/>
        </w:rPr>
        <w:t>与资产相关的政府补助，是指本公司取得的、用于购建或以其他方式形成长期资产的政府补助；除此之外，作为与收益</w:t>
      </w:r>
    </w:p>
    <w:p>
      <w:pPr>
        <w:pStyle w:val="BodyText"/>
        <w:spacing w:line="477" w:lineRule="auto" w:before="54"/>
        <w:ind w:left="513" w:right="1129" w:hanging="361"/>
        <w:jc w:val="left"/>
      </w:pPr>
      <w:r>
        <w:rPr/>
        <w:t>相关的政府补助。 </w:t>
      </w:r>
      <w:r>
        <w:rPr>
          <w:spacing w:val="-2"/>
        </w:rPr>
        <w:t>对于政府文件未明确规定补助对象的，能够形成长期资产的，与资产价值相对应的政府补助部分作为与资产相关的政府</w:t>
      </w:r>
    </w:p>
    <w:p>
      <w:pPr>
        <w:pStyle w:val="BodyText"/>
        <w:spacing w:line="477" w:lineRule="auto" w:before="55"/>
        <w:ind w:left="513" w:right="1129" w:hanging="361"/>
        <w:jc w:val="left"/>
      </w:pPr>
      <w:r>
        <w:rPr/>
        <w:t>补助，其余部分作为与收益相关的政府补助；难以区分的，将政府补助整体作为与收益相关的政府补助。 </w:t>
      </w:r>
      <w:r>
        <w:rPr>
          <w:spacing w:val="-2"/>
        </w:rPr>
        <w:t>与资产相关的政府补助，冲减相关资产的账面价值，或者确认为递延收益在相关资产使用期限内按照合理、系统的方法</w:t>
      </w:r>
    </w:p>
    <w:p>
      <w:pPr>
        <w:pStyle w:val="BodyText"/>
        <w:spacing w:line="477" w:lineRule="auto" w:before="54"/>
        <w:ind w:right="1131"/>
        <w:jc w:val="both"/>
      </w:pPr>
      <w:r>
        <w:rPr>
          <w:spacing w:val="-2"/>
        </w:rPr>
        <w:t>分期计入损益。与收益相关的政府补助，用于补偿已发生的相关成本费用或损失的，计入当期损益或冲减相关成本；用于补</w:t>
      </w:r>
      <w:r>
        <w:rPr>
          <w:spacing w:val="-65"/>
        </w:rPr>
        <w:t> </w:t>
      </w:r>
      <w:r>
        <w:rPr>
          <w:spacing w:val="-65"/>
        </w:rPr>
      </w:r>
      <w:r>
        <w:rPr>
          <w:spacing w:val="-2"/>
        </w:rPr>
        <w:t>偿以后期间的相关成本费用或损失的，则计入递延收益，于相关成本费用或损失确认期间计入当期损益或冲减相关成本。按</w:t>
      </w:r>
      <w:r>
        <w:rPr>
          <w:spacing w:val="-66"/>
        </w:rPr>
        <w:t> </w:t>
      </w:r>
      <w:r>
        <w:rPr>
          <w:spacing w:val="-66"/>
        </w:rPr>
      </w:r>
      <w:r>
        <w:rPr/>
        <w:t>照名义金额计量的政府补助，直接计入当期损益。本公司对相同或类似的政府补助业务，采用一致的方法处理。</w:t>
      </w:r>
    </w:p>
    <w:p>
      <w:pPr>
        <w:pStyle w:val="BodyText"/>
        <w:spacing w:line="477" w:lineRule="auto" w:before="54"/>
        <w:ind w:right="1129" w:firstLine="360"/>
        <w:jc w:val="left"/>
      </w:pPr>
      <w:r>
        <w:rPr>
          <w:spacing w:val="-2"/>
        </w:rPr>
        <w:t>与日常活动相关的政府补助，按照经济业务实质，计入其他收益或冲减相关成本费用。与日常活动无关的政府补助，计</w:t>
      </w:r>
      <w:r>
        <w:rPr/>
        <w:t> 入营业外收支。</w:t>
      </w:r>
    </w:p>
    <w:p>
      <w:pPr>
        <w:pStyle w:val="BodyText"/>
        <w:spacing w:line="475" w:lineRule="auto" w:before="54"/>
        <w:ind w:right="1034" w:firstLine="360"/>
        <w:jc w:val="left"/>
      </w:pPr>
      <w:r>
        <w:rPr/>
        <w:t>已确认的政府补助需要返还时，初始确认时冲减相关资产账面价值的，调整资产账面价值；存在相关递延收益余额的， 冲减相关递延收益账面余额，超出部分计入当期损益；属于其他情况的，直接计入当期损益。</w:t>
      </w:r>
    </w:p>
    <w:p>
      <w:pPr>
        <w:spacing w:line="240" w:lineRule="auto" w:before="8"/>
        <w:rPr>
          <w:rFonts w:ascii="宋体" w:hAnsi="宋体" w:cs="宋体" w:eastAsia="宋体" w:hint="default"/>
          <w:sz w:val="19"/>
          <w:szCs w:val="19"/>
        </w:rPr>
      </w:pPr>
    </w:p>
    <w:p>
      <w:pPr>
        <w:pStyle w:val="Heading3"/>
        <w:spacing w:line="240" w:lineRule="auto" w:before="0"/>
        <w:ind w:right="1133"/>
        <w:jc w:val="left"/>
        <w:rPr>
          <w:b w:val="0"/>
          <w:bCs w:val="0"/>
        </w:rPr>
      </w:pPr>
      <w:r>
        <w:rPr>
          <w:rFonts w:ascii="Times New Roman" w:hAnsi="Times New Roman" w:cs="Times New Roman" w:eastAsia="Times New Roman" w:hint="default"/>
        </w:rPr>
        <w:t>41</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6254" w:firstLine="360"/>
        <w:jc w:val="left"/>
      </w:pPr>
      <w:r>
        <w:rPr/>
        <w:t>本公司采用资产负债表债务法进行所得税会计处理。 </w:t>
      </w:r>
      <w:r>
        <w:rPr>
          <w:rFonts w:ascii="宋体" w:hAnsi="宋体" w:cs="宋体" w:eastAsia="宋体" w:hint="default"/>
        </w:rPr>
        <w:t>1</w:t>
      </w:r>
      <w:r>
        <w:rPr/>
        <w:t>、递延所得税资产</w:t>
      </w:r>
    </w:p>
    <w:p>
      <w:pPr>
        <w:pStyle w:val="BodyText"/>
        <w:spacing w:line="477" w:lineRule="auto" w:before="54"/>
        <w:ind w:right="1133" w:firstLine="360"/>
        <w:jc w:val="both"/>
      </w:pPr>
      <w:r>
        <w:rPr/>
        <w:t>（</w:t>
      </w:r>
      <w:r>
        <w:rPr>
          <w:rFonts w:ascii="宋体" w:hAnsi="宋体" w:cs="宋体" w:eastAsia="宋体" w:hint="default"/>
        </w:rPr>
        <w:t>1</w:t>
      </w:r>
      <w:r>
        <w:rPr/>
        <w:t>）资产、负债的账面价值与其计税基础存在可抵扣暂时性差异的，以未来期间很可能取得的用以抵扣可抵扣暂时性 </w:t>
      </w:r>
      <w:r>
        <w:rPr>
          <w:spacing w:val="-2"/>
        </w:rPr>
        <w:t>差异的应纳税所得额为限，按照预期收回该资产或清偿该负债期间的适用税率，计算确认由可抵扣暂时性差异产生的递延所</w:t>
      </w:r>
      <w:r>
        <w:rPr>
          <w:spacing w:val="-64"/>
        </w:rPr>
        <w:t> </w:t>
      </w:r>
      <w:r>
        <w:rPr>
          <w:spacing w:val="-64"/>
        </w:rPr>
      </w:r>
      <w:r>
        <w:rPr/>
        <w:t>得税资产。</w:t>
      </w:r>
    </w:p>
    <w:p>
      <w:pPr>
        <w:pStyle w:val="BodyText"/>
        <w:spacing w:line="477" w:lineRule="auto" w:before="55"/>
        <w:ind w:right="1124" w:firstLine="360"/>
        <w:jc w:val="left"/>
      </w:pPr>
      <w:r>
        <w:rPr/>
        <w:t>（</w:t>
      </w:r>
      <w:r>
        <w:rPr>
          <w:rFonts w:ascii="宋体" w:hAnsi="宋体" w:cs="宋体" w:eastAsia="宋体" w:hint="default"/>
        </w:rPr>
        <w:t>2</w:t>
      </w:r>
      <w:r>
        <w:rPr/>
        <w:t>）资产负债表日，有确凿证据表明未来期间很可能获得足够的应纳税所得额用来抵扣可抵扣暂时性差异的，确认以 前期间未确认的递延所得税资产。</w:t>
      </w:r>
    </w:p>
    <w:p>
      <w:pPr>
        <w:pStyle w:val="BodyText"/>
        <w:spacing w:line="477" w:lineRule="auto" w:before="54"/>
        <w:ind w:right="1124" w:firstLine="360"/>
        <w:jc w:val="left"/>
      </w:pPr>
      <w:r>
        <w:rPr/>
        <w:t>（</w:t>
      </w:r>
      <w:r>
        <w:rPr>
          <w:rFonts w:ascii="宋体" w:hAnsi="宋体" w:cs="宋体" w:eastAsia="宋体" w:hint="default"/>
        </w:rPr>
        <w:t>3</w:t>
      </w:r>
      <w:r>
        <w:rPr/>
        <w:t>）资产负债表日，对递延所得税资产的账面价值进行复核。如果未来期间很可能无法获得足够的应纳税所得额用以 抵扣递延所得税资产的利益，减记递延所得税资产的账面价值。在很可能获得足够的应纳税所得额时，转回减记的金额。 </w:t>
      </w:r>
      <w:r>
        <w:rPr>
          <w:rFonts w:ascii="宋体" w:hAnsi="宋体" w:cs="宋体" w:eastAsia="宋体" w:hint="default"/>
        </w:rPr>
        <w:t>2</w:t>
      </w:r>
      <w:r>
        <w:rPr/>
        <w:t>、递延所得税负债</w:t>
      </w:r>
    </w:p>
    <w:p>
      <w:pPr>
        <w:spacing w:after="0" w:line="477" w:lineRule="auto"/>
        <w:jc w:val="left"/>
        <w:sectPr>
          <w:pgSz w:w="11910" w:h="16840"/>
          <w:pgMar w:header="877" w:footer="980" w:top="1100" w:bottom="1160" w:left="980" w:right="0"/>
        </w:sectPr>
      </w:pPr>
    </w:p>
    <w:p>
      <w:pPr>
        <w:spacing w:line="240" w:lineRule="auto" w:before="11"/>
        <w:rPr>
          <w:rFonts w:ascii="宋体" w:hAnsi="宋体" w:cs="宋体" w:eastAsia="宋体" w:hint="default"/>
          <w:sz w:val="27"/>
          <w:szCs w:val="27"/>
        </w:rPr>
      </w:pPr>
    </w:p>
    <w:p>
      <w:pPr>
        <w:pStyle w:val="BodyText"/>
        <w:spacing w:line="477" w:lineRule="auto" w:before="44"/>
        <w:ind w:right="1129" w:firstLine="360"/>
        <w:jc w:val="left"/>
      </w:pPr>
      <w:r>
        <w:rPr>
          <w:spacing w:val="-2"/>
        </w:rPr>
        <w:t>资产、负债的账面价值与其计税基础存在应纳税暂时性差异的，按照预期收回该资产或清偿该负债期间的适用税率，确</w:t>
      </w:r>
      <w:r>
        <w:rPr/>
        <w:t> 认由应纳税暂时性差异产生的递延所得税负债。</w:t>
      </w:r>
    </w:p>
    <w:p>
      <w:pPr>
        <w:spacing w:line="240" w:lineRule="auto" w:before="6"/>
        <w:rPr>
          <w:rFonts w:ascii="宋体" w:hAnsi="宋体" w:cs="宋体" w:eastAsia="宋体" w:hint="default"/>
          <w:sz w:val="19"/>
          <w:szCs w:val="19"/>
        </w:rPr>
      </w:pPr>
    </w:p>
    <w:p>
      <w:pPr>
        <w:pStyle w:val="Heading3"/>
        <w:spacing w:line="240" w:lineRule="auto" w:before="0"/>
        <w:ind w:right="1133"/>
        <w:jc w:val="left"/>
        <w:rPr>
          <w:b w:val="0"/>
          <w:bCs w:val="0"/>
        </w:rPr>
      </w:pPr>
      <w:r>
        <w:rPr>
          <w:rFonts w:ascii="Times New Roman" w:hAnsi="Times New Roman" w:cs="Times New Roman" w:eastAsia="Times New Roman" w:hint="default"/>
        </w:rPr>
        <w:t>42</w:t>
      </w:r>
      <w:r>
        <w:rPr/>
        <w:t>、租赁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before="0"/>
        <w:ind w:right="1133"/>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2"/>
        <w:rPr>
          <w:rFonts w:ascii="宋体" w:hAnsi="宋体" w:cs="宋体" w:eastAsia="宋体" w:hint="default"/>
          <w:b/>
          <w:bCs/>
          <w:sz w:val="32"/>
          <w:szCs w:val="32"/>
        </w:rPr>
      </w:pPr>
    </w:p>
    <w:p>
      <w:pPr>
        <w:pStyle w:val="BodyText"/>
        <w:spacing w:line="477" w:lineRule="auto"/>
        <w:ind w:right="0" w:firstLine="360"/>
        <w:jc w:val="left"/>
      </w:pPr>
      <w:r>
        <w:rPr>
          <w:spacing w:val="-2"/>
        </w:rPr>
        <w:t>作为承租人，本公司对于经营租赁的租金，在租赁期内各个期间按照直线法计入相关资产成本或当期损益；发生的初始</w:t>
      </w:r>
      <w:r>
        <w:rPr/>
        <w:t> 直接费用，计入当期损益；或有租金在实际发生时计入当期损益。</w:t>
      </w:r>
    </w:p>
    <w:p>
      <w:pPr>
        <w:pStyle w:val="BodyText"/>
        <w:spacing w:line="477" w:lineRule="auto" w:before="54"/>
        <w:ind w:right="1130" w:firstLine="360"/>
        <w:jc w:val="both"/>
      </w:pPr>
      <w:r>
        <w:rPr>
          <w:spacing w:val="-2"/>
        </w:rPr>
        <w:t>作为出租人，本公司按资产的性质将用作经营租赁的资产包括在资产负债表中的相关项目内；对于经营租赁的租金，在</w:t>
      </w:r>
      <w:r>
        <w:rPr/>
        <w:t> </w:t>
      </w:r>
      <w:r>
        <w:rPr>
          <w:spacing w:val="-2"/>
        </w:rPr>
        <w:t>租赁期内各个期间按照直线法确认为当期损益；发生的初始直接费用，计入当期损益；对于经营租赁资产中的固定资产，采</w:t>
      </w:r>
      <w:r>
        <w:rPr>
          <w:spacing w:val="-66"/>
        </w:rPr>
        <w:t> </w:t>
      </w:r>
      <w:r>
        <w:rPr>
          <w:spacing w:val="-66"/>
        </w:rPr>
      </w:r>
      <w:r>
        <w:rPr>
          <w:spacing w:val="-2"/>
        </w:rPr>
        <w:t>用类似资产的折旧政策计提折旧；对于其他经营租赁资产，采用系统合理的方法进行摊销；或有租金在实际发生时计入当期</w:t>
      </w:r>
      <w:r>
        <w:rPr>
          <w:spacing w:val="-65"/>
        </w:rPr>
        <w:t> </w:t>
      </w:r>
      <w:r>
        <w:rPr>
          <w:spacing w:val="-65"/>
        </w:rPr>
      </w:r>
      <w:r>
        <w:rPr/>
        <w:t>损损益。</w:t>
      </w:r>
    </w:p>
    <w:p>
      <w:pPr>
        <w:spacing w:line="240" w:lineRule="auto" w:before="6"/>
        <w:rPr>
          <w:rFonts w:ascii="宋体" w:hAnsi="宋体" w:cs="宋体" w:eastAsia="宋体" w:hint="default"/>
          <w:sz w:val="19"/>
          <w:szCs w:val="19"/>
        </w:rPr>
      </w:pPr>
    </w:p>
    <w:p>
      <w:pPr>
        <w:pStyle w:val="Heading3"/>
        <w:spacing w:line="240" w:lineRule="auto" w:before="0"/>
        <w:ind w:right="1133"/>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5"/>
        <w:rPr>
          <w:rFonts w:ascii="宋体" w:hAnsi="宋体" w:cs="宋体" w:eastAsia="宋体" w:hint="default"/>
          <w:b/>
          <w:bCs/>
          <w:sz w:val="32"/>
          <w:szCs w:val="32"/>
        </w:rPr>
      </w:pPr>
    </w:p>
    <w:p>
      <w:pPr>
        <w:pStyle w:val="BodyText"/>
        <w:spacing w:line="240" w:lineRule="auto"/>
        <w:ind w:right="1133"/>
        <w:jc w:val="left"/>
      </w:pPr>
      <w:r>
        <w:rPr>
          <w:rFonts w:ascii="宋体" w:hAnsi="宋体" w:cs="宋体" w:eastAsia="宋体" w:hint="default"/>
        </w:rPr>
        <w:t>1</w:t>
      </w:r>
      <w:r>
        <w:rPr/>
        <w:t>、作为承租人</w:t>
      </w:r>
    </w:p>
    <w:p>
      <w:pPr>
        <w:spacing w:line="240" w:lineRule="auto" w:before="10"/>
        <w:rPr>
          <w:rFonts w:ascii="宋体" w:hAnsi="宋体" w:cs="宋体" w:eastAsia="宋体" w:hint="default"/>
          <w:sz w:val="17"/>
          <w:szCs w:val="17"/>
        </w:rPr>
      </w:pPr>
    </w:p>
    <w:p>
      <w:pPr>
        <w:pStyle w:val="BodyText"/>
        <w:spacing w:line="477" w:lineRule="auto"/>
        <w:ind w:right="1034" w:firstLine="360"/>
        <w:jc w:val="left"/>
      </w:pPr>
      <w:r>
        <w:rPr/>
        <w:t>本公司在租赁期开始日将租赁开始日租赁资产公允价值与最低租赁付款额现值两者中较低者作为租入资产的入账价值， </w:t>
      </w:r>
      <w:r>
        <w:rPr>
          <w:spacing w:val="-2"/>
        </w:rPr>
        <w:t>将最低租赁付款额作为长期应付款的入账价值，其差额作为未确认融资费用；在租赁谈判和签订租赁合同过程中发生的，可</w:t>
      </w:r>
      <w:r>
        <w:rPr>
          <w:spacing w:val="-63"/>
        </w:rPr>
        <w:t> </w:t>
      </w:r>
      <w:r>
        <w:rPr>
          <w:spacing w:val="-63"/>
        </w:rPr>
      </w:r>
      <w:r>
        <w:rPr>
          <w:spacing w:val="-2"/>
        </w:rPr>
        <w:t>归属于租赁项目的手续费、律师费、差旅费、印花税等初始直接费用，计入租入资产价值；未确认融资费用在租赁期内各个</w:t>
      </w:r>
      <w:r>
        <w:rPr>
          <w:spacing w:val="-67"/>
        </w:rPr>
        <w:t> </w:t>
      </w:r>
      <w:r>
        <w:rPr>
          <w:spacing w:val="-67"/>
        </w:rPr>
      </w:r>
      <w:r>
        <w:rPr/>
        <w:t>期间进行分摊，采用实际利率法计算确认当期的融资费用；或有租金在实际发生时计入当期损益。</w:t>
      </w:r>
    </w:p>
    <w:p>
      <w:pPr>
        <w:pStyle w:val="BodyText"/>
        <w:spacing w:line="477" w:lineRule="auto" w:before="54"/>
        <w:ind w:right="0" w:firstLine="360"/>
        <w:jc w:val="left"/>
      </w:pPr>
      <w:r>
        <w:rPr>
          <w:spacing w:val="-2"/>
        </w:rPr>
        <w:t>在计算最低租赁付款额的现值时，能够取得出租人租赁内含利率的，采用租赁内含利率作为折现率；否则，采用租赁合</w:t>
      </w:r>
      <w:r>
        <w:rPr/>
        <w:t> </w:t>
      </w:r>
      <w:r>
        <w:rPr>
          <w:spacing w:val="-4"/>
        </w:rPr>
        <w:t>同规定的利率作为折现率。无法取得出租人的租赁内含利率且租赁合同没有规定利率的，采用同期银行贷款利率作为折现率。</w:t>
      </w:r>
    </w:p>
    <w:p>
      <w:pPr>
        <w:pStyle w:val="BodyText"/>
        <w:spacing w:line="477" w:lineRule="auto" w:before="54"/>
        <w:ind w:right="1034" w:firstLine="360"/>
        <w:jc w:val="left"/>
      </w:pPr>
      <w:r>
        <w:rPr/>
        <w:t>本公司采用与自有固定资产相一致的折旧政策计提租赁资产折旧。能够合理确定租赁期届满时取得租赁资产所有权的， </w:t>
      </w:r>
      <w:r>
        <w:rPr>
          <w:spacing w:val="-2"/>
        </w:rPr>
        <w:t>在租赁资产使用寿命内计提折旧。无法合理确定租赁期届满时能够取得租赁资产所有权的，在租赁期与租赁资产使用寿命两</w:t>
      </w:r>
      <w:r>
        <w:rPr>
          <w:spacing w:val="-64"/>
        </w:rPr>
        <w:t> </w:t>
      </w:r>
      <w:r>
        <w:rPr>
          <w:spacing w:val="-64"/>
        </w:rPr>
      </w:r>
      <w:r>
        <w:rPr/>
        <w:t>者中较短的期间内计提折旧。</w:t>
      </w:r>
    </w:p>
    <w:p>
      <w:pPr>
        <w:pStyle w:val="BodyText"/>
        <w:spacing w:line="240" w:lineRule="auto" w:before="54"/>
        <w:ind w:right="1133"/>
        <w:jc w:val="left"/>
      </w:pPr>
      <w:r>
        <w:rPr>
          <w:rFonts w:ascii="宋体" w:hAnsi="宋体" w:cs="宋体" w:eastAsia="宋体" w:hint="default"/>
        </w:rPr>
        <w:t>2</w:t>
      </w:r>
      <w:r>
        <w:rPr/>
        <w:t>、作为出租人</w:t>
      </w:r>
    </w:p>
    <w:p>
      <w:pPr>
        <w:spacing w:line="240" w:lineRule="auto" w:before="10"/>
        <w:rPr>
          <w:rFonts w:ascii="宋体" w:hAnsi="宋体" w:cs="宋体" w:eastAsia="宋体" w:hint="default"/>
          <w:sz w:val="17"/>
          <w:szCs w:val="17"/>
        </w:rPr>
      </w:pPr>
    </w:p>
    <w:p>
      <w:pPr>
        <w:pStyle w:val="BodyText"/>
        <w:spacing w:line="477" w:lineRule="auto"/>
        <w:ind w:right="1129" w:firstLine="360"/>
        <w:jc w:val="both"/>
      </w:pPr>
      <w:r>
        <w:rPr>
          <w:spacing w:val="-2"/>
        </w:rPr>
        <w:t>本公司在租赁期开始日将租赁开始日最低租赁收款额与初始直接费用之和作为应收融资租赁款的入账价值，同时记录未</w:t>
      </w:r>
      <w:r>
        <w:rPr/>
        <w:t> </w:t>
      </w:r>
      <w:r>
        <w:rPr>
          <w:spacing w:val="-2"/>
        </w:rPr>
        <w:t>担保余值；将最低租赁收款额、初始直接费用及未担保余值之和与其现值之和的差额确认为未实现融资收益；未实现融资收</w:t>
      </w:r>
      <w:r>
        <w:rPr>
          <w:spacing w:val="-62"/>
        </w:rPr>
        <w:t> </w:t>
      </w:r>
      <w:r>
        <w:rPr>
          <w:spacing w:val="-62"/>
        </w:rPr>
      </w:r>
      <w:r>
        <w:rPr/>
        <w:t>益在租赁期内各个期间进行分配；采用实际利率法计算确认当期的融资收入；或有租金在实际发生时计入当期损益。</w:t>
      </w:r>
    </w:p>
    <w:p>
      <w:pPr>
        <w:spacing w:after="0" w:line="477" w:lineRule="auto"/>
        <w:jc w:val="both"/>
        <w:sectPr>
          <w:pgSz w:w="11910" w:h="16840"/>
          <w:pgMar w:header="877" w:footer="980" w:top="1100" w:bottom="1160" w:left="980" w:right="0"/>
        </w:sectPr>
      </w:pPr>
    </w:p>
    <w:p>
      <w:pPr>
        <w:spacing w:line="240" w:lineRule="auto" w:before="11"/>
        <w:rPr>
          <w:rFonts w:ascii="宋体" w:hAnsi="宋体" w:cs="宋体" w:eastAsia="宋体" w:hint="default"/>
          <w:sz w:val="27"/>
          <w:szCs w:val="27"/>
        </w:rPr>
      </w:pPr>
    </w:p>
    <w:p>
      <w:pPr>
        <w:pStyle w:val="Heading4"/>
        <w:spacing w:line="240" w:lineRule="auto" w:before="44"/>
        <w:ind w:left="152" w:right="1133"/>
        <w:jc w:val="left"/>
        <w:rPr>
          <w:b w:val="0"/>
          <w:bCs w:val="0"/>
        </w:rPr>
      </w:pPr>
      <w:r>
        <w:rPr>
          <w:rFonts w:ascii="宋体" w:hAnsi="宋体" w:cs="宋体" w:eastAsia="宋体" w:hint="default"/>
        </w:rPr>
        <w:t>43</w:t>
      </w:r>
      <w:r>
        <w:rPr/>
        <w:t>、其他重要的会计政策和会计估计</w:t>
      </w:r>
      <w:r>
        <w:rPr>
          <w:b w:val="0"/>
          <w:bCs w:val="0"/>
        </w:rPr>
      </w: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22"/>
          <w:szCs w:val="22"/>
        </w:rPr>
      </w:pPr>
    </w:p>
    <w:p>
      <w:pPr>
        <w:pStyle w:val="BodyText"/>
        <w:spacing w:line="477" w:lineRule="auto"/>
        <w:ind w:left="513" w:right="1129" w:hanging="361"/>
        <w:jc w:val="left"/>
      </w:pPr>
      <w:r>
        <w:rPr>
          <w:rFonts w:ascii="宋体" w:hAnsi="宋体" w:cs="宋体" w:eastAsia="宋体" w:hint="default"/>
        </w:rPr>
        <w:t>1</w:t>
      </w:r>
      <w:r>
        <w:rPr/>
        <w:t>、持有待售的非流动资产或处置组的分类与计量 </w:t>
      </w:r>
      <w:r>
        <w:rPr>
          <w:spacing w:val="-2"/>
        </w:rPr>
        <w:t>本公司主要通过出售（包括具有商业实质的非货币性资产交换）而非持续使用一项非流动资产或处置组收回其账面价值</w:t>
      </w:r>
    </w:p>
    <w:p>
      <w:pPr>
        <w:pStyle w:val="BodyText"/>
        <w:spacing w:line="477" w:lineRule="auto" w:before="54"/>
        <w:ind w:left="513" w:right="1129" w:hanging="361"/>
        <w:jc w:val="left"/>
      </w:pPr>
      <w:r>
        <w:rPr/>
        <w:t>时，该非流动资产或处置组被划分为持有待售类别。 </w:t>
      </w:r>
      <w:r>
        <w:rPr>
          <w:spacing w:val="-2"/>
        </w:rPr>
        <w:t>上述非流动资产不包括采用公允价值模式进行后续计量的投资性房地产、采用公允价值减去出售费用后的净额计量的生</w:t>
      </w:r>
    </w:p>
    <w:p>
      <w:pPr>
        <w:pStyle w:val="BodyText"/>
        <w:spacing w:line="477" w:lineRule="auto" w:before="54"/>
        <w:ind w:left="513" w:right="1129" w:hanging="361"/>
        <w:jc w:val="left"/>
      </w:pPr>
      <w:r>
        <w:rPr/>
        <w:t>物资产、职工薪酬形成的资产、金融资产、递延所得税资产及保险合同产生的权利。 </w:t>
      </w:r>
      <w:r>
        <w:rPr>
          <w:spacing w:val="-2"/>
        </w:rPr>
        <w:t>处置组，是指在一项交易中作为整体通过出售或其他方式一并处置的一组资产，以及在该交易中转让的与这些资产直接</w:t>
      </w:r>
    </w:p>
    <w:p>
      <w:pPr>
        <w:pStyle w:val="BodyText"/>
        <w:spacing w:line="477" w:lineRule="auto" w:before="54"/>
        <w:ind w:left="513" w:right="1129" w:hanging="361"/>
        <w:jc w:val="left"/>
      </w:pPr>
      <w:r>
        <w:rPr/>
        <w:t>相关的负债。在特定情况下，处置组包括企业合并中取得的商誉等。 </w:t>
      </w:r>
      <w:r>
        <w:rPr>
          <w:spacing w:val="-2"/>
        </w:rPr>
        <w:t>同时满足下列条件的非流动资产或处置组被划分为持有待售类别：根据类似交易中出售此类资产或处置组的惯例，该非</w:t>
      </w:r>
    </w:p>
    <w:p>
      <w:pPr>
        <w:pStyle w:val="BodyText"/>
        <w:spacing w:line="477" w:lineRule="auto" w:before="54"/>
        <w:ind w:right="1034"/>
        <w:jc w:val="left"/>
      </w:pPr>
      <w:r>
        <w:rPr/>
        <w:t>流动资产或处置组在当前状况下即可立即出售；出售极可能发生，即已经就一项出售计划作出决议且获得确定的购买承诺， </w:t>
      </w:r>
      <w:r>
        <w:rPr>
          <w:spacing w:val="-2"/>
        </w:rPr>
        <w:t>预计出售将在一年内完成。因出售对子公司的投资等原因导致丧失对子公司控制权的，无论出售后本公司是否保留部分权益</w:t>
      </w:r>
      <w:r>
        <w:rPr>
          <w:spacing w:val="-63"/>
        </w:rPr>
        <w:t> </w:t>
      </w:r>
      <w:r>
        <w:rPr>
          <w:spacing w:val="-63"/>
        </w:rPr>
      </w:r>
      <w:r>
        <w:rPr>
          <w:spacing w:val="-2"/>
        </w:rPr>
        <w:t>性投资，在拟出售的对子公司投资满足持有待售类别划分条件时，在个别财务报表中将对子公司投资整体划分为持有待售类</w:t>
      </w:r>
      <w:r>
        <w:rPr>
          <w:spacing w:val="-64"/>
        </w:rPr>
        <w:t> </w:t>
      </w:r>
      <w:r>
        <w:rPr>
          <w:spacing w:val="-64"/>
        </w:rPr>
      </w:r>
      <w:r>
        <w:rPr/>
        <w:t>别，在合并财务报表中将子公司所有资产和负债划分为持有待售类别。</w:t>
      </w:r>
    </w:p>
    <w:p>
      <w:pPr>
        <w:pStyle w:val="BodyText"/>
        <w:spacing w:line="477" w:lineRule="auto" w:before="54"/>
        <w:ind w:right="1130" w:firstLine="360"/>
        <w:jc w:val="both"/>
      </w:pPr>
      <w:r>
        <w:rPr>
          <w:spacing w:val="-2"/>
        </w:rPr>
        <w:t>初始计量或在资产负债表日重新计量持有待售的非流动资产或处置组时，账面价值高于公允价值减去出售费用后净额的</w:t>
      </w:r>
      <w:r>
        <w:rPr/>
        <w:t> </w:t>
      </w:r>
      <w:r>
        <w:rPr>
          <w:spacing w:val="-2"/>
        </w:rPr>
        <w:t>差额确认为资产减值损失。对于持有待售的处置组确认的资产减值损失金额，先抵减处置组中商誉的账面价值，再根据处置</w:t>
      </w:r>
      <w:r>
        <w:rPr>
          <w:spacing w:val="-63"/>
        </w:rPr>
        <w:t> </w:t>
      </w:r>
      <w:r>
        <w:rPr>
          <w:spacing w:val="-63"/>
        </w:rPr>
      </w:r>
      <w:r>
        <w:rPr/>
        <w:t>组中的各项非流动资产账面价值所占比重，按比例抵减其账面价值。</w:t>
      </w:r>
    </w:p>
    <w:p>
      <w:pPr>
        <w:pStyle w:val="BodyText"/>
        <w:spacing w:line="477" w:lineRule="auto" w:before="54"/>
        <w:ind w:right="1034" w:firstLine="360"/>
        <w:jc w:val="left"/>
      </w:pPr>
      <w:r>
        <w:rPr/>
        <w:t>后续资产负债表日持有待售的非流动资产或处置组公允价值减去出售费用后的净额增加的，以前减记的金额予以恢复， 并在划分为持有待售类别后确认的资产减值损失金额内转回，转回金额计入当期损益。已抵减的商誉账面价值不得转回。</w:t>
      </w:r>
    </w:p>
    <w:p>
      <w:pPr>
        <w:pStyle w:val="BodyText"/>
        <w:spacing w:line="477" w:lineRule="auto" w:before="54"/>
        <w:ind w:right="0" w:firstLine="360"/>
        <w:jc w:val="left"/>
      </w:pPr>
      <w:r>
        <w:rPr>
          <w:spacing w:val="-2"/>
        </w:rPr>
        <w:t>持有待售的非流动资产和持有待售的处置组中的资产不计提折旧或进行摊销；持有待售的处置组中负债的利息和其他费</w:t>
      </w:r>
      <w:r>
        <w:rPr/>
        <w:t> </w:t>
      </w:r>
      <w:r>
        <w:rPr>
          <w:spacing w:val="-4"/>
        </w:rPr>
        <w:t>用继续予以确认。被划分为持有待售的联营企业或合营企业的全部或部分投资，对于划分为持有待售的部分停止权益法核算，</w:t>
      </w:r>
      <w:r>
        <w:rPr>
          <w:spacing w:val="-44"/>
        </w:rPr>
        <w:t> </w:t>
      </w:r>
      <w:r>
        <w:rPr>
          <w:spacing w:val="-44"/>
        </w:rPr>
      </w:r>
      <w:r>
        <w:rPr>
          <w:spacing w:val="-4"/>
        </w:rPr>
        <w:t>保留的部分（未被划分为持有待售类别）则继续采用权益法核算；当本公司因出售丧失对联营企业和合营企业的重大影响时，</w:t>
      </w:r>
      <w:r>
        <w:rPr>
          <w:spacing w:val="-42"/>
        </w:rPr>
        <w:t> </w:t>
      </w:r>
      <w:r>
        <w:rPr>
          <w:spacing w:val="-42"/>
        </w:rPr>
      </w:r>
      <w:r>
        <w:rPr/>
        <w:t>停止使用权益法。</w:t>
      </w:r>
    </w:p>
    <w:p>
      <w:pPr>
        <w:pStyle w:val="BodyText"/>
        <w:spacing w:line="477" w:lineRule="auto" w:before="54"/>
        <w:ind w:right="1124" w:firstLine="360"/>
        <w:jc w:val="left"/>
      </w:pPr>
      <w:r>
        <w:rPr/>
        <w:t>（</w:t>
      </w:r>
      <w:r>
        <w:rPr>
          <w:rFonts w:ascii="宋体" w:hAnsi="宋体" w:cs="宋体" w:eastAsia="宋体" w:hint="default"/>
        </w:rPr>
        <w:t>1</w:t>
      </w:r>
      <w:r>
        <w:rPr/>
        <w:t>）某项非流动资产或处置组被划分为持有待售类别，但后来不再满足持有待售类别划分条件的，本公司停止将其划 分为持有待售类别，并按照下列两项金额中较低者计量： 该资产或处置组被划分为持有待售类别之前的账面价值，按照其假定在没有被划分为持有待售类别的情况下本应确认的折 旧、摊销或减值进行调整后的金额；</w:t>
      </w:r>
    </w:p>
    <w:p>
      <w:pPr>
        <w:pStyle w:val="BodyText"/>
        <w:spacing w:line="477" w:lineRule="auto" w:before="54"/>
        <w:ind w:right="8864" w:firstLine="360"/>
        <w:jc w:val="left"/>
      </w:pPr>
      <w:r>
        <w:rPr/>
        <w:t>（</w:t>
      </w:r>
      <w:r>
        <w:rPr>
          <w:rFonts w:ascii="宋体" w:hAnsi="宋体" w:cs="宋体" w:eastAsia="宋体" w:hint="default"/>
        </w:rPr>
        <w:t>2</w:t>
      </w:r>
      <w:r>
        <w:rPr/>
        <w:t>）可收回金额。 </w:t>
      </w:r>
      <w:r>
        <w:rPr>
          <w:rFonts w:ascii="宋体" w:hAnsi="宋体" w:cs="宋体" w:eastAsia="宋体" w:hint="default"/>
        </w:rPr>
        <w:t>2</w:t>
      </w:r>
      <w:r>
        <w:rPr/>
        <w:t>、终止经营</w:t>
      </w:r>
    </w:p>
    <w:p>
      <w:pPr>
        <w:pStyle w:val="BodyText"/>
        <w:spacing w:line="240" w:lineRule="auto" w:before="54"/>
        <w:ind w:left="513" w:right="1133"/>
        <w:jc w:val="left"/>
      </w:pPr>
      <w:r>
        <w:rPr/>
        <w:t>终止经营，是指满足下列条件之一的已被本公司处置或被本公司划分为持有待售类别的、能够单独区分的组成部分：</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7"/>
          <w:szCs w:val="27"/>
        </w:rPr>
      </w:pPr>
    </w:p>
    <w:p>
      <w:pPr>
        <w:pStyle w:val="BodyText"/>
        <w:spacing w:line="240" w:lineRule="auto" w:before="44"/>
        <w:ind w:left="513" w:right="1133"/>
        <w:jc w:val="left"/>
      </w:pPr>
      <w:r>
        <w:rPr/>
        <w:t>（</w:t>
      </w:r>
      <w:r>
        <w:rPr>
          <w:rFonts w:ascii="宋体" w:hAnsi="宋体" w:cs="宋体" w:eastAsia="宋体" w:hint="default"/>
        </w:rPr>
        <w:t>1</w:t>
      </w:r>
      <w:r>
        <w:rPr/>
        <w:t>）该组成部分代表一项独立的主要业务或一个单独的主要经营地区。</w:t>
      </w:r>
    </w:p>
    <w:p>
      <w:pPr>
        <w:spacing w:line="240" w:lineRule="auto" w:before="10"/>
        <w:rPr>
          <w:rFonts w:ascii="宋体" w:hAnsi="宋体" w:cs="宋体" w:eastAsia="宋体" w:hint="default"/>
          <w:sz w:val="17"/>
          <w:szCs w:val="17"/>
        </w:rPr>
      </w:pPr>
    </w:p>
    <w:p>
      <w:pPr>
        <w:pStyle w:val="BodyText"/>
        <w:spacing w:line="240" w:lineRule="auto"/>
        <w:ind w:left="515" w:right="1133"/>
        <w:jc w:val="left"/>
      </w:pPr>
      <w:r>
        <w:rPr/>
        <w:t>（</w:t>
      </w:r>
      <w:r>
        <w:rPr>
          <w:rFonts w:ascii="宋体" w:hAnsi="宋体" w:cs="宋体" w:eastAsia="宋体" w:hint="default"/>
        </w:rPr>
        <w:t>2</w:t>
      </w:r>
      <w:r>
        <w:rPr/>
        <w:t>）该组成部分是拟对一项独立的主要业务或一个单独的主要经营地区进行处置的一项相关联计划的一部分。</w:t>
      </w:r>
    </w:p>
    <w:p>
      <w:pPr>
        <w:spacing w:line="240" w:lineRule="auto" w:before="10"/>
        <w:rPr>
          <w:rFonts w:ascii="宋体" w:hAnsi="宋体" w:cs="宋体" w:eastAsia="宋体" w:hint="default"/>
          <w:sz w:val="17"/>
          <w:szCs w:val="17"/>
        </w:rPr>
      </w:pPr>
    </w:p>
    <w:p>
      <w:pPr>
        <w:pStyle w:val="BodyText"/>
        <w:spacing w:line="477" w:lineRule="auto"/>
        <w:ind w:right="6702" w:firstLine="362"/>
        <w:jc w:val="left"/>
      </w:pPr>
      <w:r>
        <w:rPr/>
        <w:t>（</w:t>
      </w:r>
      <w:r>
        <w:rPr>
          <w:rFonts w:ascii="宋体" w:hAnsi="宋体" w:cs="宋体" w:eastAsia="宋体" w:hint="default"/>
        </w:rPr>
        <w:t>3</w:t>
      </w:r>
      <w:r>
        <w:rPr/>
        <w:t>）该组成部分是专为转售而取得的子公司。 </w:t>
      </w:r>
      <w:r>
        <w:rPr>
          <w:rFonts w:ascii="宋体" w:hAnsi="宋体" w:cs="宋体" w:eastAsia="宋体" w:hint="default"/>
        </w:rPr>
        <w:t>3</w:t>
      </w:r>
      <w:r>
        <w:rPr/>
        <w:t>、列报</w:t>
      </w:r>
    </w:p>
    <w:p>
      <w:pPr>
        <w:pStyle w:val="BodyText"/>
        <w:spacing w:line="477" w:lineRule="auto" w:before="54"/>
        <w:ind w:right="1129" w:firstLine="360"/>
        <w:jc w:val="left"/>
      </w:pPr>
      <w:r>
        <w:rPr>
          <w:spacing w:val="-2"/>
        </w:rPr>
        <w:t>本公司在资产负债表中将持有待售的非流动资产或持有待售的处置组中的资产列报于“划分为持有待售的资产”，将持</w:t>
      </w:r>
      <w:r>
        <w:rPr/>
        <w:t> 有待售的处置组中的负债列报于“划分为持有待售的负债”。</w:t>
      </w:r>
    </w:p>
    <w:p>
      <w:pPr>
        <w:pStyle w:val="BodyText"/>
        <w:spacing w:line="477" w:lineRule="auto" w:before="54"/>
        <w:ind w:right="1131" w:firstLine="360"/>
        <w:jc w:val="both"/>
      </w:pPr>
      <w:r>
        <w:rPr>
          <w:spacing w:val="-2"/>
        </w:rPr>
        <w:t>本公司在利润表中分别列示持续经营损益和终止经营损益。不符合终止经营定义的持有待售的非流动资产或处置组，其</w:t>
      </w:r>
      <w:r>
        <w:rPr/>
        <w:t> </w:t>
      </w:r>
      <w:r>
        <w:rPr>
          <w:spacing w:val="-2"/>
        </w:rPr>
        <w:t>减值损失和转回金额及处置损益作为持续经营损益列报。终止经营的减值损失和转回金额等经营损益及处置损益作为终止经</w:t>
      </w:r>
      <w:r>
        <w:rPr>
          <w:spacing w:val="-63"/>
        </w:rPr>
        <w:t> </w:t>
      </w:r>
      <w:r>
        <w:rPr>
          <w:spacing w:val="-63"/>
        </w:rPr>
      </w:r>
      <w:r>
        <w:rPr/>
        <w:t>营损益列报。</w:t>
      </w:r>
    </w:p>
    <w:p>
      <w:pPr>
        <w:pStyle w:val="BodyText"/>
        <w:spacing w:line="477" w:lineRule="auto" w:before="55"/>
        <w:ind w:right="1129" w:firstLine="360"/>
        <w:jc w:val="left"/>
      </w:pPr>
      <w:r>
        <w:rPr/>
        <w:t>拟结束使用而非出售且满足终止经营定义中有关组成部分的条件的处置组，自其停止使用日起作为终止经营列报。 </w:t>
      </w:r>
      <w:r>
        <w:rPr>
          <w:spacing w:val="-2"/>
        </w:rPr>
        <w:t>对于当期列报的终止经营，在当期财务报表中，原来作为持续经营损益列报的信息被重新作为可比会计期间的终止经营损益</w:t>
      </w:r>
      <w:r>
        <w:rPr>
          <w:spacing w:val="-64"/>
        </w:rPr>
        <w:t> </w:t>
      </w:r>
      <w:r>
        <w:rPr>
          <w:spacing w:val="-64"/>
        </w:rPr>
      </w:r>
      <w:r>
        <w:rPr>
          <w:spacing w:val="-2"/>
        </w:rPr>
        <w:t>列报。终止经营不再满足持有待售类别划分条件的，在当期财务报表中，原来作为终止经营损益列报的信息被重新作为可比</w:t>
      </w:r>
      <w:r>
        <w:rPr>
          <w:spacing w:val="-63"/>
        </w:rPr>
        <w:t> </w:t>
      </w:r>
      <w:r>
        <w:rPr>
          <w:spacing w:val="-63"/>
        </w:rPr>
      </w:r>
      <w:r>
        <w:rPr/>
        <w:t>会计期间的持续经营损益列报。</w:t>
      </w:r>
    </w:p>
    <w:p>
      <w:pPr>
        <w:spacing w:line="240" w:lineRule="auto" w:before="6"/>
        <w:rPr>
          <w:rFonts w:ascii="宋体" w:hAnsi="宋体" w:cs="宋体" w:eastAsia="宋体" w:hint="default"/>
          <w:sz w:val="19"/>
          <w:szCs w:val="19"/>
        </w:rPr>
      </w:pPr>
    </w:p>
    <w:p>
      <w:pPr>
        <w:pStyle w:val="Heading3"/>
        <w:spacing w:line="240" w:lineRule="auto" w:before="0"/>
        <w:ind w:right="1133"/>
        <w:jc w:val="left"/>
        <w:rPr>
          <w:b w:val="0"/>
          <w:bCs w:val="0"/>
        </w:rPr>
      </w:pPr>
      <w:r>
        <w:rPr>
          <w:rFonts w:ascii="Times New Roman" w:hAnsi="Times New Roman" w:cs="Times New Roman" w:eastAsia="Times New Roman" w:hint="default"/>
        </w:rPr>
        <w:t>44</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before="0"/>
        <w:ind w:right="1133"/>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pict>
          <v:group style="position:absolute;margin-left:217.729996pt;margin-top:100.171715pt;width:156.65pt;height:17.650pt;mso-position-horizontal-relative:page;mso-position-vertical-relative:paragraph;z-index:-1093984" coordorigin="4355,2003" coordsize="3133,353">
            <v:shape style="position:absolute;left:4355;top:2003;width:3133;height:353" coordorigin="4355,2003" coordsize="3133,353" path="m4355,2356l7487,2356,7487,2003,4355,2003,4355,2356xe" filled="true" fillcolor="#ffffff" stroked="false">
              <v:path arrowok="t"/>
              <v:fill type="solid"/>
            </v:shape>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8"/>
        <w:gridCol w:w="3190"/>
      </w:tblGrid>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211" w:hRule="exact"/>
        </w:trPr>
        <w:tc>
          <w:tcPr>
            <w:tcW w:w="3193"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年，财政部陆续修订并发布了《企</w:t>
            </w:r>
          </w:p>
          <w:p>
            <w:pPr>
              <w:pStyle w:val="TableParagraph"/>
              <w:spacing w:line="300" w:lineRule="auto" w:before="63"/>
              <w:ind w:left="24" w:right="29"/>
              <w:jc w:val="both"/>
              <w:rPr>
                <w:rFonts w:ascii="Times New Roman" w:hAnsi="Times New Roman" w:cs="Times New Roman" w:eastAsia="Times New Roman" w:hint="default"/>
                <w:sz w:val="18"/>
                <w:szCs w:val="18"/>
              </w:rPr>
            </w:pPr>
            <w:r>
              <w:rPr>
                <w:rFonts w:ascii="宋体" w:hAnsi="宋体" w:cs="宋体" w:eastAsia="宋体" w:hint="default"/>
                <w:sz w:val="18"/>
                <w:szCs w:val="18"/>
              </w:rPr>
              <w:t>业会计准则第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金融工具确认和计 </w:t>
            </w:r>
            <w:r>
              <w:rPr>
                <w:rFonts w:ascii="宋体" w:hAnsi="宋体" w:cs="宋体" w:eastAsia="宋体" w:hint="default"/>
                <w:spacing w:val="-8"/>
                <w:sz w:val="18"/>
                <w:szCs w:val="18"/>
              </w:rPr>
              <w:t>量》（财会</w:t>
            </w:r>
            <w:r>
              <w:rPr>
                <w:rFonts w:ascii="Times New Roman" w:hAnsi="Times New Roman" w:cs="Times New Roman" w:eastAsia="Times New Roman" w:hint="default"/>
                <w:spacing w:val="-8"/>
                <w:sz w:val="18"/>
                <w:szCs w:val="18"/>
              </w:rPr>
              <w:t>[2017]7</w:t>
            </w:r>
            <w:r>
              <w:rPr>
                <w:rFonts w:ascii="Times New Roman" w:hAnsi="Times New Roman" w:cs="Times New Roman" w:eastAsia="Times New Roman" w:hint="default"/>
                <w:sz w:val="18"/>
                <w:szCs w:val="18"/>
              </w:rPr>
              <w:t> </w:t>
            </w:r>
            <w:r>
              <w:rPr>
                <w:rFonts w:ascii="宋体" w:hAnsi="宋体" w:cs="宋体" w:eastAsia="宋体" w:hint="default"/>
                <w:spacing w:val="-19"/>
                <w:sz w:val="18"/>
                <w:szCs w:val="18"/>
              </w:rPr>
              <w:t>号）、《企业会计准则</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第 </w:t>
            </w:r>
            <w:r>
              <w:rPr>
                <w:rFonts w:ascii="Times New Roman" w:hAnsi="Times New Roman" w:cs="Times New Roman" w:eastAsia="Times New Roman" w:hint="default"/>
                <w:sz w:val="18"/>
                <w:szCs w:val="18"/>
              </w:rPr>
              <w:t>23 </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号</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金融资产转移》（财会</w:t>
            </w:r>
            <w:r>
              <w:rPr>
                <w:rFonts w:ascii="Times New Roman" w:hAnsi="Times New Roman" w:cs="Times New Roman" w:eastAsia="Times New Roman" w:hint="default"/>
                <w:spacing w:val="-5"/>
                <w:sz w:val="18"/>
                <w:szCs w:val="18"/>
              </w:rPr>
              <w:t>[2017]8</w:t>
            </w:r>
          </w:p>
          <w:p>
            <w:pPr>
              <w:pStyle w:val="TableParagraph"/>
              <w:spacing w:line="240" w:lineRule="auto" w:before="13"/>
              <w:ind w:left="24" w:right="-41"/>
              <w:jc w:val="left"/>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pacing w:val="-166"/>
                <w:sz w:val="18"/>
                <w:szCs w:val="18"/>
              </w:rPr>
              <w:t>、</w:t>
            </w:r>
            <w:r>
              <w:rPr>
                <w:rFonts w:ascii="宋体" w:hAnsi="宋体" w:cs="宋体" w:eastAsia="宋体" w:hint="default"/>
                <w:sz w:val="18"/>
                <w:szCs w:val="18"/>
              </w:rPr>
              <w:t>《企业会计准则第</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4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z w:val="18"/>
                <w:szCs w:val="18"/>
              </w:rPr>
              <w:t>套期会计</w:t>
            </w:r>
            <w:r>
              <w:rPr>
                <w:rFonts w:ascii="宋体" w:hAnsi="宋体" w:cs="宋体" w:eastAsia="宋体" w:hint="default"/>
                <w:spacing w:val="-33"/>
                <w:sz w:val="18"/>
                <w:szCs w:val="18"/>
              </w:rPr>
              <w:t>》</w:t>
            </w:r>
            <w:r>
              <w:rPr>
                <w:rFonts w:ascii="宋体" w:hAnsi="宋体" w:cs="宋体" w:eastAsia="宋体" w:hint="default"/>
                <w:sz w:val="18"/>
                <w:szCs w:val="18"/>
              </w:rPr>
            </w:r>
          </w:p>
          <w:p>
            <w:pPr>
              <w:pStyle w:val="TableParagraph"/>
              <w:spacing w:line="300" w:lineRule="auto" w:before="63"/>
              <w:ind w:left="24" w:right="15"/>
              <w:jc w:val="left"/>
              <w:rPr>
                <w:rFonts w:ascii="宋体" w:hAnsi="宋体" w:cs="宋体" w:eastAsia="宋体" w:hint="default"/>
                <w:sz w:val="18"/>
                <w:szCs w:val="18"/>
              </w:rPr>
            </w:pPr>
            <w:r>
              <w:rPr>
                <w:rFonts w:ascii="宋体" w:hAnsi="宋体" w:cs="宋体" w:eastAsia="宋体" w:hint="default"/>
                <w:sz w:val="18"/>
                <w:szCs w:val="18"/>
              </w:rPr>
              <w:t>（财会</w:t>
            </w:r>
            <w:r>
              <w:rPr>
                <w:rFonts w:ascii="Times New Roman" w:hAnsi="Times New Roman" w:cs="Times New Roman" w:eastAsia="Times New Roman" w:hint="default"/>
                <w:sz w:val="18"/>
                <w:szCs w:val="18"/>
              </w:rPr>
              <w:t>[2017]9</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号）及《企业会计准则第</w:t>
            </w:r>
            <w:r>
              <w:rPr>
                <w:rFonts w:ascii="宋体" w:hAnsi="宋体" w:cs="宋体" w:eastAsia="宋体" w:hint="default"/>
                <w:sz w:val="18"/>
                <w:szCs w:val="18"/>
              </w:rPr>
              <w:t> </w:t>
            </w:r>
            <w:r>
              <w:rPr>
                <w:rFonts w:ascii="Times New Roman" w:hAnsi="Times New Roman" w:cs="Times New Roman" w:eastAsia="Times New Roman" w:hint="default"/>
                <w:sz w:val="18"/>
                <w:szCs w:val="18"/>
              </w:rPr>
              <w:t>37 </w:t>
            </w:r>
            <w:r>
              <w:rPr>
                <w:rFonts w:ascii="宋体" w:hAnsi="宋体" w:cs="宋体" w:eastAsia="宋体" w:hint="default"/>
                <w:spacing w:val="-5"/>
                <w:sz w:val="18"/>
                <w:szCs w:val="18"/>
              </w:rPr>
              <w:t>号</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金融工具列报》（财会</w:t>
            </w:r>
            <w:r>
              <w:rPr>
                <w:rFonts w:ascii="Times New Roman" w:hAnsi="Times New Roman" w:cs="Times New Roman" w:eastAsia="Times New Roman" w:hint="default"/>
                <w:spacing w:val="-5"/>
                <w:sz w:val="18"/>
                <w:szCs w:val="18"/>
              </w:rPr>
              <w:t>[2017]14</w:t>
            </w:r>
            <w:r>
              <w:rPr>
                <w:rFonts w:ascii="Times New Roman" w:hAnsi="Times New Roman" w:cs="Times New Roman" w:eastAsia="Times New Roman" w:hint="default"/>
                <w:spacing w:val="-40"/>
                <w:sz w:val="18"/>
                <w:szCs w:val="18"/>
              </w:rPr>
              <w:t> </w:t>
            </w:r>
            <w:r>
              <w:rPr>
                <w:rFonts w:ascii="Times New Roman" w:hAnsi="Times New Roman" w:cs="Times New Roman" w:eastAsia="Times New Roman" w:hint="default"/>
                <w:spacing w:val="-40"/>
                <w:sz w:val="18"/>
                <w:szCs w:val="18"/>
              </w:rPr>
            </w:r>
            <w:r>
              <w:rPr>
                <w:rFonts w:ascii="宋体" w:hAnsi="宋体" w:cs="宋体" w:eastAsia="宋体" w:hint="default"/>
                <w:spacing w:val="-14"/>
                <w:w w:val="100"/>
                <w:sz w:val="18"/>
                <w:szCs w:val="18"/>
              </w:rPr>
              <w:t>号）（上述准则以下统称</w:t>
            </w:r>
            <w:r>
              <w:rPr>
                <w:rFonts w:ascii="Times New Roman" w:hAnsi="Times New Roman" w:cs="Times New Roman" w:eastAsia="Times New Roman" w:hint="default"/>
                <w:spacing w:val="-14"/>
                <w:w w:val="100"/>
                <w:sz w:val="18"/>
                <w:szCs w:val="18"/>
              </w:rPr>
              <w:t>“</w:t>
            </w:r>
            <w:r>
              <w:rPr>
                <w:rFonts w:ascii="宋体" w:hAnsi="宋体" w:cs="宋体" w:eastAsia="宋体" w:hint="default"/>
                <w:spacing w:val="-14"/>
                <w:w w:val="100"/>
                <w:sz w:val="18"/>
                <w:szCs w:val="18"/>
              </w:rPr>
              <w:t>新金融准则</w:t>
            </w:r>
            <w:r>
              <w:rPr>
                <w:rFonts w:ascii="Times New Roman" w:hAnsi="Times New Roman" w:cs="Times New Roman" w:eastAsia="Times New Roman" w:hint="default"/>
                <w:spacing w:val="-14"/>
                <w:w w:val="100"/>
                <w:sz w:val="18"/>
                <w:szCs w:val="18"/>
              </w:rPr>
              <w:t>”</w:t>
            </w:r>
            <w:r>
              <w:rPr>
                <w:rFonts w:ascii="宋体" w:hAnsi="宋体" w:cs="宋体" w:eastAsia="宋体" w:hint="default"/>
                <w:spacing w:val="-14"/>
                <w:w w:val="100"/>
                <w:sz w:val="18"/>
                <w:szCs w:val="18"/>
              </w:rPr>
              <w:t>），</w:t>
            </w:r>
            <w:r>
              <w:rPr>
                <w:rFonts w:ascii="宋体" w:hAnsi="宋体" w:cs="宋体" w:eastAsia="宋体" w:hint="default"/>
                <w:spacing w:val="-87"/>
                <w:w w:val="100"/>
                <w:sz w:val="18"/>
                <w:szCs w:val="18"/>
              </w:rPr>
              <w:t> </w:t>
            </w:r>
            <w:r>
              <w:rPr>
                <w:rFonts w:ascii="宋体" w:hAnsi="宋体" w:cs="宋体" w:eastAsia="宋体" w:hint="default"/>
                <w:sz w:val="18"/>
                <w:szCs w:val="18"/>
              </w:rPr>
              <w:t>要求单独在境内上市的企业自 </w:t>
            </w:r>
            <w:r>
              <w:rPr>
                <w:rFonts w:ascii="Times New Roman" w:hAnsi="Times New Roman" w:cs="Times New Roman" w:eastAsia="Times New Roman" w:hint="default"/>
                <w:sz w:val="18"/>
                <w:szCs w:val="18"/>
              </w:rPr>
              <w:t>2019 </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p>
            <w:pPr>
              <w:pStyle w:val="TableParagraph"/>
              <w:spacing w:line="240" w:lineRule="auto" w:before="1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日起执行上述新金融准则。</w:t>
            </w:r>
          </w:p>
        </w:tc>
        <w:tc>
          <w:tcPr>
            <w:tcW w:w="3188"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16" w:right="93"/>
              <w:jc w:val="left"/>
              <w:rPr>
                <w:rFonts w:ascii="宋体" w:hAnsi="宋体" w:cs="宋体" w:eastAsia="宋体" w:hint="default"/>
                <w:sz w:val="18"/>
                <w:szCs w:val="18"/>
              </w:rPr>
            </w:pPr>
            <w:r>
              <w:rPr>
                <w:rFonts w:ascii="宋体" w:hAnsi="宋体" w:cs="宋体" w:eastAsia="宋体" w:hint="default"/>
                <w:sz w:val="18"/>
                <w:szCs w:val="18"/>
              </w:rPr>
              <w:t>经公司第四届董事会第八次会议审议通 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00" w:lineRule="auto"/>
              <w:ind w:left="23" w:right="95"/>
              <w:jc w:val="left"/>
              <w:rPr>
                <w:rFonts w:ascii="宋体" w:hAnsi="宋体" w:cs="宋体" w:eastAsia="宋体" w:hint="default"/>
                <w:sz w:val="18"/>
                <w:szCs w:val="18"/>
              </w:rPr>
            </w:pPr>
            <w:r>
              <w:rPr>
                <w:rFonts w:ascii="宋体" w:hAnsi="宋体" w:cs="宋体" w:eastAsia="宋体" w:hint="default"/>
                <w:sz w:val="18"/>
                <w:szCs w:val="18"/>
              </w:rPr>
              <w:t>具体内容详见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日公司指 定信息披露网站巨潮资讯网</w:t>
            </w:r>
          </w:p>
          <w:p>
            <w:pPr>
              <w:pStyle w:val="TableParagraph"/>
              <w:spacing w:line="300" w:lineRule="auto" w:before="31"/>
              <w:ind w:left="23" w:right="35"/>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）的《关于会计政 </w:t>
            </w:r>
            <w:r>
              <w:rPr>
                <w:rFonts w:ascii="宋体" w:hAnsi="宋体" w:cs="宋体" w:eastAsia="宋体" w:hint="default"/>
                <w:spacing w:val="-12"/>
                <w:sz w:val="18"/>
                <w:szCs w:val="18"/>
              </w:rPr>
              <w:t>策变更的公告》（公告编号：</w:t>
            </w:r>
            <w:r>
              <w:rPr>
                <w:rFonts w:ascii="Times New Roman" w:hAnsi="Times New Roman" w:cs="Times New Roman" w:eastAsia="Times New Roman" w:hint="default"/>
                <w:spacing w:val="-12"/>
                <w:sz w:val="18"/>
                <w:szCs w:val="18"/>
              </w:rPr>
              <w:t>2019-015</w:t>
            </w:r>
            <w:r>
              <w:rPr>
                <w:rFonts w:ascii="宋体" w:hAnsi="宋体" w:cs="宋体" w:eastAsia="宋体" w:hint="default"/>
                <w:spacing w:val="-12"/>
                <w:sz w:val="18"/>
                <w:szCs w:val="18"/>
              </w:rPr>
              <w:t>）。</w:t>
            </w:r>
            <w:r>
              <w:rPr>
                <w:rFonts w:ascii="宋体" w:hAnsi="宋体" w:cs="宋体" w:eastAsia="宋体" w:hint="default"/>
                <w:sz w:val="18"/>
                <w:szCs w:val="18"/>
              </w:rPr>
            </w:r>
          </w:p>
        </w:tc>
      </w:tr>
      <w:tr>
        <w:trPr>
          <w:trHeight w:val="2235"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日，财政部发布了《关于</w:t>
            </w:r>
          </w:p>
          <w:p>
            <w:pPr>
              <w:pStyle w:val="TableParagraph"/>
              <w:spacing w:line="304" w:lineRule="auto" w:before="63"/>
              <w:ind w:left="24" w:right="22"/>
              <w:jc w:val="left"/>
              <w:rPr>
                <w:rFonts w:ascii="宋体" w:hAnsi="宋体" w:cs="宋体" w:eastAsia="宋体" w:hint="default"/>
                <w:sz w:val="18"/>
                <w:szCs w:val="18"/>
              </w:rPr>
            </w:pPr>
            <w:r>
              <w:rPr>
                <w:rFonts w:ascii="宋体" w:hAnsi="宋体" w:cs="宋体" w:eastAsia="宋体" w:hint="default"/>
                <w:sz w:val="18"/>
                <w:szCs w:val="18"/>
              </w:rPr>
              <w:t>修订印发</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年度一般企业财务报表格 </w:t>
            </w:r>
            <w:r>
              <w:rPr>
                <w:rFonts w:ascii="宋体" w:hAnsi="宋体" w:cs="宋体" w:eastAsia="宋体" w:hint="default"/>
                <w:spacing w:val="-7"/>
                <w:sz w:val="18"/>
                <w:szCs w:val="18"/>
              </w:rPr>
              <w:t>式的通知》（财会〔</w:t>
            </w:r>
            <w:r>
              <w:rPr>
                <w:rFonts w:ascii="Times New Roman" w:hAnsi="Times New Roman" w:cs="Times New Roman" w:eastAsia="Times New Roman" w:hint="default"/>
                <w:spacing w:val="-7"/>
                <w:sz w:val="18"/>
                <w:szCs w:val="18"/>
              </w:rPr>
              <w:t>2019</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6</w:t>
            </w:r>
            <w:r>
              <w:rPr>
                <w:rFonts w:ascii="Times New Roman" w:hAnsi="Times New Roman" w:cs="Times New Roman" w:eastAsia="Times New Roman" w:hint="default"/>
                <w:sz w:val="18"/>
                <w:szCs w:val="18"/>
              </w:rPr>
              <w:t> </w:t>
            </w:r>
            <w:r>
              <w:rPr>
                <w:rFonts w:ascii="宋体" w:hAnsi="宋体" w:cs="宋体" w:eastAsia="宋体" w:hint="default"/>
                <w:spacing w:val="-19"/>
                <w:sz w:val="18"/>
                <w:szCs w:val="18"/>
              </w:rPr>
              <w:t>号）（以下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
                <w:w w:val="100"/>
                <w:sz w:val="18"/>
                <w:szCs w:val="18"/>
              </w:rPr>
              <w:t>简称</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财会〔</w:t>
            </w:r>
            <w:r>
              <w:rPr>
                <w:rFonts w:ascii="Times New Roman" w:hAnsi="Times New Roman" w:cs="Times New Roman" w:eastAsia="Times New Roman" w:hint="default"/>
                <w:spacing w:val="-1"/>
                <w:w w:val="100"/>
                <w:sz w:val="18"/>
                <w:szCs w:val="18"/>
              </w:rPr>
              <w:t>2019</w:t>
            </w:r>
            <w:r>
              <w:rPr>
                <w:rFonts w:ascii="宋体" w:hAnsi="宋体" w:cs="宋体" w:eastAsia="宋体" w:hint="default"/>
                <w:spacing w:val="-1"/>
                <w:w w:val="100"/>
                <w:sz w:val="18"/>
                <w:szCs w:val="18"/>
              </w:rPr>
              <w:t>〕</w:t>
            </w:r>
            <w:r>
              <w:rPr>
                <w:rFonts w:ascii="Times New Roman" w:hAnsi="Times New Roman" w:cs="Times New Roman" w:eastAsia="Times New Roman" w:hint="default"/>
                <w:spacing w:val="-1"/>
                <w:w w:val="100"/>
                <w:sz w:val="18"/>
                <w:szCs w:val="18"/>
              </w:rPr>
              <w:t>6</w:t>
            </w:r>
            <w:r>
              <w:rPr>
                <w:rFonts w:ascii="Times New Roman" w:hAnsi="Times New Roman" w:cs="Times New Roman" w:eastAsia="Times New Roman" w:hint="default"/>
                <w:spacing w:val="13"/>
                <w:w w:val="100"/>
                <w:sz w:val="18"/>
                <w:szCs w:val="18"/>
              </w:rPr>
              <w:t> </w:t>
            </w:r>
            <w:r>
              <w:rPr>
                <w:rFonts w:ascii="宋体" w:hAnsi="宋体" w:cs="宋体" w:eastAsia="宋体" w:hint="default"/>
                <w:spacing w:val="-11"/>
                <w:w w:val="100"/>
                <w:sz w:val="18"/>
                <w:szCs w:val="18"/>
              </w:rPr>
              <w:t>号</w:t>
            </w:r>
            <w:r>
              <w:rPr>
                <w:rFonts w:ascii="Times New Roman" w:hAnsi="Times New Roman" w:cs="Times New Roman" w:eastAsia="Times New Roman" w:hint="default"/>
                <w:spacing w:val="-11"/>
                <w:w w:val="100"/>
                <w:sz w:val="18"/>
                <w:szCs w:val="18"/>
              </w:rPr>
              <w:t>”</w:t>
            </w:r>
            <w:r>
              <w:rPr>
                <w:rFonts w:ascii="宋体" w:hAnsi="宋体" w:cs="宋体" w:eastAsia="宋体" w:hint="default"/>
                <w:spacing w:val="-11"/>
                <w:w w:val="100"/>
                <w:sz w:val="18"/>
                <w:szCs w:val="18"/>
              </w:rPr>
              <w:t>），要求执行企</w:t>
            </w:r>
            <w:r>
              <w:rPr>
                <w:rFonts w:ascii="宋体" w:hAnsi="宋体" w:cs="宋体" w:eastAsia="宋体" w:hint="default"/>
                <w:spacing w:val="-87"/>
                <w:w w:val="100"/>
                <w:sz w:val="18"/>
                <w:szCs w:val="18"/>
              </w:rPr>
              <w:t> </w:t>
            </w:r>
            <w:r>
              <w:rPr>
                <w:rFonts w:ascii="宋体" w:hAnsi="宋体" w:cs="宋体" w:eastAsia="宋体" w:hint="default"/>
                <w:spacing w:val="-87"/>
                <w:w w:val="100"/>
                <w:sz w:val="18"/>
                <w:szCs w:val="18"/>
              </w:rPr>
            </w:r>
            <w:r>
              <w:rPr>
                <w:rFonts w:ascii="宋体" w:hAnsi="宋体" w:cs="宋体" w:eastAsia="宋体" w:hint="default"/>
                <w:sz w:val="18"/>
                <w:szCs w:val="18"/>
              </w:rPr>
              <w:t>业会计准则的非金融企业按照企业会计 </w:t>
            </w:r>
            <w:r>
              <w:rPr>
                <w:rFonts w:ascii="宋体" w:hAnsi="宋体" w:cs="宋体" w:eastAsia="宋体" w:hint="default"/>
                <w:spacing w:val="-6"/>
                <w:sz w:val="18"/>
                <w:szCs w:val="18"/>
              </w:rPr>
              <w:t>准则和财会〔</w:t>
            </w:r>
            <w:r>
              <w:rPr>
                <w:rFonts w:ascii="Times New Roman" w:hAnsi="Times New Roman" w:cs="Times New Roman" w:eastAsia="Times New Roman" w:hint="default"/>
                <w:spacing w:val="-6"/>
                <w:sz w:val="18"/>
                <w:szCs w:val="18"/>
              </w:rPr>
              <w:t>2019</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号的要求编制企业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年度中期财务报表和年度财务报表</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314" w:lineRule="auto"/>
              <w:ind w:left="23" w:right="93"/>
              <w:jc w:val="left"/>
              <w:rPr>
                <w:rFonts w:ascii="宋体" w:hAnsi="宋体" w:cs="宋体" w:eastAsia="宋体" w:hint="default"/>
                <w:sz w:val="18"/>
                <w:szCs w:val="18"/>
              </w:rPr>
            </w:pPr>
            <w:r>
              <w:rPr>
                <w:rFonts w:ascii="宋体" w:hAnsi="宋体" w:cs="宋体" w:eastAsia="宋体" w:hint="default"/>
                <w:sz w:val="18"/>
                <w:szCs w:val="18"/>
              </w:rPr>
              <w:t>经公司第四届董事会第十三次会议审议 通过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97" w:lineRule="auto"/>
              <w:ind w:left="23" w:right="95"/>
              <w:jc w:val="left"/>
              <w:rPr>
                <w:rFonts w:ascii="宋体" w:hAnsi="宋体" w:cs="宋体" w:eastAsia="宋体" w:hint="default"/>
                <w:sz w:val="18"/>
                <w:szCs w:val="18"/>
              </w:rPr>
            </w:pPr>
            <w:r>
              <w:rPr>
                <w:rFonts w:ascii="宋体" w:hAnsi="宋体" w:cs="宋体" w:eastAsia="宋体" w:hint="default"/>
                <w:sz w:val="18"/>
                <w:szCs w:val="18"/>
              </w:rPr>
              <w:t>具体内容详见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日公司指 定信息披露网站巨潮资讯网</w:t>
            </w:r>
          </w:p>
          <w:p>
            <w:pPr>
              <w:pStyle w:val="TableParagraph"/>
              <w:spacing w:line="300" w:lineRule="auto" w:before="33"/>
              <w:ind w:left="23" w:right="35"/>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）的《关于会计政 </w:t>
            </w:r>
            <w:r>
              <w:rPr>
                <w:rFonts w:ascii="宋体" w:hAnsi="宋体" w:cs="宋体" w:eastAsia="宋体" w:hint="default"/>
                <w:spacing w:val="-12"/>
                <w:sz w:val="18"/>
                <w:szCs w:val="18"/>
              </w:rPr>
              <w:t>策变更的公告》（公告编号：</w:t>
            </w:r>
            <w:r>
              <w:rPr>
                <w:rFonts w:ascii="Times New Roman" w:hAnsi="Times New Roman" w:cs="Times New Roman" w:eastAsia="Times New Roman" w:hint="default"/>
                <w:spacing w:val="-12"/>
                <w:sz w:val="18"/>
                <w:szCs w:val="18"/>
              </w:rPr>
              <w:t>2019-054</w:t>
            </w:r>
            <w:r>
              <w:rPr>
                <w:rFonts w:ascii="宋体" w:hAnsi="宋体" w:cs="宋体" w:eastAsia="宋体" w:hint="default"/>
                <w:spacing w:val="-12"/>
                <w:sz w:val="18"/>
                <w:szCs w:val="18"/>
              </w:rPr>
              <w:t>）。</w:t>
            </w:r>
            <w:r>
              <w:rPr>
                <w:rFonts w:ascii="宋体" w:hAnsi="宋体" w:cs="宋体" w:eastAsia="宋体" w:hint="default"/>
                <w:sz w:val="18"/>
                <w:szCs w:val="18"/>
              </w:rPr>
            </w:r>
          </w:p>
        </w:tc>
      </w:tr>
    </w:tbl>
    <w:p>
      <w:pPr>
        <w:spacing w:after="0" w:line="30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93"/>
        <w:gridCol w:w="3188"/>
        <w:gridCol w:w="3190"/>
      </w:tblGrid>
      <w:tr>
        <w:trPr>
          <w:trHeight w:val="362"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及以后期间的财务报表。</w:t>
            </w:r>
          </w:p>
        </w:tc>
        <w:tc>
          <w:tcPr>
            <w:tcW w:w="3188"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451" w:lineRule="auto" w:before="87"/>
        <w:ind w:left="513" w:right="1133"/>
        <w:jc w:val="left"/>
        <w:rPr>
          <w:rFonts w:ascii="Times New Roman" w:hAnsi="Times New Roman" w:cs="Times New Roman" w:eastAsia="Times New Roman" w:hint="default"/>
        </w:rPr>
      </w:pPr>
      <w:r>
        <w:rPr>
          <w:rFonts w:ascii="Times New Roman" w:hAnsi="Times New Roman" w:cs="Times New Roman" w:eastAsia="Times New Roman" w:hint="default"/>
          <w:b/>
          <w:bCs/>
        </w:rPr>
        <w:t>A</w:t>
      </w:r>
      <w:r>
        <w:rPr>
          <w:rFonts w:ascii="宋体" w:hAnsi="宋体" w:cs="宋体" w:eastAsia="宋体" w:hint="default"/>
          <w:b/>
          <w:bCs/>
        </w:rPr>
        <w:t>、新金融工具准则</w:t>
      </w:r>
      <w:r>
        <w:rPr>
          <w:rFonts w:ascii="宋体" w:hAnsi="宋体" w:cs="宋体" w:eastAsia="宋体" w:hint="default"/>
          <w:b/>
          <w:bCs/>
          <w:w w:val="99"/>
        </w:rPr>
        <w:t> </w:t>
      </w:r>
      <w:r>
        <w:rPr>
          <w:spacing w:val="-2"/>
        </w:rPr>
        <w:t>财政部于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31</w:t>
      </w:r>
      <w:r>
        <w:rPr>
          <w:spacing w:val="-2"/>
        </w:rPr>
        <w:t>日分别发布了《企业会计准则第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w:t>
      </w:r>
      <w:r>
        <w:rPr>
          <w:rFonts w:ascii="Times New Roman" w:hAnsi="Times New Roman" w:cs="Times New Roman" w:eastAsia="Times New Roman" w:hint="default"/>
          <w:spacing w:val="-2"/>
        </w:rPr>
        <w:t>2017</w:t>
      </w:r>
      <w:r>
        <w:rPr>
          <w:spacing w:val="-2"/>
        </w:rPr>
        <w:t>年修订）》（财会〔</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7</w:t>
      </w:r>
    </w:p>
    <w:p>
      <w:pPr>
        <w:pStyle w:val="BodyText"/>
        <w:spacing w:line="451" w:lineRule="auto" w:before="43"/>
        <w:ind w:right="1140"/>
        <w:jc w:val="both"/>
      </w:pPr>
      <w:r>
        <w:rPr/>
        <w:t>号）、《企业会计准则第</w:t>
      </w:r>
      <w:r>
        <w:rPr>
          <w:rFonts w:ascii="Times New Roman" w:hAnsi="Times New Roman" w:cs="Times New Roman" w:eastAsia="Times New Roman" w:hint="default"/>
        </w:rPr>
        <w:t>23</w:t>
      </w:r>
      <w:r>
        <w:rPr/>
        <w:t>号</w:t>
      </w:r>
      <w:r>
        <w:rPr>
          <w:rFonts w:ascii="Times New Roman" w:hAnsi="Times New Roman" w:cs="Times New Roman" w:eastAsia="Times New Roman" w:hint="default"/>
        </w:rPr>
        <w:t>——</w:t>
      </w:r>
      <w:r>
        <w:rPr/>
        <w:t>金融资产转移（</w:t>
      </w:r>
      <w:r>
        <w:rPr>
          <w:rFonts w:ascii="Times New Roman" w:hAnsi="Times New Roman" w:cs="Times New Roman" w:eastAsia="Times New Roman" w:hint="default"/>
        </w:rPr>
        <w:t>2017</w:t>
      </w:r>
      <w:r>
        <w:rPr/>
        <w:t>年修订）》（财会〔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8</w:t>
      </w:r>
      <w:r>
        <w:rPr/>
        <w:t>号）、《企业会计准则第</w:t>
      </w:r>
      <w:r>
        <w:rPr>
          <w:rFonts w:ascii="Times New Roman" w:hAnsi="Times New Roman" w:cs="Times New Roman" w:eastAsia="Times New Roman" w:hint="default"/>
        </w:rPr>
        <w:t>24</w:t>
      </w:r>
      <w:r>
        <w:rPr/>
        <w:t>号</w:t>
      </w:r>
      <w:r>
        <w:rPr>
          <w:rFonts w:ascii="Times New Roman" w:hAnsi="Times New Roman" w:cs="Times New Roman" w:eastAsia="Times New Roman" w:hint="default"/>
        </w:rPr>
        <w:t>——</w:t>
      </w:r>
      <w:r>
        <w:rPr/>
        <w:t>套期</w:t>
      </w:r>
      <w:r>
        <w:rPr>
          <w:spacing w:val="-3"/>
        </w:rPr>
        <w:t> </w:t>
      </w:r>
      <w:r>
        <w:rPr/>
        <w:t>会计（</w:t>
      </w:r>
      <w:r>
        <w:rPr>
          <w:rFonts w:ascii="Times New Roman" w:hAnsi="Times New Roman" w:cs="Times New Roman" w:eastAsia="Times New Roman" w:hint="default"/>
        </w:rPr>
        <w:t>2017</w:t>
      </w:r>
      <w:r>
        <w:rPr/>
        <w:t>年修订）》（财会〔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9</w:t>
      </w:r>
      <w:r>
        <w:rPr/>
        <w:t>号），于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w:t>
      </w:r>
      <w:r>
        <w:rPr/>
        <w:t>日发布了《企业会计准则第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w:t>
      </w:r>
      <w:r>
        <w:rPr>
          <w:rFonts w:ascii="Times New Roman" w:hAnsi="Times New Roman" w:cs="Times New Roman" w:eastAsia="Times New Roman" w:hint="default"/>
        </w:rPr>
        <w:t>2017</w:t>
      </w:r>
      <w:r>
        <w:rPr/>
        <w:t>年修</w:t>
      </w:r>
      <w:r>
        <w:rPr>
          <w:spacing w:val="-3"/>
        </w:rPr>
        <w:t> </w:t>
      </w:r>
      <w:r>
        <w:rPr/>
        <w:t>订）》（财会〔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14</w:t>
      </w:r>
      <w:r>
        <w:rPr/>
        <w:t>号）（上述准则以下统称</w:t>
      </w:r>
      <w:r>
        <w:rPr>
          <w:rFonts w:ascii="Times New Roman" w:hAnsi="Times New Roman" w:cs="Times New Roman" w:eastAsia="Times New Roman" w:hint="default"/>
        </w:rPr>
        <w:t>“</w:t>
      </w:r>
      <w:r>
        <w:rPr/>
        <w:t>新金融工具准则</w:t>
      </w:r>
      <w:r>
        <w:rPr>
          <w:rFonts w:ascii="Times New Roman" w:hAnsi="Times New Roman" w:cs="Times New Roman" w:eastAsia="Times New Roman" w:hint="default"/>
        </w:rPr>
        <w:t>”</w:t>
      </w:r>
      <w:r>
        <w:rPr/>
        <w:t>），要求在境内上市的企业自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日起执行。</w:t>
      </w:r>
    </w:p>
    <w:p>
      <w:pPr>
        <w:pStyle w:val="BodyText"/>
        <w:spacing w:line="477" w:lineRule="auto" w:before="43"/>
        <w:ind w:left="513" w:right="1129"/>
        <w:jc w:val="left"/>
      </w:pPr>
      <w:r>
        <w:rPr/>
        <w:t>经本公司第四届董事会第十三次会议决议通过，本公司按照财政部的要求时间开始执行前述新金融工具准则。 </w:t>
      </w:r>
      <w:r>
        <w:rPr>
          <w:spacing w:val="-2"/>
        </w:rPr>
        <w:t>在新金融工具准则下所有已确认金融资产其后续均按摊余成本或公允价值计量。在新金融工具准则施行日，以本公司该</w:t>
      </w:r>
    </w:p>
    <w:p>
      <w:pPr>
        <w:pStyle w:val="BodyText"/>
        <w:spacing w:line="477" w:lineRule="auto" w:before="54"/>
        <w:ind w:right="1034"/>
        <w:jc w:val="left"/>
      </w:pPr>
      <w:r>
        <w:rPr>
          <w:spacing w:val="-2"/>
        </w:rPr>
        <w:t>日既有事实和情况为基础评估管理金融资产的业务模式、以金融资产初始确认时的事实和情况为基础评估该金融资产上的合</w:t>
      </w:r>
      <w:r>
        <w:rPr>
          <w:spacing w:val="-64"/>
        </w:rPr>
        <w:t> </w:t>
      </w:r>
      <w:r>
        <w:rPr>
          <w:spacing w:val="-64"/>
        </w:rPr>
      </w:r>
      <w:r>
        <w:rPr>
          <w:spacing w:val="-2"/>
        </w:rPr>
        <w:t>同现金流量特征，将金融资产分为三类：按摊余成本计量、按公允价值计量且其变动计入其他综合收益及按公允价值计量且</w:t>
      </w:r>
      <w:r>
        <w:rPr>
          <w:spacing w:val="-64"/>
        </w:rPr>
        <w:t> </w:t>
      </w:r>
      <w:r>
        <w:rPr>
          <w:spacing w:val="-64"/>
        </w:rPr>
      </w:r>
      <w:r>
        <w:rPr/>
        <w:t>其变动计入当期损益。其中，对于按公允价值计量且其变动计入其他综合收益的权益工具投资，当该金融资产终止确认时， 之前计入其他综合收益的累计利得或损失将从其他综合收益转入留存收益，不计入当期损益。</w:t>
      </w:r>
    </w:p>
    <w:p>
      <w:pPr>
        <w:pStyle w:val="BodyText"/>
        <w:spacing w:line="477" w:lineRule="auto" w:before="54"/>
        <w:ind w:right="1130" w:firstLine="360"/>
        <w:jc w:val="both"/>
      </w:pPr>
      <w:r>
        <w:rPr>
          <w:spacing w:val="-2"/>
        </w:rPr>
        <w:t>在新金融工具准则下，本公司以预期信用损失为基础，对以摊余成本计量的金融资产、以公允价值计量且其变动计入其</w:t>
      </w:r>
      <w:r>
        <w:rPr/>
        <w:t> 他综合收益的债务工具投资、租赁应收款及财务担保合同计提减值准备并确认信用减值损失。</w:t>
      </w:r>
    </w:p>
    <w:p>
      <w:pPr>
        <w:pStyle w:val="BodyText"/>
        <w:spacing w:line="463" w:lineRule="auto" w:before="54"/>
        <w:ind w:right="1130" w:firstLine="360"/>
        <w:jc w:val="both"/>
      </w:pPr>
      <w:r>
        <w:rPr>
          <w:spacing w:val="-2"/>
        </w:rPr>
        <w:t>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日之前的金融工具确认和计量与新金融工具准则要求不一致的，本集团按照新金融工具准则的要求进行衔</w:t>
      </w:r>
      <w:r>
        <w:rPr/>
        <w:t> </w:t>
      </w:r>
      <w:r>
        <w:rPr>
          <w:spacing w:val="-2"/>
        </w:rPr>
        <w:t>接调整。涉及前期比较财务报表数据与新金融工具准则要求不一致的，本公司不进行调整。金融工具原账面价值和在新金融</w:t>
      </w:r>
      <w:r>
        <w:rPr>
          <w:spacing w:val="-63"/>
        </w:rPr>
        <w:t> </w:t>
      </w:r>
      <w:r>
        <w:rPr>
          <w:spacing w:val="-63"/>
        </w:rPr>
      </w:r>
      <w:r>
        <w:rPr/>
        <w:t>工具准则施行日的新账面价值之间的差额，计入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日的留存收益或其他综合收益。</w:t>
      </w:r>
    </w:p>
    <w:p>
      <w:pPr>
        <w:pStyle w:val="BodyText"/>
        <w:spacing w:line="240" w:lineRule="auto" w:before="34"/>
        <w:ind w:left="513" w:right="1133"/>
        <w:jc w:val="left"/>
      </w:pPr>
      <w:r>
        <w:rPr/>
        <w:t>（</w:t>
      </w:r>
      <w:r>
        <w:rPr>
          <w:rFonts w:ascii="Times New Roman" w:hAnsi="Times New Roman" w:cs="Times New Roman" w:eastAsia="Times New Roman" w:hint="default"/>
        </w:rPr>
        <w:t>1</w:t>
      </w:r>
      <w:r>
        <w:rPr/>
        <w:t>）与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日，金融资产按照修订前后金融工具确认和计量准则的规定进行分类和计量结果对比如下：</w:t>
      </w:r>
    </w:p>
    <w:p>
      <w:pPr>
        <w:spacing w:line="240" w:lineRule="auto" w:before="1"/>
        <w:rPr>
          <w:rFonts w:ascii="宋体" w:hAnsi="宋体" w:cs="宋体" w:eastAsia="宋体" w:hint="default"/>
          <w:sz w:val="10"/>
          <w:szCs w:val="10"/>
        </w:rPr>
      </w:pPr>
    </w:p>
    <w:tbl>
      <w:tblPr>
        <w:tblW w:w="0" w:type="auto"/>
        <w:jc w:val="left"/>
        <w:tblInd w:w="426" w:type="dxa"/>
        <w:tblLayout w:type="fixed"/>
        <w:tblCellMar>
          <w:top w:w="0" w:type="dxa"/>
          <w:left w:w="0" w:type="dxa"/>
          <w:bottom w:w="0" w:type="dxa"/>
          <w:right w:w="0" w:type="dxa"/>
        </w:tblCellMar>
        <w:tblLook w:val="01E0"/>
      </w:tblPr>
      <w:tblGrid>
        <w:gridCol w:w="2285"/>
        <w:gridCol w:w="1599"/>
        <w:gridCol w:w="1479"/>
        <w:gridCol w:w="1747"/>
        <w:gridCol w:w="1969"/>
      </w:tblGrid>
      <w:tr>
        <w:trPr>
          <w:trHeight w:val="348" w:hRule="exact"/>
        </w:trPr>
        <w:tc>
          <w:tcPr>
            <w:tcW w:w="2285"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66" w:right="0"/>
              <w:jc w:val="left"/>
              <w:rPr>
                <w:rFonts w:ascii="宋体" w:hAnsi="宋体" w:cs="宋体" w:eastAsia="宋体" w:hint="default"/>
                <w:sz w:val="18"/>
                <w:szCs w:val="18"/>
              </w:rPr>
            </w:pPr>
            <w:r>
              <w:rPr>
                <w:rFonts w:ascii="宋体" w:hAnsi="宋体" w:cs="宋体" w:eastAsia="宋体" w:hint="default"/>
                <w:b/>
                <w:bCs/>
                <w:sz w:val="18"/>
                <w:szCs w:val="18"/>
              </w:rPr>
              <w:t>修订前金融工具确认和计量准则</w:t>
            </w:r>
            <w:r>
              <w:rPr>
                <w:rFonts w:ascii="宋体" w:hAnsi="宋体" w:cs="宋体" w:eastAsia="宋体" w:hint="default"/>
                <w:sz w:val="18"/>
                <w:szCs w:val="18"/>
              </w:rPr>
            </w:r>
          </w:p>
        </w:tc>
        <w:tc>
          <w:tcPr>
            <w:tcW w:w="37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87" w:right="0"/>
              <w:jc w:val="left"/>
              <w:rPr>
                <w:rFonts w:ascii="宋体" w:hAnsi="宋体" w:cs="宋体" w:eastAsia="宋体" w:hint="default"/>
                <w:sz w:val="18"/>
                <w:szCs w:val="18"/>
              </w:rPr>
            </w:pPr>
            <w:r>
              <w:rPr>
                <w:rFonts w:ascii="宋体" w:hAnsi="宋体" w:cs="宋体" w:eastAsia="宋体" w:hint="default"/>
                <w:b/>
                <w:bCs/>
                <w:sz w:val="18"/>
                <w:szCs w:val="18"/>
              </w:rPr>
              <w:t>修订后金融工具确认和计量准则</w:t>
            </w:r>
            <w:r>
              <w:rPr>
                <w:rFonts w:ascii="宋体" w:hAnsi="宋体" w:cs="宋体" w:eastAsia="宋体" w:hint="default"/>
                <w:sz w:val="18"/>
                <w:szCs w:val="18"/>
              </w:rPr>
            </w:r>
          </w:p>
        </w:tc>
      </w:tr>
      <w:tr>
        <w:trPr>
          <w:trHeight w:val="346" w:hRule="exact"/>
        </w:trPr>
        <w:tc>
          <w:tcPr>
            <w:tcW w:w="2285" w:type="dxa"/>
            <w:vMerge/>
            <w:tcBorders>
              <w:left w:val="single" w:sz="6" w:space="0" w:color="000000"/>
              <w:bottom w:val="single" w:sz="6" w:space="0" w:color="000000"/>
              <w:right w:val="single" w:sz="6"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430"/>
              <w:jc w:val="right"/>
              <w:rPr>
                <w:rFonts w:ascii="宋体" w:hAnsi="宋体" w:cs="宋体" w:eastAsia="宋体" w:hint="default"/>
                <w:sz w:val="18"/>
                <w:szCs w:val="18"/>
              </w:rPr>
            </w:pPr>
            <w:r>
              <w:rPr>
                <w:rFonts w:ascii="宋体" w:hAnsi="宋体" w:cs="宋体" w:eastAsia="宋体" w:hint="default"/>
                <w:b/>
                <w:bCs/>
                <w:w w:val="95"/>
                <w:sz w:val="18"/>
                <w:szCs w:val="18"/>
              </w:rPr>
              <w:t>计量类别</w:t>
            </w:r>
            <w:r>
              <w:rPr>
                <w:rFonts w:ascii="宋体" w:hAnsi="宋体" w:cs="宋体" w:eastAsia="宋体" w:hint="default"/>
                <w:sz w:val="18"/>
                <w:szCs w:val="18"/>
              </w:rPr>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72"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06" w:right="0"/>
              <w:jc w:val="left"/>
              <w:rPr>
                <w:rFonts w:ascii="宋体" w:hAnsi="宋体" w:cs="宋体" w:eastAsia="宋体" w:hint="default"/>
                <w:sz w:val="18"/>
                <w:szCs w:val="18"/>
              </w:rPr>
            </w:pPr>
            <w:r>
              <w:rPr>
                <w:rFonts w:ascii="宋体" w:hAnsi="宋体" w:cs="宋体" w:eastAsia="宋体" w:hint="default"/>
                <w:b/>
                <w:bCs/>
                <w:sz w:val="18"/>
                <w:szCs w:val="18"/>
              </w:rPr>
              <w:t>计量类别</w:t>
            </w:r>
            <w:r>
              <w:rPr>
                <w:rFonts w:ascii="宋体" w:hAnsi="宋体" w:cs="宋体" w:eastAsia="宋体" w:hint="default"/>
                <w:sz w:val="18"/>
                <w:szCs w:val="18"/>
              </w:rPr>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15"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348" w:hRule="exact"/>
        </w:trPr>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431"/>
              <w:jc w:val="right"/>
              <w:rPr>
                <w:rFonts w:ascii="宋体" w:hAnsi="宋体" w:cs="宋体" w:eastAsia="宋体" w:hint="default"/>
                <w:sz w:val="18"/>
                <w:szCs w:val="18"/>
              </w:rPr>
            </w:pPr>
            <w:r>
              <w:rPr>
                <w:rFonts w:ascii="宋体" w:hAnsi="宋体" w:cs="宋体" w:eastAsia="宋体" w:hint="default"/>
                <w:sz w:val="18"/>
                <w:szCs w:val="18"/>
              </w:rPr>
              <w:t>摊余成本</w:t>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115,708,365.92</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08"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115,708,365.92</w:t>
            </w:r>
          </w:p>
        </w:tc>
      </w:tr>
      <w:tr>
        <w:trPr>
          <w:trHeight w:val="346" w:hRule="exact"/>
        </w:trPr>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431"/>
              <w:jc w:val="right"/>
              <w:rPr>
                <w:rFonts w:ascii="宋体" w:hAnsi="宋体" w:cs="宋体" w:eastAsia="宋体" w:hint="default"/>
                <w:sz w:val="18"/>
                <w:szCs w:val="18"/>
              </w:rPr>
            </w:pPr>
            <w:r>
              <w:rPr>
                <w:rFonts w:ascii="宋体" w:hAnsi="宋体" w:cs="宋体" w:eastAsia="宋体" w:hint="default"/>
                <w:sz w:val="18"/>
                <w:szCs w:val="18"/>
              </w:rPr>
              <w:t>摊余成本</w:t>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861,938.00</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08"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861,938.00</w:t>
            </w:r>
          </w:p>
        </w:tc>
      </w:tr>
      <w:tr>
        <w:trPr>
          <w:trHeight w:val="348" w:hRule="exact"/>
        </w:trPr>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431"/>
              <w:jc w:val="right"/>
              <w:rPr>
                <w:rFonts w:ascii="宋体" w:hAnsi="宋体" w:cs="宋体" w:eastAsia="宋体" w:hint="default"/>
                <w:sz w:val="18"/>
                <w:szCs w:val="18"/>
              </w:rPr>
            </w:pPr>
            <w:r>
              <w:rPr>
                <w:rFonts w:ascii="宋体" w:hAnsi="宋体" w:cs="宋体" w:eastAsia="宋体" w:hint="default"/>
                <w:sz w:val="18"/>
                <w:szCs w:val="18"/>
              </w:rPr>
              <w:t>摊余成本</w:t>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1,226,940.39</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08"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1,226,940.39</w:t>
            </w:r>
          </w:p>
        </w:tc>
      </w:tr>
    </w:tbl>
    <w:p>
      <w:pPr>
        <w:pStyle w:val="BodyText"/>
        <w:spacing w:line="451" w:lineRule="auto" w:before="87"/>
        <w:ind w:right="1126" w:firstLine="358"/>
        <w:jc w:val="left"/>
      </w:pPr>
      <w:r>
        <w:rPr/>
        <w:t>（</w:t>
      </w:r>
      <w:r>
        <w:rPr>
          <w:rFonts w:ascii="Times New Roman" w:hAnsi="Times New Roman" w:cs="Times New Roman" w:eastAsia="Times New Roman" w:hint="default"/>
        </w:rPr>
        <w:t>2</w:t>
      </w:r>
      <w:r>
        <w:rPr/>
        <w:t>）与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日，原金融资产账面价值调整为按照修订后金融工具确认和计量准则的规定进行分类和计量的新金 融资产账面价值的调节表如下：</w:t>
      </w:r>
    </w:p>
    <w:tbl>
      <w:tblPr>
        <w:tblW w:w="0" w:type="auto"/>
        <w:jc w:val="left"/>
        <w:tblInd w:w="374" w:type="dxa"/>
        <w:tblLayout w:type="fixed"/>
        <w:tblCellMar>
          <w:top w:w="0" w:type="dxa"/>
          <w:left w:w="0" w:type="dxa"/>
          <w:bottom w:w="0" w:type="dxa"/>
          <w:right w:w="0" w:type="dxa"/>
        </w:tblCellMar>
        <w:tblLook w:val="01E0"/>
      </w:tblPr>
      <w:tblGrid>
        <w:gridCol w:w="1836"/>
        <w:gridCol w:w="2269"/>
        <w:gridCol w:w="1572"/>
        <w:gridCol w:w="1716"/>
        <w:gridCol w:w="1789"/>
      </w:tblGrid>
      <w:tr>
        <w:trPr>
          <w:trHeight w:val="1285" w:hRule="exact"/>
        </w:trPr>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319" w:lineRule="auto"/>
              <w:ind w:left="43" w:right="40"/>
              <w:jc w:val="center"/>
              <w:rPr>
                <w:rFonts w:ascii="宋体" w:hAnsi="宋体" w:cs="宋体" w:eastAsia="宋体" w:hint="default"/>
                <w:sz w:val="18"/>
                <w:szCs w:val="18"/>
              </w:rPr>
            </w:pPr>
            <w:r>
              <w:rPr>
                <w:rFonts w:ascii="宋体" w:hAnsi="宋体" w:cs="宋体" w:eastAsia="宋体" w:hint="default"/>
                <w:b/>
                <w:bCs/>
                <w:sz w:val="18"/>
                <w:szCs w:val="18"/>
              </w:rPr>
              <w:t>按修订前金融工具确认和计</w:t>
            </w:r>
            <w:r>
              <w:rPr>
                <w:rFonts w:ascii="宋体" w:hAnsi="宋体" w:cs="宋体" w:eastAsia="宋体" w:hint="default"/>
                <w:b/>
                <w:bCs/>
                <w:w w:val="99"/>
                <w:sz w:val="18"/>
                <w:szCs w:val="18"/>
              </w:rPr>
              <w:t> </w:t>
            </w:r>
            <w:r>
              <w:rPr>
                <w:rFonts w:ascii="宋体" w:hAnsi="宋体" w:cs="宋体" w:eastAsia="宋体" w:hint="default"/>
                <w:b/>
                <w:bCs/>
                <w:sz w:val="18"/>
                <w:szCs w:val="18"/>
              </w:rPr>
              <w:t>量准则列示的账面价值</w:t>
            </w:r>
            <w:r>
              <w:rPr>
                <w:rFonts w:ascii="宋体" w:hAnsi="宋体" w:cs="宋体" w:eastAsia="宋体" w:hint="default"/>
                <w:b/>
                <w:bCs/>
                <w:w w:val="99"/>
                <w:sz w:val="18"/>
                <w:szCs w:val="18"/>
              </w:rPr>
              <w:t> </w:t>
            </w:r>
            <w:r>
              <w:rPr>
                <w:rFonts w:ascii="Times New Roman" w:hAnsi="Times New Roman" w:cs="Times New Roman" w:eastAsia="Times New Roman" w:hint="default"/>
                <w:b/>
                <w:bCs/>
                <w:sz w:val="18"/>
                <w:szCs w:val="18"/>
              </w:rPr>
              <w:t>2018</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w:t>
            </w:r>
            <w:r>
              <w:rPr>
                <w:rFonts w:ascii="宋体" w:hAnsi="宋体" w:cs="宋体" w:eastAsia="宋体" w:hint="default"/>
                <w:sz w:val="18"/>
                <w:szCs w:val="18"/>
              </w:rPr>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08" w:right="0"/>
              <w:jc w:val="left"/>
              <w:rPr>
                <w:rFonts w:ascii="宋体" w:hAnsi="宋体" w:cs="宋体" w:eastAsia="宋体" w:hint="default"/>
                <w:sz w:val="18"/>
                <w:szCs w:val="18"/>
              </w:rPr>
            </w:pPr>
            <w:r>
              <w:rPr>
                <w:rFonts w:ascii="宋体" w:hAnsi="宋体" w:cs="宋体" w:eastAsia="宋体" w:hint="default"/>
                <w:b/>
                <w:bCs/>
                <w:sz w:val="18"/>
                <w:szCs w:val="18"/>
              </w:rPr>
              <w:t>重分类</w:t>
            </w:r>
            <w:r>
              <w:rPr>
                <w:rFonts w:ascii="宋体" w:hAnsi="宋体" w:cs="宋体" w:eastAsia="宋体" w:hint="default"/>
                <w:sz w:val="18"/>
                <w:szCs w:val="18"/>
              </w:rPr>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91" w:right="0"/>
              <w:jc w:val="left"/>
              <w:rPr>
                <w:rFonts w:ascii="宋体" w:hAnsi="宋体" w:cs="宋体" w:eastAsia="宋体" w:hint="default"/>
                <w:sz w:val="18"/>
                <w:szCs w:val="18"/>
              </w:rPr>
            </w:pPr>
            <w:r>
              <w:rPr>
                <w:rFonts w:ascii="宋体" w:hAnsi="宋体" w:cs="宋体" w:eastAsia="宋体" w:hint="default"/>
                <w:b/>
                <w:bCs/>
                <w:sz w:val="18"/>
                <w:szCs w:val="18"/>
              </w:rPr>
              <w:t>重新计量</w:t>
            </w:r>
            <w:r>
              <w:rPr>
                <w:rFonts w:ascii="宋体" w:hAnsi="宋体" w:cs="宋体" w:eastAsia="宋体" w:hint="default"/>
                <w:sz w:val="18"/>
                <w:szCs w:val="18"/>
              </w:rPr>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7"/>
              <w:ind w:left="74" w:right="71"/>
              <w:jc w:val="center"/>
              <w:rPr>
                <w:rFonts w:ascii="宋体" w:hAnsi="宋体" w:cs="宋体" w:eastAsia="宋体" w:hint="default"/>
                <w:sz w:val="18"/>
                <w:szCs w:val="18"/>
              </w:rPr>
            </w:pPr>
            <w:r>
              <w:rPr>
                <w:rFonts w:ascii="宋体" w:hAnsi="宋体" w:cs="宋体" w:eastAsia="宋体" w:hint="default"/>
                <w:b/>
                <w:bCs/>
                <w:sz w:val="18"/>
                <w:szCs w:val="18"/>
              </w:rPr>
              <w:t>按新金融工具确认和</w:t>
            </w:r>
            <w:r>
              <w:rPr>
                <w:rFonts w:ascii="宋体" w:hAnsi="宋体" w:cs="宋体" w:eastAsia="宋体" w:hint="default"/>
                <w:b/>
                <w:bCs/>
                <w:w w:val="99"/>
                <w:sz w:val="18"/>
                <w:szCs w:val="18"/>
              </w:rPr>
              <w:t> </w:t>
            </w:r>
            <w:r>
              <w:rPr>
                <w:rFonts w:ascii="宋体" w:hAnsi="宋体" w:cs="宋体" w:eastAsia="宋体" w:hint="default"/>
                <w:b/>
                <w:bCs/>
                <w:sz w:val="18"/>
                <w:szCs w:val="18"/>
              </w:rPr>
              <w:t>计量准则列示的账面</w:t>
            </w:r>
            <w:r>
              <w:rPr>
                <w:rFonts w:ascii="宋体" w:hAnsi="宋体" w:cs="宋体" w:eastAsia="宋体" w:hint="default"/>
                <w:b/>
                <w:bCs/>
                <w:w w:val="99"/>
                <w:sz w:val="18"/>
                <w:szCs w:val="18"/>
              </w:rPr>
              <w:t> </w:t>
            </w:r>
            <w:r>
              <w:rPr>
                <w:rFonts w:ascii="宋体" w:hAnsi="宋体" w:cs="宋体" w:eastAsia="宋体" w:hint="default"/>
                <w:b/>
                <w:bCs/>
                <w:sz w:val="18"/>
                <w:szCs w:val="18"/>
              </w:rPr>
              <w:t>价值</w:t>
            </w:r>
            <w:r>
              <w:rPr>
                <w:rFonts w:ascii="宋体" w:hAnsi="宋体" w:cs="宋体" w:eastAsia="宋体" w:hint="default"/>
                <w:sz w:val="18"/>
                <w:szCs w:val="18"/>
              </w:rPr>
            </w:r>
          </w:p>
          <w:p>
            <w:pPr>
              <w:pStyle w:val="TableParagraph"/>
              <w:spacing w:line="240" w:lineRule="auto" w:before="17"/>
              <w:ind w:left="5"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346" w:hRule="exact"/>
        </w:trPr>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18"/>
                <w:szCs w:val="18"/>
              </w:rPr>
            </w:pPr>
            <w:r>
              <w:rPr>
                <w:rFonts w:ascii="Times New Roman"/>
                <w:spacing w:val="-1"/>
                <w:sz w:val="18"/>
              </w:rPr>
              <w:t>115,708,365.92</w:t>
            </w:r>
          </w:p>
        </w:tc>
        <w:tc>
          <w:tcPr>
            <w:tcW w:w="1572" w:type="dxa"/>
            <w:tcBorders>
              <w:top w:val="single" w:sz="6" w:space="0" w:color="000000"/>
              <w:left w:val="single" w:sz="6" w:space="0" w:color="000000"/>
              <w:bottom w:val="single" w:sz="6" w:space="0" w:color="000000"/>
              <w:right w:val="single" w:sz="6" w:space="0" w:color="000000"/>
            </w:tcBorders>
          </w:tcPr>
          <w:p>
            <w:pPr/>
          </w:p>
        </w:tc>
        <w:tc>
          <w:tcPr>
            <w:tcW w:w="1716"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18"/>
                <w:szCs w:val="18"/>
              </w:rPr>
            </w:pPr>
            <w:r>
              <w:rPr>
                <w:rFonts w:ascii="Times New Roman"/>
                <w:spacing w:val="-1"/>
                <w:sz w:val="18"/>
              </w:rPr>
              <w:t>115,708,365.92</w:t>
            </w:r>
          </w:p>
        </w:tc>
      </w:tr>
      <w:tr>
        <w:trPr>
          <w:trHeight w:val="348" w:hRule="exact"/>
        </w:trPr>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right"/>
              <w:rPr>
                <w:rFonts w:ascii="Times New Roman" w:hAnsi="Times New Roman" w:cs="Times New Roman" w:eastAsia="Times New Roman" w:hint="default"/>
                <w:sz w:val="18"/>
                <w:szCs w:val="18"/>
              </w:rPr>
            </w:pPr>
            <w:r>
              <w:rPr>
                <w:rFonts w:ascii="Times New Roman"/>
                <w:spacing w:val="-1"/>
                <w:sz w:val="18"/>
              </w:rPr>
              <w:t>1,226,940.39</w:t>
            </w:r>
          </w:p>
        </w:tc>
        <w:tc>
          <w:tcPr>
            <w:tcW w:w="1572" w:type="dxa"/>
            <w:tcBorders>
              <w:top w:val="single" w:sz="6" w:space="0" w:color="000000"/>
              <w:left w:val="single" w:sz="6" w:space="0" w:color="000000"/>
              <w:bottom w:val="single" w:sz="6" w:space="0" w:color="000000"/>
              <w:right w:val="single" w:sz="6" w:space="0" w:color="000000"/>
            </w:tcBorders>
          </w:tcPr>
          <w:p>
            <w:pPr/>
          </w:p>
        </w:tc>
        <w:tc>
          <w:tcPr>
            <w:tcW w:w="1716"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right"/>
              <w:rPr>
                <w:rFonts w:ascii="Times New Roman" w:hAnsi="Times New Roman" w:cs="Times New Roman" w:eastAsia="Times New Roman" w:hint="default"/>
                <w:sz w:val="18"/>
                <w:szCs w:val="18"/>
              </w:rPr>
            </w:pPr>
            <w:r>
              <w:rPr>
                <w:rFonts w:ascii="Times New Roman"/>
                <w:spacing w:val="-1"/>
                <w:sz w:val="18"/>
              </w:rPr>
              <w:t>1,226,940.39</w:t>
            </w:r>
          </w:p>
        </w:tc>
      </w:tr>
      <w:tr>
        <w:trPr>
          <w:trHeight w:val="346" w:hRule="exact"/>
        </w:trPr>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18"/>
                <w:szCs w:val="18"/>
              </w:rPr>
            </w:pPr>
            <w:r>
              <w:rPr>
                <w:rFonts w:ascii="Times New Roman"/>
                <w:spacing w:val="-1"/>
                <w:sz w:val="18"/>
              </w:rPr>
              <w:t>29,377,168.51</w:t>
            </w:r>
          </w:p>
        </w:tc>
        <w:tc>
          <w:tcPr>
            <w:tcW w:w="1572" w:type="dxa"/>
            <w:tcBorders>
              <w:top w:val="single" w:sz="6" w:space="0" w:color="000000"/>
              <w:left w:val="single" w:sz="6" w:space="0" w:color="000000"/>
              <w:bottom w:val="single" w:sz="6" w:space="0" w:color="000000"/>
              <w:right w:val="single" w:sz="6" w:space="0" w:color="000000"/>
            </w:tcBorders>
          </w:tcPr>
          <w:p>
            <w:pPr/>
          </w:p>
        </w:tc>
        <w:tc>
          <w:tcPr>
            <w:tcW w:w="1716"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宋体" w:hAnsi="宋体" w:cs="宋体" w:eastAsia="宋体" w:hint="default"/>
                <w:sz w:val="18"/>
                <w:szCs w:val="18"/>
              </w:rPr>
              <w:t>减：转出至其他权益工</w:t>
            </w:r>
          </w:p>
        </w:tc>
        <w:tc>
          <w:tcPr>
            <w:tcW w:w="2269" w:type="dxa"/>
            <w:tcBorders>
              <w:top w:val="single" w:sz="6" w:space="0" w:color="000000"/>
              <w:left w:val="single" w:sz="6" w:space="0" w:color="000000"/>
              <w:bottom w:val="single" w:sz="6" w:space="0" w:color="000000"/>
              <w:right w:val="single" w:sz="6" w:space="0" w:color="000000"/>
            </w:tcBorders>
          </w:tcPr>
          <w:p>
            <w:pP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520" w:right="0"/>
              <w:jc w:val="left"/>
              <w:rPr>
                <w:rFonts w:ascii="Times New Roman" w:hAnsi="Times New Roman" w:cs="Times New Roman" w:eastAsia="Times New Roman" w:hint="default"/>
                <w:sz w:val="18"/>
                <w:szCs w:val="18"/>
              </w:rPr>
            </w:pPr>
            <w:r>
              <w:rPr>
                <w:rFonts w:ascii="Times New Roman"/>
                <w:sz w:val="18"/>
              </w:rPr>
              <w:t>29,377,168.51</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755" w:right="-1"/>
              <w:jc w:val="left"/>
              <w:rPr>
                <w:rFonts w:ascii="Times New Roman" w:hAnsi="Times New Roman" w:cs="Times New Roman" w:eastAsia="Times New Roman" w:hint="default"/>
                <w:sz w:val="18"/>
                <w:szCs w:val="18"/>
              </w:rPr>
            </w:pPr>
            <w:r>
              <w:rPr>
                <w:rFonts w:ascii="Times New Roman"/>
                <w:sz w:val="18"/>
              </w:rPr>
              <w:t>3,678,855.23</w:t>
            </w:r>
          </w:p>
        </w:tc>
        <w:tc>
          <w:tcPr>
            <w:tcW w:w="1789"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374" w:type="dxa"/>
        <w:tblLayout w:type="fixed"/>
        <w:tblCellMar>
          <w:top w:w="0" w:type="dxa"/>
          <w:left w:w="0" w:type="dxa"/>
          <w:bottom w:w="0" w:type="dxa"/>
          <w:right w:w="0" w:type="dxa"/>
        </w:tblCellMar>
        <w:tblLook w:val="01E0"/>
      </w:tblPr>
      <w:tblGrid>
        <w:gridCol w:w="1836"/>
        <w:gridCol w:w="2269"/>
        <w:gridCol w:w="1572"/>
        <w:gridCol w:w="1716"/>
        <w:gridCol w:w="1789"/>
      </w:tblGrid>
      <w:tr>
        <w:trPr>
          <w:trHeight w:val="348" w:hRule="exact"/>
        </w:trPr>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具投资</w:t>
            </w:r>
          </w:p>
        </w:tc>
        <w:tc>
          <w:tcPr>
            <w:tcW w:w="2269" w:type="dxa"/>
            <w:tcBorders>
              <w:top w:val="single" w:sz="6" w:space="0" w:color="000000"/>
              <w:left w:val="single" w:sz="6" w:space="0" w:color="000000"/>
              <w:bottom w:val="single" w:sz="6" w:space="0" w:color="000000"/>
              <w:right w:val="single" w:sz="6" w:space="0" w:color="000000"/>
            </w:tcBorders>
          </w:tcPr>
          <w:p>
            <w:pPr/>
          </w:p>
        </w:tc>
        <w:tc>
          <w:tcPr>
            <w:tcW w:w="1572" w:type="dxa"/>
            <w:tcBorders>
              <w:top w:val="single" w:sz="6" w:space="0" w:color="000000"/>
              <w:left w:val="single" w:sz="6" w:space="0" w:color="000000"/>
              <w:bottom w:val="single" w:sz="6" w:space="0" w:color="000000"/>
              <w:right w:val="single" w:sz="6" w:space="0" w:color="000000"/>
            </w:tcBorders>
          </w:tcPr>
          <w:p>
            <w:pPr/>
          </w:p>
        </w:tc>
        <w:tc>
          <w:tcPr>
            <w:tcW w:w="1716"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269" w:type="dxa"/>
            <w:tcBorders>
              <w:top w:val="single" w:sz="6" w:space="0" w:color="000000"/>
              <w:left w:val="single" w:sz="6" w:space="0" w:color="000000"/>
              <w:bottom w:val="single" w:sz="6" w:space="0" w:color="000000"/>
              <w:right w:val="single" w:sz="6" w:space="0" w:color="000000"/>
            </w:tcBorders>
          </w:tcPr>
          <w:p>
            <w:pPr/>
          </w:p>
        </w:tc>
        <w:tc>
          <w:tcPr>
            <w:tcW w:w="1572" w:type="dxa"/>
            <w:tcBorders>
              <w:top w:val="single" w:sz="6" w:space="0" w:color="000000"/>
              <w:left w:val="single" w:sz="6" w:space="0" w:color="000000"/>
              <w:bottom w:val="single" w:sz="6" w:space="0" w:color="000000"/>
              <w:right w:val="single" w:sz="6" w:space="0" w:color="000000"/>
            </w:tcBorders>
          </w:tcPr>
          <w:p>
            <w:pPr/>
          </w:p>
        </w:tc>
        <w:tc>
          <w:tcPr>
            <w:tcW w:w="1716"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33,056,023.74</w:t>
            </w:r>
          </w:p>
        </w:tc>
      </w:tr>
      <w:tr>
        <w:trPr>
          <w:trHeight w:val="348" w:hRule="exact"/>
        </w:trPr>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128" w:right="0"/>
              <w:jc w:val="left"/>
              <w:rPr>
                <w:rFonts w:ascii="Times New Roman" w:hAnsi="Times New Roman" w:cs="Times New Roman" w:eastAsia="Times New Roman" w:hint="default"/>
                <w:sz w:val="18"/>
                <w:szCs w:val="18"/>
              </w:rPr>
            </w:pPr>
            <w:r>
              <w:rPr>
                <w:rFonts w:ascii="Times New Roman"/>
                <w:sz w:val="18"/>
              </w:rPr>
              <w:t>108,673,282.01</w:t>
            </w:r>
          </w:p>
        </w:tc>
        <w:tc>
          <w:tcPr>
            <w:tcW w:w="1572" w:type="dxa"/>
            <w:tcBorders>
              <w:top w:val="single" w:sz="6" w:space="0" w:color="000000"/>
              <w:left w:val="single" w:sz="6" w:space="0" w:color="000000"/>
              <w:bottom w:val="single" w:sz="6" w:space="0" w:color="000000"/>
              <w:right w:val="single" w:sz="6" w:space="0" w:color="000000"/>
            </w:tcBorders>
          </w:tcPr>
          <w:p>
            <w:pPr/>
          </w:p>
        </w:tc>
        <w:tc>
          <w:tcPr>
            <w:tcW w:w="1716"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r>
      <w:tr>
        <w:trPr>
          <w:trHeight w:val="658" w:hRule="exact"/>
        </w:trPr>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4"/>
              <w:jc w:val="left"/>
              <w:rPr>
                <w:rFonts w:ascii="宋体" w:hAnsi="宋体" w:cs="宋体" w:eastAsia="宋体" w:hint="default"/>
                <w:sz w:val="18"/>
                <w:szCs w:val="18"/>
              </w:rPr>
            </w:pPr>
            <w:r>
              <w:rPr>
                <w:rFonts w:ascii="宋体" w:hAnsi="宋体" w:cs="宋体" w:eastAsia="宋体" w:hint="default"/>
                <w:sz w:val="18"/>
                <w:szCs w:val="18"/>
              </w:rPr>
              <w:t>减：转出至一年内到期 的非流动资产</w:t>
            </w:r>
          </w:p>
        </w:tc>
        <w:tc>
          <w:tcPr>
            <w:tcW w:w="2269" w:type="dxa"/>
            <w:tcBorders>
              <w:top w:val="single" w:sz="6" w:space="0" w:color="000000"/>
              <w:left w:val="single" w:sz="6" w:space="0" w:color="000000"/>
              <w:bottom w:val="single" w:sz="6" w:space="0" w:color="000000"/>
              <w:right w:val="single" w:sz="6" w:space="0" w:color="000000"/>
            </w:tcBorders>
          </w:tcPr>
          <w:p>
            <w:pP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29" w:right="0"/>
              <w:jc w:val="left"/>
              <w:rPr>
                <w:rFonts w:ascii="Times New Roman" w:hAnsi="Times New Roman" w:cs="Times New Roman" w:eastAsia="Times New Roman" w:hint="default"/>
                <w:sz w:val="18"/>
                <w:szCs w:val="18"/>
              </w:rPr>
            </w:pPr>
            <w:r>
              <w:rPr>
                <w:rFonts w:ascii="Times New Roman"/>
                <w:sz w:val="18"/>
              </w:rPr>
              <w:t>103,253,200.00</w:t>
            </w:r>
          </w:p>
        </w:tc>
        <w:tc>
          <w:tcPr>
            <w:tcW w:w="1716"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4"/>
              <w:jc w:val="left"/>
              <w:rPr>
                <w:rFonts w:ascii="宋体" w:hAnsi="宋体" w:cs="宋体" w:eastAsia="宋体" w:hint="default"/>
                <w:sz w:val="18"/>
                <w:szCs w:val="18"/>
              </w:rPr>
            </w:pPr>
            <w:r>
              <w:rPr>
                <w:rFonts w:ascii="宋体" w:hAnsi="宋体" w:cs="宋体" w:eastAsia="宋体" w:hint="default"/>
                <w:sz w:val="18"/>
                <w:szCs w:val="18"/>
              </w:rPr>
              <w:t>一年内到期的非流动资 产</w:t>
            </w:r>
          </w:p>
        </w:tc>
        <w:tc>
          <w:tcPr>
            <w:tcW w:w="2269" w:type="dxa"/>
            <w:tcBorders>
              <w:top w:val="single" w:sz="6" w:space="0" w:color="000000"/>
              <w:left w:val="single" w:sz="6" w:space="0" w:color="000000"/>
              <w:bottom w:val="single" w:sz="6" w:space="0" w:color="000000"/>
              <w:right w:val="single" w:sz="6" w:space="0" w:color="000000"/>
            </w:tcBorders>
          </w:tcPr>
          <w:p>
            <w:pPr/>
          </w:p>
        </w:tc>
        <w:tc>
          <w:tcPr>
            <w:tcW w:w="1572" w:type="dxa"/>
            <w:tcBorders>
              <w:top w:val="single" w:sz="6" w:space="0" w:color="000000"/>
              <w:left w:val="single" w:sz="6" w:space="0" w:color="000000"/>
              <w:bottom w:val="single" w:sz="6" w:space="0" w:color="000000"/>
              <w:right w:val="single" w:sz="6" w:space="0" w:color="000000"/>
            </w:tcBorders>
          </w:tcPr>
          <w:p>
            <w:pPr/>
          </w:p>
        </w:tc>
        <w:tc>
          <w:tcPr>
            <w:tcW w:w="1716"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103,253,200.00</w:t>
            </w:r>
          </w:p>
        </w:tc>
      </w:tr>
      <w:tr>
        <w:trPr>
          <w:trHeight w:val="348" w:hRule="exact"/>
        </w:trPr>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269" w:type="dxa"/>
            <w:tcBorders>
              <w:top w:val="single" w:sz="6" w:space="0" w:color="000000"/>
              <w:left w:val="single" w:sz="6" w:space="0" w:color="000000"/>
              <w:bottom w:val="single" w:sz="6" w:space="0" w:color="000000"/>
              <w:right w:val="single" w:sz="6" w:space="0" w:color="000000"/>
            </w:tcBorders>
          </w:tcPr>
          <w:p>
            <w:pPr/>
          </w:p>
        </w:tc>
        <w:tc>
          <w:tcPr>
            <w:tcW w:w="1572" w:type="dxa"/>
            <w:tcBorders>
              <w:top w:val="single" w:sz="6" w:space="0" w:color="000000"/>
              <w:left w:val="single" w:sz="6" w:space="0" w:color="000000"/>
              <w:bottom w:val="single" w:sz="6" w:space="0" w:color="000000"/>
              <w:right w:val="single" w:sz="6" w:space="0" w:color="000000"/>
            </w:tcBorders>
          </w:tcPr>
          <w:p>
            <w:pPr/>
          </w:p>
        </w:tc>
        <w:tc>
          <w:tcPr>
            <w:tcW w:w="1716"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5,420,082.01</w:t>
            </w:r>
          </w:p>
        </w:tc>
      </w:tr>
    </w:tbl>
    <w:p>
      <w:pPr>
        <w:pStyle w:val="Heading4"/>
        <w:spacing w:line="240" w:lineRule="auto" w:before="87"/>
        <w:ind w:right="1133"/>
        <w:jc w:val="left"/>
        <w:rPr>
          <w:b w:val="0"/>
          <w:bCs w:val="0"/>
        </w:rPr>
      </w:pPr>
      <w:r>
        <w:rPr/>
        <w:t>注释：</w:t>
      </w:r>
      <w:r>
        <w:rPr>
          <w:b w:val="0"/>
          <w:bCs w:val="0"/>
        </w:rPr>
      </w:r>
    </w:p>
    <w:p>
      <w:pPr>
        <w:spacing w:line="240" w:lineRule="auto" w:before="10"/>
        <w:rPr>
          <w:rFonts w:ascii="宋体" w:hAnsi="宋体" w:cs="宋体" w:eastAsia="宋体" w:hint="default"/>
          <w:b/>
          <w:bCs/>
          <w:sz w:val="17"/>
          <w:szCs w:val="17"/>
        </w:rPr>
      </w:pPr>
    </w:p>
    <w:p>
      <w:pPr>
        <w:pStyle w:val="BodyText"/>
        <w:spacing w:line="451" w:lineRule="auto"/>
        <w:ind w:right="1164" w:firstLine="360"/>
        <w:jc w:val="left"/>
      </w:pPr>
      <w:r>
        <w:rPr/>
        <w:t>①可供出售金融资产</w:t>
      </w:r>
      <w:r>
        <w:rPr>
          <w:rFonts w:ascii="Times New Roman" w:hAnsi="Times New Roman" w:cs="Times New Roman" w:eastAsia="Times New Roman" w:hint="default"/>
        </w:rPr>
        <w:t>/</w:t>
      </w:r>
      <w:r>
        <w:rPr/>
        <w:t>其他权益工具投资的调整：将原计入可供出售金融资产的非交易性权益工具投资调整至以公允价 值计量且其变动计入其他综合收益的其他权益工具投资；</w:t>
      </w:r>
    </w:p>
    <w:p>
      <w:pPr>
        <w:pStyle w:val="BodyText"/>
        <w:spacing w:line="451" w:lineRule="auto" w:before="74"/>
        <w:ind w:right="1164" w:firstLine="360"/>
        <w:jc w:val="left"/>
      </w:pPr>
      <w:r>
        <w:rPr/>
        <w:t>②其他流动资产</w:t>
      </w:r>
      <w:r>
        <w:rPr>
          <w:rFonts w:ascii="Times New Roman" w:hAnsi="Times New Roman" w:cs="Times New Roman" w:eastAsia="Times New Roman" w:hint="default"/>
        </w:rPr>
        <w:t>/</w:t>
      </w:r>
      <w:r>
        <w:rPr/>
        <w:t>一年内到期的非流动资产：将原计入其他流动资产的保本不保息理财产品调整至一年内到期的非流动 资产。</w:t>
      </w:r>
    </w:p>
    <w:p>
      <w:pPr>
        <w:pStyle w:val="BodyText"/>
        <w:spacing w:line="451" w:lineRule="auto" w:before="74"/>
        <w:ind w:right="1124" w:firstLine="360"/>
        <w:jc w:val="left"/>
      </w:pPr>
      <w:r>
        <w:rPr/>
        <w:t>（</w:t>
      </w:r>
      <w:r>
        <w:rPr>
          <w:rFonts w:ascii="Times New Roman" w:hAnsi="Times New Roman" w:cs="Times New Roman" w:eastAsia="Times New Roman" w:hint="default"/>
        </w:rPr>
        <w:t>3</w:t>
      </w:r>
      <w:r>
        <w:rPr/>
        <w:t>）与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日，原金融资产减值准备期末余额调整为按照修订后金融工具确认和计量准则的规定进行分类和计 量的新损失准备的调节表如下：</w:t>
      </w:r>
    </w:p>
    <w:tbl>
      <w:tblPr>
        <w:tblW w:w="0" w:type="auto"/>
        <w:jc w:val="left"/>
        <w:tblInd w:w="390" w:type="dxa"/>
        <w:tblLayout w:type="fixed"/>
        <w:tblCellMar>
          <w:top w:w="0" w:type="dxa"/>
          <w:left w:w="0" w:type="dxa"/>
          <w:bottom w:w="0" w:type="dxa"/>
          <w:right w:w="0" w:type="dxa"/>
        </w:tblCellMar>
        <w:tblLook w:val="01E0"/>
      </w:tblPr>
      <w:tblGrid>
        <w:gridCol w:w="1726"/>
        <w:gridCol w:w="2115"/>
        <w:gridCol w:w="1726"/>
        <w:gridCol w:w="1716"/>
        <w:gridCol w:w="1868"/>
      </w:tblGrid>
      <w:tr>
        <w:trPr>
          <w:trHeight w:val="970" w:hRule="exact"/>
        </w:trPr>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11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
              <w:ind w:left="55" w:right="56"/>
              <w:jc w:val="center"/>
              <w:rPr>
                <w:rFonts w:ascii="宋体" w:hAnsi="宋体" w:cs="宋体" w:eastAsia="宋体" w:hint="default"/>
                <w:sz w:val="18"/>
                <w:szCs w:val="18"/>
              </w:rPr>
            </w:pPr>
            <w:r>
              <w:rPr>
                <w:rFonts w:ascii="宋体" w:hAnsi="宋体" w:cs="宋体" w:eastAsia="宋体" w:hint="default"/>
                <w:b/>
                <w:bCs/>
                <w:sz w:val="18"/>
                <w:szCs w:val="18"/>
              </w:rPr>
              <w:t>按修订前金融工具确认和</w:t>
            </w:r>
            <w:r>
              <w:rPr>
                <w:rFonts w:ascii="宋体" w:hAnsi="宋体" w:cs="宋体" w:eastAsia="宋体" w:hint="default"/>
                <w:b/>
                <w:bCs/>
                <w:w w:val="99"/>
                <w:sz w:val="18"/>
                <w:szCs w:val="18"/>
              </w:rPr>
              <w:t> </w:t>
            </w:r>
            <w:r>
              <w:rPr>
                <w:rFonts w:ascii="宋体" w:hAnsi="宋体" w:cs="宋体" w:eastAsia="宋体" w:hint="default"/>
                <w:b/>
                <w:bCs/>
                <w:sz w:val="18"/>
                <w:szCs w:val="18"/>
              </w:rPr>
              <w:t>计量准则计提的损失准备</w:t>
            </w:r>
            <w:r>
              <w:rPr>
                <w:rFonts w:ascii="宋体" w:hAnsi="宋体" w:cs="宋体" w:eastAsia="宋体" w:hint="default"/>
                <w:b/>
                <w:bCs/>
                <w:w w:val="99"/>
                <w:sz w:val="18"/>
                <w:szCs w:val="18"/>
              </w:rPr>
              <w:t> </w:t>
            </w:r>
            <w:r>
              <w:rPr>
                <w:rFonts w:ascii="Times New Roman" w:hAnsi="Times New Roman" w:cs="Times New Roman" w:eastAsia="Times New Roman" w:hint="default"/>
                <w:b/>
                <w:bCs/>
                <w:sz w:val="18"/>
                <w:szCs w:val="18"/>
              </w:rPr>
              <w:t>2018</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w:t>
            </w:r>
            <w:r>
              <w:rPr>
                <w:rFonts w:ascii="宋体" w:hAnsi="宋体" w:cs="宋体" w:eastAsia="宋体" w:hint="default"/>
                <w:sz w:val="18"/>
                <w:szCs w:val="18"/>
              </w:rPr>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重分类</w:t>
            </w:r>
            <w:r>
              <w:rPr>
                <w:rFonts w:ascii="宋体" w:hAnsi="宋体" w:cs="宋体" w:eastAsia="宋体" w:hint="default"/>
                <w:sz w:val="18"/>
                <w:szCs w:val="18"/>
              </w:rPr>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491" w:right="0"/>
              <w:jc w:val="left"/>
              <w:rPr>
                <w:rFonts w:ascii="宋体" w:hAnsi="宋体" w:cs="宋体" w:eastAsia="宋体" w:hint="default"/>
                <w:sz w:val="18"/>
                <w:szCs w:val="18"/>
              </w:rPr>
            </w:pPr>
            <w:r>
              <w:rPr>
                <w:rFonts w:ascii="宋体" w:hAnsi="宋体" w:cs="宋体" w:eastAsia="宋体" w:hint="default"/>
                <w:b/>
                <w:bCs/>
                <w:sz w:val="18"/>
                <w:szCs w:val="18"/>
              </w:rPr>
              <w:t>重新计量</w:t>
            </w:r>
            <w:r>
              <w:rPr>
                <w:rFonts w:ascii="宋体" w:hAnsi="宋体" w:cs="宋体" w:eastAsia="宋体" w:hint="default"/>
                <w:sz w:val="18"/>
                <w:szCs w:val="18"/>
              </w:rPr>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
              <w:ind w:left="23" w:right="20"/>
              <w:jc w:val="center"/>
              <w:rPr>
                <w:rFonts w:ascii="宋体" w:hAnsi="宋体" w:cs="宋体" w:eastAsia="宋体" w:hint="default"/>
                <w:sz w:val="18"/>
                <w:szCs w:val="18"/>
              </w:rPr>
            </w:pPr>
            <w:r>
              <w:rPr>
                <w:rFonts w:ascii="宋体" w:hAnsi="宋体" w:cs="宋体" w:eastAsia="宋体" w:hint="default"/>
                <w:b/>
                <w:bCs/>
                <w:sz w:val="18"/>
                <w:szCs w:val="18"/>
              </w:rPr>
              <w:t>按新金融工具确认和计</w:t>
            </w:r>
            <w:r>
              <w:rPr>
                <w:rFonts w:ascii="宋体" w:hAnsi="宋体" w:cs="宋体" w:eastAsia="宋体" w:hint="default"/>
                <w:b/>
                <w:bCs/>
                <w:w w:val="99"/>
                <w:sz w:val="18"/>
                <w:szCs w:val="18"/>
              </w:rPr>
              <w:t> </w:t>
            </w:r>
            <w:r>
              <w:rPr>
                <w:rFonts w:ascii="宋体" w:hAnsi="宋体" w:cs="宋体" w:eastAsia="宋体" w:hint="default"/>
                <w:b/>
                <w:bCs/>
                <w:sz w:val="18"/>
                <w:szCs w:val="18"/>
              </w:rPr>
              <w:t>量准则计提的损失准备</w:t>
            </w:r>
            <w:r>
              <w:rPr>
                <w:rFonts w:ascii="宋体" w:hAnsi="宋体" w:cs="宋体" w:eastAsia="宋体" w:hint="default"/>
                <w:b/>
                <w:bCs/>
                <w:w w:val="99"/>
                <w:sz w:val="18"/>
                <w:szCs w:val="18"/>
              </w:rPr>
              <w:t> </w:t>
            </w:r>
            <w:r>
              <w:rPr>
                <w:rFonts w:ascii="Times New Roman" w:hAnsi="Times New Roman" w:cs="Times New Roman" w:eastAsia="Times New Roman" w:hint="default"/>
                <w:b/>
                <w:bCs/>
                <w:sz w:val="18"/>
                <w:szCs w:val="18"/>
              </w:rPr>
              <w:t>2019</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348" w:hRule="exact"/>
        </w:trPr>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92" w:right="0"/>
              <w:jc w:val="left"/>
              <w:rPr>
                <w:rFonts w:ascii="Times New Roman" w:hAnsi="Times New Roman" w:cs="Times New Roman" w:eastAsia="Times New Roman" w:hint="default"/>
                <w:sz w:val="18"/>
                <w:szCs w:val="18"/>
              </w:rPr>
            </w:pPr>
            <w:r>
              <w:rPr>
                <w:rFonts w:ascii="Times New Roman"/>
                <w:sz w:val="18"/>
              </w:rPr>
              <w:t>-2,604,815.56</w:t>
            </w:r>
          </w:p>
        </w:tc>
        <w:tc>
          <w:tcPr>
            <w:tcW w:w="1726" w:type="dxa"/>
            <w:tcBorders>
              <w:top w:val="single" w:sz="6" w:space="0" w:color="000000"/>
              <w:left w:val="single" w:sz="6" w:space="0" w:color="000000"/>
              <w:bottom w:val="single" w:sz="6" w:space="0" w:color="000000"/>
              <w:right w:val="single" w:sz="6" w:space="0" w:color="000000"/>
            </w:tcBorders>
          </w:tcPr>
          <w:p>
            <w:pPr/>
          </w:p>
        </w:tc>
        <w:tc>
          <w:tcPr>
            <w:tcW w:w="1716" w:type="dxa"/>
            <w:tcBorders>
              <w:top w:val="single" w:sz="6" w:space="0" w:color="000000"/>
              <w:left w:val="single" w:sz="6" w:space="0" w:color="000000"/>
              <w:bottom w:val="single" w:sz="6" w:space="0" w:color="000000"/>
              <w:right w:val="single" w:sz="6" w:space="0" w:color="000000"/>
            </w:tcBorders>
          </w:tcPr>
          <w:p>
            <w:pPr/>
          </w:p>
        </w:tc>
        <w:tc>
          <w:tcPr>
            <w:tcW w:w="1868" w:type="dxa"/>
            <w:tcBorders>
              <w:top w:val="single" w:sz="6" w:space="0" w:color="000000"/>
              <w:left w:val="single" w:sz="6" w:space="0" w:color="000000"/>
              <w:bottom w:val="single" w:sz="6" w:space="0" w:color="000000"/>
              <w:right w:val="single" w:sz="6" w:space="0" w:color="000000"/>
            </w:tcBorders>
          </w:tcPr>
          <w:p>
            <w:pPr/>
          </w:p>
        </w:tc>
      </w:tr>
      <w:tr>
        <w:trPr>
          <w:trHeight w:val="658" w:hRule="exact"/>
        </w:trPr>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
              <w:ind w:left="2" w:right="86"/>
              <w:jc w:val="left"/>
              <w:rPr>
                <w:rFonts w:ascii="宋体" w:hAnsi="宋体" w:cs="宋体" w:eastAsia="宋体" w:hint="default"/>
                <w:sz w:val="18"/>
                <w:szCs w:val="18"/>
              </w:rPr>
            </w:pPr>
            <w:r>
              <w:rPr>
                <w:rFonts w:ascii="宋体" w:hAnsi="宋体" w:cs="宋体" w:eastAsia="宋体" w:hint="default"/>
                <w:sz w:val="18"/>
                <w:szCs w:val="18"/>
              </w:rPr>
              <w:t>减：转出至其他综合 收益</w:t>
            </w:r>
          </w:p>
        </w:tc>
        <w:tc>
          <w:tcPr>
            <w:tcW w:w="2115"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705" w:right="0"/>
              <w:jc w:val="left"/>
              <w:rPr>
                <w:rFonts w:ascii="Times New Roman" w:hAnsi="Times New Roman" w:cs="Times New Roman" w:eastAsia="Times New Roman" w:hint="default"/>
                <w:sz w:val="18"/>
                <w:szCs w:val="18"/>
              </w:rPr>
            </w:pPr>
            <w:r>
              <w:rPr>
                <w:rFonts w:ascii="Times New Roman"/>
                <w:sz w:val="18"/>
              </w:rPr>
              <w:t>-2,604,815.56</w:t>
            </w:r>
          </w:p>
        </w:tc>
        <w:tc>
          <w:tcPr>
            <w:tcW w:w="1716" w:type="dxa"/>
            <w:tcBorders>
              <w:top w:val="single" w:sz="6" w:space="0" w:color="000000"/>
              <w:left w:val="single" w:sz="6" w:space="0" w:color="000000"/>
              <w:bottom w:val="single" w:sz="6" w:space="0" w:color="000000"/>
              <w:right w:val="single" w:sz="6" w:space="0" w:color="000000"/>
            </w:tcBorders>
          </w:tcPr>
          <w:p>
            <w:pPr/>
          </w:p>
        </w:tc>
        <w:tc>
          <w:tcPr>
            <w:tcW w:w="1868"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115"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
        </w:tc>
        <w:tc>
          <w:tcPr>
            <w:tcW w:w="1716" w:type="dxa"/>
            <w:tcBorders>
              <w:top w:val="single" w:sz="6" w:space="0" w:color="000000"/>
              <w:left w:val="single" w:sz="6" w:space="0" w:color="000000"/>
              <w:bottom w:val="single" w:sz="6" w:space="0" w:color="000000"/>
              <w:right w:val="single" w:sz="6" w:space="0" w:color="000000"/>
            </w:tcBorders>
          </w:tcPr>
          <w:p>
            <w:pP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847" w:right="0"/>
              <w:jc w:val="left"/>
              <w:rPr>
                <w:rFonts w:ascii="Times New Roman" w:hAnsi="Times New Roman" w:cs="Times New Roman" w:eastAsia="Times New Roman" w:hint="default"/>
                <w:sz w:val="18"/>
                <w:szCs w:val="18"/>
              </w:rPr>
            </w:pPr>
            <w:r>
              <w:rPr>
                <w:rFonts w:ascii="Times New Roman"/>
                <w:sz w:val="18"/>
              </w:rPr>
              <w:t>-2,604,815.56</w:t>
            </w:r>
          </w:p>
        </w:tc>
      </w:tr>
    </w:tbl>
    <w:p>
      <w:pPr>
        <w:pStyle w:val="BodyText"/>
        <w:spacing w:line="240" w:lineRule="auto" w:before="74"/>
        <w:ind w:left="513" w:right="1133"/>
        <w:jc w:val="left"/>
      </w:pPr>
      <w:r>
        <w:rPr/>
        <w:t>（</w:t>
      </w:r>
      <w:r>
        <w:rPr>
          <w:rFonts w:ascii="Times New Roman" w:hAnsi="Times New Roman" w:cs="Times New Roman" w:eastAsia="Times New Roman" w:hint="default"/>
        </w:rPr>
        <w:t>4</w:t>
      </w:r>
      <w:r>
        <w:rPr/>
        <w:t>）本公司因执行新金融工具准则对</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日合并资产负债表及母公司资产负债表各项目的影响汇总如下：</w:t>
      </w:r>
    </w:p>
    <w:p>
      <w:pPr>
        <w:spacing w:line="240" w:lineRule="auto" w:before="9"/>
        <w:rPr>
          <w:rFonts w:ascii="宋体" w:hAnsi="宋体" w:cs="宋体" w:eastAsia="宋体" w:hint="default"/>
          <w:sz w:val="16"/>
          <w:szCs w:val="16"/>
        </w:rPr>
      </w:pPr>
    </w:p>
    <w:p>
      <w:pPr>
        <w:pStyle w:val="Heading4"/>
        <w:spacing w:line="240" w:lineRule="auto"/>
        <w:ind w:left="2421" w:right="2922"/>
        <w:jc w:val="center"/>
        <w:rPr>
          <w:b w:val="0"/>
          <w:bCs w:val="0"/>
        </w:rPr>
      </w:pPr>
      <w:r>
        <w:rPr/>
        <w:t>合并资产负债表</w:t>
      </w:r>
      <w:r>
        <w:rPr>
          <w:b w:val="0"/>
          <w:bCs w:val="0"/>
        </w:rPr>
      </w:r>
    </w:p>
    <w:p>
      <w:pPr>
        <w:spacing w:line="240" w:lineRule="auto" w:before="1"/>
        <w:rPr>
          <w:rFonts w:ascii="宋体" w:hAnsi="宋体" w:cs="宋体" w:eastAsia="宋体" w:hint="default"/>
          <w:b/>
          <w:bCs/>
          <w:sz w:val="11"/>
          <w:szCs w:val="11"/>
        </w:rPr>
      </w:pPr>
    </w:p>
    <w:tbl>
      <w:tblPr>
        <w:tblW w:w="0" w:type="auto"/>
        <w:jc w:val="left"/>
        <w:tblInd w:w="422" w:type="dxa"/>
        <w:tblLayout w:type="fixed"/>
        <w:tblCellMar>
          <w:top w:w="0" w:type="dxa"/>
          <w:left w:w="0" w:type="dxa"/>
          <w:bottom w:w="0" w:type="dxa"/>
          <w:right w:w="0" w:type="dxa"/>
        </w:tblCellMar>
        <w:tblLook w:val="01E0"/>
      </w:tblPr>
      <w:tblGrid>
        <w:gridCol w:w="2845"/>
        <w:gridCol w:w="2071"/>
        <w:gridCol w:w="1932"/>
        <w:gridCol w:w="2237"/>
      </w:tblGrid>
      <w:tr>
        <w:trPr>
          <w:trHeight w:val="348" w:hRule="exact"/>
        </w:trPr>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b/>
                <w:bCs/>
                <w:sz w:val="18"/>
                <w:szCs w:val="18"/>
              </w:rPr>
              <w:t>调整前</w:t>
            </w:r>
            <w:r>
              <w:rPr>
                <w:rFonts w:ascii="宋体" w:hAnsi="宋体" w:cs="宋体" w:eastAsia="宋体" w:hint="default"/>
                <w:sz w:val="18"/>
                <w:szCs w:val="18"/>
              </w:rPr>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b/>
                <w:bCs/>
                <w:sz w:val="18"/>
                <w:szCs w:val="18"/>
              </w:rPr>
              <w:t>调整数</w:t>
            </w:r>
            <w:r>
              <w:rPr>
                <w:rFonts w:ascii="宋体" w:hAnsi="宋体" w:cs="宋体" w:eastAsia="宋体" w:hint="default"/>
                <w:sz w:val="18"/>
                <w:szCs w:val="18"/>
              </w:rPr>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调整后</w:t>
            </w:r>
            <w:r>
              <w:rPr>
                <w:rFonts w:ascii="宋体" w:hAnsi="宋体" w:cs="宋体" w:eastAsia="宋体" w:hint="default"/>
                <w:sz w:val="18"/>
                <w:szCs w:val="18"/>
              </w:rPr>
            </w:r>
          </w:p>
        </w:tc>
      </w:tr>
      <w:tr>
        <w:trPr>
          <w:trHeight w:val="346" w:hRule="exact"/>
        </w:trPr>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29,377,168.51</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-29,377,168.51</w:t>
            </w: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071" w:type="dxa"/>
            <w:tcBorders>
              <w:top w:val="single" w:sz="6" w:space="0" w:color="000000"/>
              <w:left w:val="single" w:sz="6" w:space="0" w:color="000000"/>
              <w:bottom w:val="single" w:sz="6" w:space="0" w:color="000000"/>
              <w:right w:val="single" w:sz="6" w:space="0" w:color="000000"/>
            </w:tcBorders>
          </w:tcPr>
          <w:p>
            <w:pP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33,056,023.74</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33,056,023.74</w:t>
            </w:r>
          </w:p>
        </w:tc>
      </w:tr>
      <w:tr>
        <w:trPr>
          <w:trHeight w:val="348" w:hRule="exact"/>
        </w:trPr>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108,673,282.01</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-103,253,200.00</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5,420,082.01</w:t>
            </w:r>
          </w:p>
        </w:tc>
      </w:tr>
      <w:tr>
        <w:trPr>
          <w:trHeight w:val="346" w:hRule="exact"/>
        </w:trPr>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071" w:type="dxa"/>
            <w:tcBorders>
              <w:top w:val="single" w:sz="6" w:space="0" w:color="000000"/>
              <w:left w:val="single" w:sz="6" w:space="0" w:color="000000"/>
              <w:bottom w:val="single" w:sz="6" w:space="0" w:color="000000"/>
              <w:right w:val="single" w:sz="6" w:space="0" w:color="000000"/>
            </w:tcBorders>
          </w:tcPr>
          <w:p>
            <w:pP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103,253,200.00</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103,253,200.00</w:t>
            </w:r>
          </w:p>
        </w:tc>
      </w:tr>
      <w:tr>
        <w:trPr>
          <w:trHeight w:val="348" w:hRule="exact"/>
        </w:trPr>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207,440,369.26</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2,604,815.56</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210,045,184.82</w:t>
            </w:r>
          </w:p>
        </w:tc>
      </w:tr>
      <w:tr>
        <w:trPr>
          <w:trHeight w:val="348" w:hRule="exact"/>
        </w:trPr>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704,658.57</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1,074,039.67</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1,778,698.24</w:t>
            </w:r>
          </w:p>
        </w:tc>
      </w:tr>
    </w:tbl>
    <w:p>
      <w:pPr>
        <w:pStyle w:val="Heading4"/>
        <w:spacing w:line="240" w:lineRule="auto" w:before="88"/>
        <w:ind w:left="2421" w:right="3039"/>
        <w:jc w:val="center"/>
        <w:rPr>
          <w:b w:val="0"/>
          <w:bCs w:val="0"/>
        </w:rPr>
      </w:pPr>
      <w:r>
        <w:rPr/>
        <w:t>母公司资产负债表</w:t>
      </w:r>
      <w:r>
        <w:rPr>
          <w:b w:val="0"/>
          <w:bCs w:val="0"/>
        </w:rPr>
      </w:r>
    </w:p>
    <w:p>
      <w:pPr>
        <w:spacing w:line="240" w:lineRule="auto" w:before="1"/>
        <w:rPr>
          <w:rFonts w:ascii="宋体" w:hAnsi="宋体" w:cs="宋体" w:eastAsia="宋体" w:hint="default"/>
          <w:b/>
          <w:bCs/>
          <w:sz w:val="11"/>
          <w:szCs w:val="11"/>
        </w:rPr>
      </w:pPr>
    </w:p>
    <w:tbl>
      <w:tblPr>
        <w:tblW w:w="0" w:type="auto"/>
        <w:jc w:val="left"/>
        <w:tblInd w:w="426" w:type="dxa"/>
        <w:tblLayout w:type="fixed"/>
        <w:tblCellMar>
          <w:top w:w="0" w:type="dxa"/>
          <w:left w:w="0" w:type="dxa"/>
          <w:bottom w:w="0" w:type="dxa"/>
          <w:right w:w="0" w:type="dxa"/>
        </w:tblCellMar>
        <w:tblLook w:val="01E0"/>
      </w:tblPr>
      <w:tblGrid>
        <w:gridCol w:w="2837"/>
        <w:gridCol w:w="2071"/>
        <w:gridCol w:w="1932"/>
        <w:gridCol w:w="2237"/>
      </w:tblGrid>
      <w:tr>
        <w:trPr>
          <w:trHeight w:val="346" w:hRule="exact"/>
        </w:trPr>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调整前</w:t>
            </w:r>
            <w:r>
              <w:rPr>
                <w:rFonts w:ascii="宋体" w:hAnsi="宋体" w:cs="宋体" w:eastAsia="宋体" w:hint="default"/>
                <w:sz w:val="18"/>
                <w:szCs w:val="18"/>
              </w:rPr>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调整数</w:t>
            </w:r>
            <w:r>
              <w:rPr>
                <w:rFonts w:ascii="宋体" w:hAnsi="宋体" w:cs="宋体" w:eastAsia="宋体" w:hint="default"/>
                <w:sz w:val="18"/>
                <w:szCs w:val="18"/>
              </w:rPr>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调整后</w:t>
            </w:r>
            <w:r>
              <w:rPr>
                <w:rFonts w:ascii="宋体" w:hAnsi="宋体" w:cs="宋体" w:eastAsia="宋体" w:hint="default"/>
                <w:sz w:val="18"/>
                <w:szCs w:val="18"/>
              </w:rPr>
            </w:r>
          </w:p>
        </w:tc>
      </w:tr>
      <w:tr>
        <w:trPr>
          <w:trHeight w:val="348" w:hRule="exact"/>
        </w:trPr>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9,395,185.44</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-9,395,185.44</w:t>
            </w: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071" w:type="dxa"/>
            <w:tcBorders>
              <w:top w:val="single" w:sz="6" w:space="0" w:color="000000"/>
              <w:left w:val="single" w:sz="6" w:space="0" w:color="000000"/>
              <w:bottom w:val="single" w:sz="6" w:space="0" w:color="000000"/>
              <w:right w:val="single" w:sz="6" w:space="0" w:color="000000"/>
            </w:tcBorders>
          </w:tcPr>
          <w:p>
            <w:pP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9,695,363.74</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9,695,363.74</w:t>
            </w:r>
          </w:p>
        </w:tc>
      </w:tr>
      <w:tr>
        <w:trPr>
          <w:trHeight w:val="348" w:hRule="exact"/>
        </w:trPr>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48,931,405.86</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-48,563,200.00</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368,205.86</w:t>
            </w:r>
          </w:p>
        </w:tc>
      </w:tr>
      <w:tr>
        <w:trPr>
          <w:trHeight w:val="348" w:hRule="exact"/>
        </w:trPr>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071" w:type="dxa"/>
            <w:tcBorders>
              <w:top w:val="single" w:sz="6" w:space="0" w:color="000000"/>
              <w:left w:val="single" w:sz="6" w:space="0" w:color="000000"/>
              <w:bottom w:val="single" w:sz="6" w:space="0" w:color="000000"/>
              <w:right w:val="single" w:sz="6" w:space="0" w:color="000000"/>
            </w:tcBorders>
          </w:tcPr>
          <w:p>
            <w:pP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48,563,200.00</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48,563,200.00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b/>
          <w:bCs/>
          <w:sz w:val="24"/>
          <w:szCs w:val="24"/>
        </w:rPr>
      </w:pPr>
    </w:p>
    <w:tbl>
      <w:tblPr>
        <w:tblW w:w="0" w:type="auto"/>
        <w:jc w:val="left"/>
        <w:tblInd w:w="426" w:type="dxa"/>
        <w:tblLayout w:type="fixed"/>
        <w:tblCellMar>
          <w:top w:w="0" w:type="dxa"/>
          <w:left w:w="0" w:type="dxa"/>
          <w:bottom w:w="0" w:type="dxa"/>
          <w:right w:w="0" w:type="dxa"/>
        </w:tblCellMar>
        <w:tblLook w:val="01E0"/>
      </w:tblPr>
      <w:tblGrid>
        <w:gridCol w:w="2837"/>
        <w:gridCol w:w="2071"/>
        <w:gridCol w:w="1932"/>
        <w:gridCol w:w="2237"/>
      </w:tblGrid>
      <w:tr>
        <w:trPr>
          <w:trHeight w:val="348" w:hRule="exact"/>
        </w:trPr>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928" w:right="0"/>
              <w:jc w:val="left"/>
              <w:rPr>
                <w:rFonts w:ascii="Times New Roman" w:hAnsi="Times New Roman" w:cs="Times New Roman" w:eastAsia="Times New Roman" w:hint="default"/>
                <w:sz w:val="18"/>
                <w:szCs w:val="18"/>
              </w:rPr>
            </w:pPr>
            <w:r>
              <w:rPr>
                <w:rFonts w:ascii="Times New Roman"/>
                <w:sz w:val="18"/>
              </w:rPr>
              <w:t>169,427,354.91</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2,604,815.56</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172,032,170.47</w:t>
            </w:r>
          </w:p>
        </w:tc>
      </w:tr>
      <w:tr>
        <w:trPr>
          <w:trHeight w:val="346" w:hRule="exact"/>
        </w:trPr>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071" w:type="dxa"/>
            <w:tcBorders>
              <w:top w:val="single" w:sz="6" w:space="0" w:color="000000"/>
              <w:left w:val="single" w:sz="6" w:space="0" w:color="000000"/>
              <w:bottom w:val="single" w:sz="6" w:space="0" w:color="000000"/>
              <w:right w:val="single" w:sz="6" w:space="0" w:color="000000"/>
            </w:tcBorders>
          </w:tcPr>
          <w:p>
            <w:pP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-2,304,637.26</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-2,304,637.26</w:t>
            </w:r>
          </w:p>
        </w:tc>
      </w:tr>
    </w:tbl>
    <w:p>
      <w:pPr>
        <w:pStyle w:val="BodyText"/>
        <w:spacing w:line="451" w:lineRule="auto" w:before="87"/>
        <w:ind w:left="873" w:right="1843"/>
        <w:jc w:val="left"/>
      </w:pPr>
      <w:r>
        <w:rPr>
          <w:rFonts w:ascii="Times New Roman" w:hAnsi="Times New Roman" w:cs="Times New Roman" w:eastAsia="Times New Roman" w:hint="default"/>
          <w:b/>
          <w:bCs/>
        </w:rPr>
        <w:t>B</w:t>
      </w:r>
      <w:r>
        <w:rPr>
          <w:rFonts w:ascii="宋体" w:hAnsi="宋体" w:cs="宋体" w:eastAsia="宋体" w:hint="default"/>
          <w:b/>
          <w:bCs/>
        </w:rPr>
        <w:t>、财务报表列报</w:t>
      </w:r>
      <w:r>
        <w:rPr>
          <w:rFonts w:ascii="宋体" w:hAnsi="宋体" w:cs="宋体" w:eastAsia="宋体" w:hint="default"/>
          <w:b/>
          <w:bCs/>
          <w:w w:val="99"/>
        </w:rPr>
        <w:t> </w:t>
      </w:r>
      <w:r>
        <w:rPr/>
        <w:t>根据财会（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6</w:t>
      </w:r>
      <w:r>
        <w:rPr/>
        <w:t>号规定的财务报表格式编制</w:t>
      </w:r>
      <w:r>
        <w:rPr>
          <w:rFonts w:ascii="Times New Roman" w:hAnsi="Times New Roman" w:cs="Times New Roman" w:eastAsia="Times New Roman" w:hint="default"/>
        </w:rPr>
        <w:t>2019</w:t>
      </w:r>
      <w:r>
        <w:rPr/>
        <w:t>年度财务报表，并采用追溯调整法变更了相关列报。 相关列报调整影响如下：</w:t>
      </w:r>
    </w:p>
    <w:p>
      <w:pPr>
        <w:pStyle w:val="BodyText"/>
        <w:spacing w:line="240" w:lineRule="auto" w:before="74"/>
        <w:ind w:left="873" w:right="1133"/>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日受影响的合并资产负债表项目：</w:t>
      </w:r>
    </w:p>
    <w:p>
      <w:pPr>
        <w:spacing w:line="240" w:lineRule="auto" w:before="1"/>
        <w:rPr>
          <w:rFonts w:ascii="宋体" w:hAnsi="宋体" w:cs="宋体" w:eastAsia="宋体" w:hint="default"/>
          <w:sz w:val="10"/>
          <w:szCs w:val="10"/>
        </w:rPr>
      </w:pPr>
    </w:p>
    <w:tbl>
      <w:tblPr>
        <w:tblW w:w="0" w:type="auto"/>
        <w:jc w:val="left"/>
        <w:tblInd w:w="436" w:type="dxa"/>
        <w:tblLayout w:type="fixed"/>
        <w:tblCellMar>
          <w:top w:w="0" w:type="dxa"/>
          <w:left w:w="0" w:type="dxa"/>
          <w:bottom w:w="0" w:type="dxa"/>
          <w:right w:w="0" w:type="dxa"/>
        </w:tblCellMar>
        <w:tblLook w:val="01E0"/>
      </w:tblPr>
      <w:tblGrid>
        <w:gridCol w:w="2650"/>
        <w:gridCol w:w="2126"/>
        <w:gridCol w:w="1985"/>
        <w:gridCol w:w="2295"/>
      </w:tblGrid>
      <w:tr>
        <w:trPr>
          <w:trHeight w:val="348" w:hRule="exact"/>
        </w:trPr>
        <w:tc>
          <w:tcPr>
            <w:tcW w:w="2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调整前</w:t>
            </w:r>
            <w:r>
              <w:rPr>
                <w:rFonts w:ascii="宋体" w:hAnsi="宋体" w:cs="宋体" w:eastAsia="宋体" w:hint="default"/>
                <w:sz w:val="18"/>
                <w:szCs w:val="18"/>
              </w:rPr>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b/>
                <w:bCs/>
                <w:sz w:val="18"/>
                <w:szCs w:val="18"/>
              </w:rPr>
              <w:t>调整数</w:t>
            </w:r>
            <w:r>
              <w:rPr>
                <w:rFonts w:ascii="宋体" w:hAnsi="宋体" w:cs="宋体" w:eastAsia="宋体" w:hint="default"/>
                <w:sz w:val="18"/>
                <w:szCs w:val="18"/>
              </w:rPr>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调整后</w:t>
            </w:r>
            <w:r>
              <w:rPr>
                <w:rFonts w:ascii="宋体" w:hAnsi="宋体" w:cs="宋体" w:eastAsia="宋体" w:hint="default"/>
                <w:sz w:val="18"/>
                <w:szCs w:val="18"/>
              </w:rPr>
            </w:r>
          </w:p>
        </w:tc>
      </w:tr>
      <w:tr>
        <w:trPr>
          <w:trHeight w:val="348" w:hRule="exact"/>
        </w:trPr>
        <w:tc>
          <w:tcPr>
            <w:tcW w:w="2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116,570,303.92</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-116,570,303.92</w:t>
            </w:r>
          </w:p>
        </w:tc>
        <w:tc>
          <w:tcPr>
            <w:tcW w:w="2295"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126"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861,938.00</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861,938.00</w:t>
            </w:r>
          </w:p>
        </w:tc>
      </w:tr>
      <w:tr>
        <w:trPr>
          <w:trHeight w:val="348" w:hRule="exact"/>
        </w:trPr>
        <w:tc>
          <w:tcPr>
            <w:tcW w:w="2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26"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115,708,365.92</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115,708,365.92</w:t>
            </w:r>
          </w:p>
        </w:tc>
      </w:tr>
      <w:tr>
        <w:trPr>
          <w:trHeight w:val="346" w:hRule="exact"/>
        </w:trPr>
        <w:tc>
          <w:tcPr>
            <w:tcW w:w="2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49,709,548.09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-49,709,548.09</w:t>
            </w:r>
          </w:p>
        </w:tc>
        <w:tc>
          <w:tcPr>
            <w:tcW w:w="2295"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126"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2295"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126"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49,709,548.09</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49,709,548.09</w:t>
            </w:r>
          </w:p>
        </w:tc>
      </w:tr>
    </w:tbl>
    <w:p>
      <w:pPr>
        <w:pStyle w:val="BodyText"/>
        <w:spacing w:line="240" w:lineRule="auto" w:before="87"/>
        <w:ind w:left="873" w:right="1133"/>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日受影响的母公司资产负债表项目：</w:t>
      </w:r>
    </w:p>
    <w:p>
      <w:pPr>
        <w:spacing w:line="240" w:lineRule="auto" w:before="1"/>
        <w:rPr>
          <w:rFonts w:ascii="宋体" w:hAnsi="宋体" w:cs="宋体" w:eastAsia="宋体" w:hint="default"/>
          <w:sz w:val="10"/>
          <w:szCs w:val="10"/>
        </w:rPr>
      </w:pPr>
    </w:p>
    <w:tbl>
      <w:tblPr>
        <w:tblW w:w="0" w:type="auto"/>
        <w:jc w:val="left"/>
        <w:tblInd w:w="436" w:type="dxa"/>
        <w:tblLayout w:type="fixed"/>
        <w:tblCellMar>
          <w:top w:w="0" w:type="dxa"/>
          <w:left w:w="0" w:type="dxa"/>
          <w:bottom w:w="0" w:type="dxa"/>
          <w:right w:w="0" w:type="dxa"/>
        </w:tblCellMar>
        <w:tblLook w:val="01E0"/>
      </w:tblPr>
      <w:tblGrid>
        <w:gridCol w:w="2350"/>
        <w:gridCol w:w="2127"/>
        <w:gridCol w:w="1985"/>
        <w:gridCol w:w="2597"/>
      </w:tblGrid>
      <w:tr>
        <w:trPr>
          <w:trHeight w:val="346" w:hRule="exact"/>
        </w:trPr>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b/>
                <w:bCs/>
                <w:sz w:val="18"/>
                <w:szCs w:val="18"/>
              </w:rPr>
              <w:t>调整前</w:t>
            </w:r>
            <w:r>
              <w:rPr>
                <w:rFonts w:ascii="宋体" w:hAnsi="宋体" w:cs="宋体" w:eastAsia="宋体" w:hint="default"/>
                <w:sz w:val="18"/>
                <w:szCs w:val="18"/>
              </w:rPr>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调整数</w:t>
            </w:r>
            <w:r>
              <w:rPr>
                <w:rFonts w:ascii="宋体" w:hAnsi="宋体" w:cs="宋体" w:eastAsia="宋体" w:hint="default"/>
                <w:sz w:val="18"/>
                <w:szCs w:val="18"/>
              </w:rPr>
            </w:r>
          </w:p>
        </w:tc>
        <w:tc>
          <w:tcPr>
            <w:tcW w:w="2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调整后</w:t>
            </w:r>
            <w:r>
              <w:rPr>
                <w:rFonts w:ascii="宋体" w:hAnsi="宋体" w:cs="宋体" w:eastAsia="宋体" w:hint="default"/>
                <w:sz w:val="18"/>
                <w:szCs w:val="18"/>
              </w:rPr>
            </w:r>
          </w:p>
        </w:tc>
      </w:tr>
      <w:tr>
        <w:trPr>
          <w:trHeight w:val="348" w:hRule="exact"/>
        </w:trPr>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90,659,238.55</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-90,659,238.55</w:t>
            </w:r>
          </w:p>
        </w:tc>
        <w:tc>
          <w:tcPr>
            <w:tcW w:w="2597"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127"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861,938.00</w:t>
            </w:r>
          </w:p>
        </w:tc>
        <w:tc>
          <w:tcPr>
            <w:tcW w:w="2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861,938.00</w:t>
            </w:r>
          </w:p>
        </w:tc>
      </w:tr>
      <w:tr>
        <w:trPr>
          <w:trHeight w:val="348" w:hRule="exact"/>
        </w:trPr>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27"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89,797,300.55</w:t>
            </w:r>
          </w:p>
        </w:tc>
        <w:tc>
          <w:tcPr>
            <w:tcW w:w="2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89,797,300.55</w:t>
            </w:r>
          </w:p>
        </w:tc>
      </w:tr>
      <w:tr>
        <w:trPr>
          <w:trHeight w:val="348" w:hRule="exact"/>
        </w:trPr>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17,813,026.75</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-17,813,026.75</w:t>
            </w:r>
          </w:p>
        </w:tc>
        <w:tc>
          <w:tcPr>
            <w:tcW w:w="2597"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127"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2597"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127"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17,813,026.75</w:t>
            </w:r>
          </w:p>
        </w:tc>
        <w:tc>
          <w:tcPr>
            <w:tcW w:w="2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17,813,026.75</w:t>
            </w:r>
          </w:p>
        </w:tc>
      </w:tr>
    </w:tbl>
    <w:p>
      <w:pPr>
        <w:pStyle w:val="BodyText"/>
        <w:spacing w:line="451" w:lineRule="auto" w:before="87"/>
        <w:ind w:right="1119" w:firstLine="358"/>
        <w:jc w:val="left"/>
      </w:pPr>
      <w:r>
        <w:rPr>
          <w:rFonts w:ascii="Times New Roman" w:hAnsi="Times New Roman" w:cs="Times New Roman" w:eastAsia="Times New Roman" w:hint="default"/>
        </w:rPr>
        <w:t>C</w:t>
      </w:r>
      <w:r>
        <w:rPr/>
        <w:t>、本公司自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10</w:t>
      </w:r>
      <w:r>
        <w:rPr/>
        <w:t>日采用《企业会计准则第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非货币性资产交换》（财会〔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8</w:t>
      </w:r>
      <w:r>
        <w:rPr/>
        <w:t>号）相关规定，企业 对</w:t>
      </w:r>
      <w:r>
        <w:rPr>
          <w:rFonts w:ascii="Times New Roman" w:hAnsi="Times New Roman" w:cs="Times New Roman" w:eastAsia="Times New Roman" w:hint="default"/>
        </w:rPr>
        <w:t>2019 </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日至本准则施行日之间发生的非货币性资产交换，应根据准则规定进行调整。企业对</w:t>
      </w:r>
      <w:r>
        <w:rPr>
          <w:spacing w:val="-40"/>
        </w:rPr>
        <w:t>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日之前发生 的非货币性资产交换，不需要进行追溯调整。本公司首次执行该准则对财务报表无影响。</w:t>
      </w:r>
    </w:p>
    <w:p>
      <w:pPr>
        <w:pStyle w:val="BodyText"/>
        <w:spacing w:line="451" w:lineRule="auto" w:before="74"/>
        <w:ind w:right="1126" w:firstLine="358"/>
        <w:jc w:val="both"/>
      </w:pPr>
      <w:r>
        <w:rPr>
          <w:rFonts w:ascii="Times New Roman" w:hAnsi="Times New Roman" w:cs="Times New Roman" w:eastAsia="Times New Roman" w:hint="default"/>
        </w:rPr>
        <w:t>D</w:t>
      </w:r>
      <w:r>
        <w:rPr/>
        <w:t>、本公司自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17</w:t>
      </w:r>
      <w:r>
        <w:rPr/>
        <w:t>日采用《企业会计准则第</w:t>
      </w:r>
      <w:r>
        <w:rPr>
          <w:rFonts w:ascii="Times New Roman" w:hAnsi="Times New Roman" w:cs="Times New Roman" w:eastAsia="Times New Roman" w:hint="default"/>
        </w:rPr>
        <w:t>12</w:t>
      </w:r>
      <w:r>
        <w:rPr/>
        <w:t>号</w:t>
      </w:r>
      <w:r>
        <w:rPr>
          <w:rFonts w:ascii="Times New Roman" w:hAnsi="Times New Roman" w:cs="Times New Roman" w:eastAsia="Times New Roman" w:hint="default"/>
        </w:rPr>
        <w:t>——</w:t>
      </w:r>
      <w:r>
        <w:rPr/>
        <w:t>债务重组》</w:t>
      </w:r>
      <w:r>
        <w:rPr>
          <w:spacing w:val="-71"/>
        </w:rPr>
        <w:t> </w:t>
      </w:r>
      <w:r>
        <w:rPr>
          <w:spacing w:val="-4"/>
        </w:rPr>
        <w:t>（财会〔</w:t>
      </w:r>
      <w:r>
        <w:rPr>
          <w:rFonts w:ascii="Times New Roman" w:hAnsi="Times New Roman" w:cs="Times New Roman" w:eastAsia="Times New Roman" w:hint="default"/>
          <w:spacing w:val="-4"/>
        </w:rPr>
        <w:t>2019</w:t>
      </w:r>
      <w:r>
        <w:rPr>
          <w:spacing w:val="-4"/>
        </w:rPr>
        <w:t>〕</w:t>
      </w:r>
      <w:r>
        <w:rPr>
          <w:rFonts w:ascii="Times New Roman" w:hAnsi="Times New Roman" w:cs="Times New Roman" w:eastAsia="Times New Roman" w:hint="default"/>
          <w:spacing w:val="-4"/>
        </w:rPr>
        <w:t>9</w:t>
      </w:r>
      <w:r>
        <w:rPr>
          <w:spacing w:val="-4"/>
        </w:rPr>
        <w:t>号）相关规定，企业对</w:t>
      </w:r>
      <w:r>
        <w:rPr>
          <w:rFonts w:ascii="Times New Roman" w:hAnsi="Times New Roman" w:cs="Times New Roman" w:eastAsia="Times New Roman" w:hint="default"/>
          <w:spacing w:val="-4"/>
        </w:rPr>
        <w:t>2019</w:t>
      </w:r>
      <w:r>
        <w:rPr>
          <w:rFonts w:ascii="Times New Roman" w:hAnsi="Times New Roman" w:cs="Times New Roman" w:eastAsia="Times New Roman" w:hint="default"/>
          <w:spacing w:val="2"/>
        </w:rPr>
        <w:t> </w:t>
      </w:r>
      <w:r>
        <w:rPr/>
        <w:t>年 </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日至本准则施行日之间发生的债务重组，应根据准则规定进行调整。企业对</w:t>
      </w:r>
      <w:r>
        <w:rPr>
          <w:spacing w:val="-19"/>
        </w:rPr>
        <w:t>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日之前发生的债务重组，不需 要进行追溯调整。本公司首次执行该准则对财务报表无影响。</w:t>
      </w:r>
    </w:p>
    <w:p>
      <w:pPr>
        <w:spacing w:line="240" w:lineRule="auto" w:before="12"/>
        <w:rPr>
          <w:rFonts w:ascii="宋体" w:hAnsi="宋体" w:cs="宋体" w:eastAsia="宋体" w:hint="default"/>
          <w:sz w:val="20"/>
          <w:szCs w:val="20"/>
        </w:rPr>
      </w:pPr>
    </w:p>
    <w:p>
      <w:pPr>
        <w:pStyle w:val="Heading3"/>
        <w:spacing w:line="240" w:lineRule="auto" w:before="0"/>
        <w:ind w:right="1133"/>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before="0"/>
        <w:ind w:right="0"/>
        <w:jc w:val="left"/>
        <w:rPr>
          <w:b w:val="0"/>
          <w:bCs w:val="0"/>
        </w:rPr>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年起执行新金融工具准则、新收入准则或新租赁准则调整执行当年年初财务报表相关项目情况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100" w:bottom="1160" w:left="980" w:right="0"/>
        </w:sectPr>
      </w:pPr>
    </w:p>
    <w:p>
      <w:pPr>
        <w:pStyle w:val="BodyText"/>
        <w:spacing w:line="3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1534" w:space="7387"/>
            <w:col w:w="2009"/>
          </w:cols>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160,416,538.74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160,416,538.74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74,812.50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74,812.50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861,938.00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861,938.00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115,708,365.92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115,708,365.92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8,104,420.64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8,104,420.64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1,226,940.39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1,226,940.39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1,214,998.64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106,658,120.35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106,658,120.35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103,253,200.00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103,253,200.00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108,673,282.01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5,420,082.01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-103,253,200.00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501,724,418.55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501,724,418.55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29,377,168.51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-29,377,168.51</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37,147,586.86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37,147,586.86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33,056,023.74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387" w:right="0"/>
              <w:jc w:val="left"/>
              <w:rPr>
                <w:rFonts w:ascii="Times New Roman" w:hAnsi="Times New Roman" w:cs="Times New Roman" w:eastAsia="Times New Roman" w:hint="default"/>
                <w:sz w:val="18"/>
                <w:szCs w:val="18"/>
              </w:rPr>
            </w:pPr>
            <w:r>
              <w:rPr>
                <w:rFonts w:ascii="Times New Roman"/>
                <w:sz w:val="18"/>
              </w:rPr>
              <w:t>33,056,023.74</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9"/>
              <w:jc w:val="righ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100,336,397.91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100,336,397.91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16,219,484.14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16,219,484.14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195,938.65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195,938.65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2,262,390.23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2,262,390.23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76,078.97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76,078.97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185,615,045.27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185,615,045.27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687,339,463.82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687,339,463.82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49,709,548.09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49,709,548.09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4,656,208.40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4,656,208.40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9"/>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9"/>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1,256,012.62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1,256,012.62</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2,749,866.83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2,749,866.83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1,125,321.94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1,125,321.94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其中：应付利息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87,725.00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9"/>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119,496,957.88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119,496,957.88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412,500.00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412,500.00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805,064.23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805,064.23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1,217,564.23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1,217,564.23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120,714,522.11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120,714,522.11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131,626,048.15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131,626,048.15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704,658.57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1,778,698.24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76" w:right="0"/>
              <w:jc w:val="left"/>
              <w:rPr>
                <w:rFonts w:ascii="Times New Roman" w:hAnsi="Times New Roman" w:cs="Times New Roman" w:eastAsia="Times New Roman" w:hint="default"/>
                <w:sz w:val="18"/>
                <w:szCs w:val="18"/>
              </w:rPr>
            </w:pPr>
            <w:r>
              <w:rPr>
                <w:rFonts w:ascii="Times New Roman"/>
                <w:sz w:val="18"/>
              </w:rPr>
              <w:t>1,074,039.67</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205"/>
        <w:gridCol w:w="2453"/>
        <w:gridCol w:w="2456"/>
        <w:gridCol w:w="2453"/>
      </w:tblGrid>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34,853,865.73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34,853,865.73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207,440,369.26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210,045,184.82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76" w:right="0"/>
              <w:jc w:val="left"/>
              <w:rPr>
                <w:rFonts w:ascii="Times New Roman" w:hAnsi="Times New Roman" w:cs="Times New Roman" w:eastAsia="Times New Roman" w:hint="default"/>
                <w:sz w:val="18"/>
                <w:szCs w:val="18"/>
              </w:rPr>
            </w:pPr>
            <w:r>
              <w:rPr>
                <w:rFonts w:ascii="Times New Roman"/>
                <w:sz w:val="18"/>
              </w:rPr>
              <w:t>2,604,815.56</w:t>
            </w:r>
          </w:p>
        </w:tc>
      </w:tr>
      <w:tr>
        <w:trPr>
          <w:trHeight w:val="71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0"/>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566,624,941.71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566,624,941.71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566,624,941.71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566,624,941.71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687,339,463.82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687,339,463.82</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pStyle w:val="BodyText"/>
        <w:spacing w:line="357" w:lineRule="auto" w:before="49"/>
        <w:ind w:right="-20"/>
        <w:jc w:val="left"/>
      </w:pPr>
      <w:r>
        <w:rPr/>
        <w:t>调整情况说明 母公司资产负债表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1593" w:space="7327"/>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144,261,609.25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144,261,609.25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74,812.50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74,812.50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861,938.00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861,938.00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89,797,300.55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89,797,300.55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3,122,427.24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3,122,427.24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21,133,927.55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21,133,927.55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其中：应收利息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1,068,433.64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应收股利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31,014,511.39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31,014,511.39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48,563,200.00</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48,563,200.00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48,931,405.86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368,205.86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-48,563,200.00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339,197,932.34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339,197,932.34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9,395,185.44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-9,395,185.44</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243,886,455.97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243,886,455.97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9,695,363.74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9,695,363.74</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14,109,961.28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14,109,961.28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4,102,464.12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4,102,464.12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172,526.78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172,526.78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1,266,951.56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1,266,951.56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272,958,545.15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272,958,545.15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612,156,477.49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612,156,477.49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17,813,026.75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17,813,026.75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4,148,566.40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4,148,566.40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705,508.75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705,508.75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695,401.81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695,401.81</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249,607.04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249,607.04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9"/>
              <w:jc w:val="right"/>
              <w:rPr>
                <w:rFonts w:ascii="宋体" w:hAnsi="宋体" w:cs="宋体" w:eastAsia="宋体" w:hint="default"/>
                <w:sz w:val="18"/>
                <w:szCs w:val="18"/>
              </w:rPr>
            </w:pPr>
            <w:r>
              <w:rPr>
                <w:rFonts w:ascii="宋体" w:hAnsi="宋体" w:cs="宋体" w:eastAsia="宋体" w:hint="default"/>
                <w:sz w:val="18"/>
                <w:szCs w:val="18"/>
              </w:rPr>
              <w:t>其中：应付利息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83,612,110.75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83,612,110.75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412,500.00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412,500.00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224,597.95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224,597.95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637,097.95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637,097.95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84,249,208.70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84,249,208.70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131,626,048.15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131,626,048.15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-2,304,637.26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-2,304,637.26</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34,853,865.73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34,853,865.73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169,427,354.91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172,032,170.47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2,604,815.56</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527,907,268.79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527,907,268.79</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6" w:type="dxa"/>
        <w:tblLayout w:type="fixed"/>
        <w:tblCellMar>
          <w:top w:w="0" w:type="dxa"/>
          <w:left w:w="0" w:type="dxa"/>
          <w:bottom w:w="0" w:type="dxa"/>
          <w:right w:w="0" w:type="dxa"/>
        </w:tblCellMar>
        <w:tblLook w:val="01E0"/>
      </w:tblPr>
      <w:tblGrid>
        <w:gridCol w:w="2208"/>
        <w:gridCol w:w="2453"/>
        <w:gridCol w:w="2456"/>
        <w:gridCol w:w="2453"/>
      </w:tblGrid>
      <w:tr>
        <w:trPr>
          <w:trHeight w:val="403" w:hRule="exact"/>
        </w:trPr>
        <w:tc>
          <w:tcPr>
            <w:tcW w:w="2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6" w:right="0"/>
              <w:jc w:val="left"/>
              <w:rPr>
                <w:rFonts w:ascii="Times New Roman" w:hAnsi="Times New Roman" w:cs="Times New Roman" w:eastAsia="Times New Roman" w:hint="default"/>
                <w:sz w:val="18"/>
                <w:szCs w:val="18"/>
              </w:rPr>
            </w:pPr>
            <w:r>
              <w:rPr>
                <w:rFonts w:ascii="Times New Roman"/>
                <w:sz w:val="18"/>
              </w:rPr>
              <w:t>612,156,477.49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6" w:right="0"/>
              <w:jc w:val="left"/>
              <w:rPr>
                <w:rFonts w:ascii="Times New Roman" w:hAnsi="Times New Roman" w:cs="Times New Roman" w:eastAsia="Times New Roman" w:hint="default"/>
                <w:sz w:val="18"/>
                <w:szCs w:val="18"/>
              </w:rPr>
            </w:pPr>
            <w:r>
              <w:rPr>
                <w:rFonts w:ascii="Times New Roman"/>
                <w:sz w:val="18"/>
              </w:rPr>
              <w:t>612,156,477.49</w:t>
            </w:r>
          </w:p>
        </w:tc>
        <w:tc>
          <w:tcPr>
            <w:tcW w:w="245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调整情况说明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年起执行新金融工具准则或新租赁准则追溯调整前期比较数据说明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before="0"/>
        <w:ind w:right="1133"/>
        <w:jc w:val="left"/>
        <w:rPr>
          <w:b w:val="0"/>
          <w:bCs w:val="0"/>
        </w:rPr>
      </w:pPr>
      <w:r>
        <w:rPr>
          <w:rFonts w:ascii="Times New Roman" w:hAnsi="Times New Roman" w:cs="Times New Roman" w:eastAsia="Times New Roman" w:hint="default"/>
        </w:rPr>
        <w:t>45</w:t>
      </w:r>
      <w:r>
        <w:rPr/>
        <w:t>、其他</w:t>
      </w:r>
      <w:r>
        <w:rPr>
          <w:b w:val="0"/>
          <w:bCs w:val="0"/>
        </w:rPr>
      </w:r>
    </w:p>
    <w:p>
      <w:pPr>
        <w:spacing w:line="240" w:lineRule="auto" w:before="6"/>
        <w:rPr>
          <w:rFonts w:ascii="宋体" w:hAnsi="宋体" w:cs="宋体" w:eastAsia="宋体" w:hint="default"/>
          <w:b/>
          <w:bCs/>
          <w:sz w:val="22"/>
          <w:szCs w:val="22"/>
        </w:rPr>
      </w:pPr>
    </w:p>
    <w:p>
      <w:pPr>
        <w:pStyle w:val="Heading2"/>
        <w:spacing w:line="240" w:lineRule="auto"/>
        <w:ind w:right="1133"/>
        <w:jc w:val="left"/>
        <w:rPr>
          <w:b w:val="0"/>
          <w:bCs w:val="0"/>
        </w:rPr>
      </w:pPr>
      <w:r>
        <w:rPr>
          <w:rFonts w:ascii="Times New Roman" w:hAnsi="Times New Roman" w:cs="Times New Roman" w:eastAsia="Times New Roman" w:hint="default"/>
        </w:rPr>
        <w:t>1</w:t>
      </w:r>
      <w:r>
        <w:rPr/>
        <w:t>、关联方</w:t>
      </w:r>
      <w:r>
        <w:rPr>
          <w:b w:val="0"/>
          <w:bCs w:val="0"/>
        </w:rPr>
      </w:r>
    </w:p>
    <w:p>
      <w:pPr>
        <w:pStyle w:val="BodyText"/>
        <w:spacing w:line="477" w:lineRule="auto" w:before="107"/>
        <w:ind w:right="1034" w:firstLine="360"/>
        <w:jc w:val="left"/>
      </w:pPr>
      <w:r>
        <w:rPr/>
        <w:t>一方控制、共同控制另一方或对另一方施加重大影响，以及两方或两方以上同受一方控制、共同控制的，构成关联方。 关联方可为个人或企业。仅仅同受国家控制而不存在其他关联方关系的企业，不构成本公司的关联方。</w:t>
      </w:r>
    </w:p>
    <w:p>
      <w:pPr>
        <w:pStyle w:val="BodyText"/>
        <w:spacing w:line="240" w:lineRule="auto" w:before="55"/>
        <w:ind w:left="513" w:right="1133"/>
        <w:jc w:val="left"/>
      </w:pPr>
      <w:r>
        <w:rPr/>
        <w:t>本公司的关联方包括但不限于：</w:t>
      </w:r>
    </w:p>
    <w:p>
      <w:pPr>
        <w:spacing w:line="240" w:lineRule="auto" w:before="10"/>
        <w:rPr>
          <w:rFonts w:ascii="宋体" w:hAnsi="宋体" w:cs="宋体" w:eastAsia="宋体" w:hint="default"/>
          <w:sz w:val="17"/>
          <w:szCs w:val="17"/>
        </w:rPr>
      </w:pPr>
    </w:p>
    <w:p>
      <w:pPr>
        <w:pStyle w:val="BodyText"/>
        <w:spacing w:line="240" w:lineRule="auto"/>
        <w:ind w:left="513" w:right="1133"/>
        <w:jc w:val="left"/>
      </w:pPr>
      <w:r>
        <w:rPr/>
        <w:t>（</w:t>
      </w:r>
      <w:r>
        <w:rPr>
          <w:rFonts w:ascii="Times New Roman" w:hAnsi="Times New Roman" w:cs="Times New Roman" w:eastAsia="Times New Roman" w:hint="default"/>
        </w:rPr>
        <w:t>1</w:t>
      </w:r>
      <w:r>
        <w:rPr/>
        <w:t>）本公司的母公司；</w:t>
      </w:r>
    </w:p>
    <w:p>
      <w:pPr>
        <w:spacing w:line="240" w:lineRule="auto" w:before="9"/>
        <w:rPr>
          <w:rFonts w:ascii="宋体" w:hAnsi="宋体" w:cs="宋体" w:eastAsia="宋体" w:hint="default"/>
          <w:sz w:val="16"/>
          <w:szCs w:val="16"/>
        </w:rPr>
      </w:pPr>
    </w:p>
    <w:p>
      <w:pPr>
        <w:pStyle w:val="BodyText"/>
        <w:spacing w:line="240" w:lineRule="auto"/>
        <w:ind w:left="513" w:right="1133"/>
        <w:jc w:val="left"/>
      </w:pPr>
      <w:r>
        <w:rPr/>
        <w:t>（</w:t>
      </w:r>
      <w:r>
        <w:rPr>
          <w:rFonts w:ascii="Times New Roman" w:hAnsi="Times New Roman" w:cs="Times New Roman" w:eastAsia="Times New Roman" w:hint="default"/>
        </w:rPr>
        <w:t>2</w:t>
      </w:r>
      <w:r>
        <w:rPr/>
        <w:t>）本公司的子公司；</w:t>
      </w:r>
    </w:p>
    <w:p>
      <w:pPr>
        <w:spacing w:line="240" w:lineRule="auto" w:before="9"/>
        <w:rPr>
          <w:rFonts w:ascii="宋体" w:hAnsi="宋体" w:cs="宋体" w:eastAsia="宋体" w:hint="default"/>
          <w:sz w:val="16"/>
          <w:szCs w:val="16"/>
        </w:rPr>
      </w:pPr>
    </w:p>
    <w:p>
      <w:pPr>
        <w:pStyle w:val="BodyText"/>
        <w:spacing w:line="240" w:lineRule="auto"/>
        <w:ind w:left="513" w:right="1133"/>
        <w:jc w:val="left"/>
      </w:pPr>
      <w:r>
        <w:rPr/>
        <w:t>（</w:t>
      </w:r>
      <w:r>
        <w:rPr>
          <w:rFonts w:ascii="Times New Roman" w:hAnsi="Times New Roman" w:cs="Times New Roman" w:eastAsia="Times New Roman" w:hint="default"/>
        </w:rPr>
        <w:t>3</w:t>
      </w:r>
      <w:r>
        <w:rPr/>
        <w:t>）与本公司受同一母公司控制的其他企业；</w:t>
      </w:r>
    </w:p>
    <w:p>
      <w:pPr>
        <w:spacing w:line="240" w:lineRule="auto" w:before="9"/>
        <w:rPr>
          <w:rFonts w:ascii="宋体" w:hAnsi="宋体" w:cs="宋体" w:eastAsia="宋体" w:hint="default"/>
          <w:sz w:val="16"/>
          <w:szCs w:val="16"/>
        </w:rPr>
      </w:pPr>
    </w:p>
    <w:p>
      <w:pPr>
        <w:pStyle w:val="BodyText"/>
        <w:spacing w:line="240" w:lineRule="auto"/>
        <w:ind w:left="513" w:right="1133"/>
        <w:jc w:val="left"/>
      </w:pPr>
      <w:r>
        <w:rPr/>
        <w:t>（</w:t>
      </w:r>
      <w:r>
        <w:rPr>
          <w:rFonts w:ascii="Times New Roman" w:hAnsi="Times New Roman" w:cs="Times New Roman" w:eastAsia="Times New Roman" w:hint="default"/>
        </w:rPr>
        <w:t>4</w:t>
      </w:r>
      <w:r>
        <w:rPr/>
        <w:t>）对本公司实施共同控制的投资方；</w:t>
      </w:r>
    </w:p>
    <w:p>
      <w:pPr>
        <w:spacing w:line="240" w:lineRule="auto" w:before="9"/>
        <w:rPr>
          <w:rFonts w:ascii="宋体" w:hAnsi="宋体" w:cs="宋体" w:eastAsia="宋体" w:hint="default"/>
          <w:sz w:val="16"/>
          <w:szCs w:val="16"/>
        </w:rPr>
      </w:pPr>
    </w:p>
    <w:p>
      <w:pPr>
        <w:pStyle w:val="BodyText"/>
        <w:spacing w:line="240" w:lineRule="auto"/>
        <w:ind w:left="513" w:right="1133"/>
        <w:jc w:val="left"/>
      </w:pPr>
      <w:r>
        <w:rPr/>
        <w:t>（</w:t>
      </w:r>
      <w:r>
        <w:rPr>
          <w:rFonts w:ascii="Times New Roman" w:hAnsi="Times New Roman" w:cs="Times New Roman" w:eastAsia="Times New Roman" w:hint="default"/>
        </w:rPr>
        <w:t>5</w:t>
      </w:r>
      <w:r>
        <w:rPr/>
        <w:t>）对本公司施加重大影响的投资方；</w:t>
      </w:r>
    </w:p>
    <w:p>
      <w:pPr>
        <w:spacing w:line="240" w:lineRule="auto" w:before="9"/>
        <w:rPr>
          <w:rFonts w:ascii="宋体" w:hAnsi="宋体" w:cs="宋体" w:eastAsia="宋体" w:hint="default"/>
          <w:sz w:val="16"/>
          <w:szCs w:val="16"/>
        </w:rPr>
      </w:pPr>
    </w:p>
    <w:p>
      <w:pPr>
        <w:pStyle w:val="BodyText"/>
        <w:spacing w:line="240" w:lineRule="auto"/>
        <w:ind w:left="513" w:right="1133"/>
        <w:jc w:val="left"/>
      </w:pPr>
      <w:r>
        <w:rPr/>
        <w:t>（</w:t>
      </w:r>
      <w:r>
        <w:rPr>
          <w:rFonts w:ascii="Times New Roman" w:hAnsi="Times New Roman" w:cs="Times New Roman" w:eastAsia="Times New Roman" w:hint="default"/>
        </w:rPr>
        <w:t>6</w:t>
      </w:r>
      <w:r>
        <w:rPr/>
        <w:t>）本公司的合营企业，包括合营企业的子公司；</w:t>
      </w:r>
    </w:p>
    <w:p>
      <w:pPr>
        <w:spacing w:line="240" w:lineRule="auto" w:before="9"/>
        <w:rPr>
          <w:rFonts w:ascii="宋体" w:hAnsi="宋体" w:cs="宋体" w:eastAsia="宋体" w:hint="default"/>
          <w:sz w:val="16"/>
          <w:szCs w:val="16"/>
        </w:rPr>
      </w:pPr>
    </w:p>
    <w:p>
      <w:pPr>
        <w:pStyle w:val="BodyText"/>
        <w:spacing w:line="240" w:lineRule="auto"/>
        <w:ind w:left="513" w:right="1133"/>
        <w:jc w:val="left"/>
      </w:pPr>
      <w:r>
        <w:rPr/>
        <w:t>（</w:t>
      </w:r>
      <w:r>
        <w:rPr>
          <w:rFonts w:ascii="Times New Roman" w:hAnsi="Times New Roman" w:cs="Times New Roman" w:eastAsia="Times New Roman" w:hint="default"/>
        </w:rPr>
        <w:t>7</w:t>
      </w:r>
      <w:r>
        <w:rPr/>
        <w:t>）本公司的联营企业，包括联营企业的子公司；</w:t>
      </w:r>
    </w:p>
    <w:p>
      <w:pPr>
        <w:spacing w:line="240" w:lineRule="auto" w:before="10"/>
        <w:rPr>
          <w:rFonts w:ascii="宋体" w:hAnsi="宋体" w:cs="宋体" w:eastAsia="宋体" w:hint="default"/>
          <w:sz w:val="16"/>
          <w:szCs w:val="16"/>
        </w:rPr>
      </w:pPr>
    </w:p>
    <w:p>
      <w:pPr>
        <w:pStyle w:val="BodyText"/>
        <w:spacing w:line="240" w:lineRule="auto"/>
        <w:ind w:left="513" w:right="1133"/>
        <w:jc w:val="left"/>
      </w:pPr>
      <w:r>
        <w:rPr/>
        <w:t>（</w:t>
      </w:r>
      <w:r>
        <w:rPr>
          <w:rFonts w:ascii="Times New Roman" w:hAnsi="Times New Roman" w:cs="Times New Roman" w:eastAsia="Times New Roman" w:hint="default"/>
        </w:rPr>
        <w:t>8</w:t>
      </w:r>
      <w:r>
        <w:rPr/>
        <w:t>）本公司的主要投资者个人及与其关系密切的家庭成员</w:t>
      </w:r>
      <w:r>
        <w:rPr>
          <w:spacing w:val="2"/>
        </w:rPr>
        <w:t> </w:t>
      </w:r>
      <w:r>
        <w:rPr/>
        <w:t>；</w:t>
      </w:r>
    </w:p>
    <w:p>
      <w:pPr>
        <w:spacing w:line="240" w:lineRule="auto" w:before="9"/>
        <w:rPr>
          <w:rFonts w:ascii="宋体" w:hAnsi="宋体" w:cs="宋体" w:eastAsia="宋体" w:hint="default"/>
          <w:sz w:val="16"/>
          <w:szCs w:val="16"/>
        </w:rPr>
      </w:pPr>
    </w:p>
    <w:p>
      <w:pPr>
        <w:pStyle w:val="BodyText"/>
        <w:spacing w:line="240" w:lineRule="auto"/>
        <w:ind w:left="513" w:right="1133"/>
        <w:jc w:val="left"/>
      </w:pPr>
      <w:r>
        <w:rPr/>
        <w:t>（</w:t>
      </w:r>
      <w:r>
        <w:rPr>
          <w:rFonts w:ascii="Times New Roman" w:hAnsi="Times New Roman" w:cs="Times New Roman" w:eastAsia="Times New Roman" w:hint="default"/>
        </w:rPr>
        <w:t>9</w:t>
      </w:r>
      <w:r>
        <w:rPr/>
        <w:t>）本公司或其母公司的关键管理人员及与其关系密切的家庭成员；</w:t>
      </w:r>
    </w:p>
    <w:p>
      <w:pPr>
        <w:spacing w:line="240" w:lineRule="auto" w:before="9"/>
        <w:rPr>
          <w:rFonts w:ascii="宋体" w:hAnsi="宋体" w:cs="宋体" w:eastAsia="宋体" w:hint="default"/>
          <w:sz w:val="16"/>
          <w:szCs w:val="16"/>
        </w:rPr>
      </w:pPr>
    </w:p>
    <w:p>
      <w:pPr>
        <w:pStyle w:val="BodyText"/>
        <w:spacing w:line="240" w:lineRule="auto"/>
        <w:ind w:left="513" w:right="1133"/>
        <w:jc w:val="left"/>
      </w:pPr>
      <w:r>
        <w:rPr/>
        <w:t>（</w:t>
      </w:r>
      <w:r>
        <w:rPr>
          <w:rFonts w:ascii="Times New Roman" w:hAnsi="Times New Roman" w:cs="Times New Roman" w:eastAsia="Times New Roman" w:hint="default"/>
        </w:rPr>
        <w:t>10</w:t>
      </w:r>
      <w:r>
        <w:rPr/>
        <w:t>）本公司的主要投资者个人、关键管理人员或与其关系密切的家庭成员控制、共同控制的其他企业。</w:t>
      </w:r>
    </w:p>
    <w:p>
      <w:pPr>
        <w:spacing w:line="240" w:lineRule="auto" w:before="0"/>
        <w:rPr>
          <w:rFonts w:ascii="宋体" w:hAnsi="宋体" w:cs="宋体" w:eastAsia="宋体" w:hint="default"/>
          <w:sz w:val="18"/>
          <w:szCs w:val="18"/>
        </w:rPr>
      </w:pPr>
    </w:p>
    <w:p>
      <w:pPr>
        <w:pStyle w:val="Heading2"/>
        <w:spacing w:line="240" w:lineRule="auto" w:before="158"/>
        <w:ind w:right="1133"/>
        <w:jc w:val="left"/>
        <w:rPr>
          <w:b w:val="0"/>
          <w:bCs w:val="0"/>
        </w:rPr>
      </w:pPr>
      <w:r>
        <w:rPr/>
        <w:t>六、税项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before="0"/>
        <w:ind w:right="1133"/>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2"/>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3"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9" w:lineRule="auto" w:before="49"/>
              <w:ind w:left="17" w:right="94"/>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收入为基础计算销项税额，在扣除当期 允许抵扣的进项税额后，差额部分为应 交增值税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392"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473"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按实际缴纳的增值税额计缴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按应纳税所得额计缴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8.25%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按实际缴纳的增值税额计缴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b/>
          <w:bCs/>
          <w:sz w:val="21"/>
          <w:szCs w:val="21"/>
        </w:rPr>
      </w:pPr>
    </w:p>
    <w:p>
      <w:pPr>
        <w:pStyle w:val="BodyText"/>
        <w:spacing w:line="240" w:lineRule="auto" w:before="44"/>
        <w:ind w:right="1133"/>
        <w:jc w:val="left"/>
      </w:pPr>
      <w:r>
        <w:rPr/>
        <w:t>存在不同企业所得税税率纳税主体的，披露情况说明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44"/>
        <w:ind w:left="0" w:right="1136"/>
        <w:jc w:val="right"/>
      </w:pPr>
      <w:r>
        <w:rPr/>
        <w:pict>
          <v:shape style="position:absolute;margin-left:56.400002pt;margin-top:-51.988266pt;width:479.3pt;height:154.35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1027"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GLOBAL IMAGING SYSTEM</w:t>
                        </w:r>
                        <w:r>
                          <w:rPr>
                            <w:rFonts w:ascii="Times New Roman"/>
                            <w:spacing w:val="-19"/>
                            <w:sz w:val="18"/>
                          </w:rPr>
                          <w:t> </w:t>
                        </w:r>
                        <w:r>
                          <w:rPr>
                            <w:rFonts w:ascii="Times New Roman"/>
                            <w:sz w:val="18"/>
                          </w:rPr>
                          <w:t>LIMITED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该全资子公司注册于香港，适用香港税收政策，应纳税所得 额低于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万元港币的部分适用所得税税率为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8.25%</w:t>
                        </w:r>
                        <w:r>
                          <w:rPr>
                            <w:rFonts w:ascii="宋体" w:hAnsi="宋体" w:cs="宋体" w:eastAsia="宋体" w:hint="default"/>
                            <w:sz w:val="18"/>
                            <w:szCs w:val="18"/>
                          </w:rPr>
                          <w:t>，应纳 税所得额超过</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万元港币的部分适用所得税税率为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16.5%</w:t>
                        </w:r>
                      </w:p>
                    </w:tc>
                  </w:tr>
                  <w:tr>
                    <w:trPr>
                      <w:trHeight w:val="1649"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GOLDENGREEN TECHNOLOGIES EU</w:t>
                        </w:r>
                        <w:r>
                          <w:rPr>
                            <w:rFonts w:ascii="Times New Roman"/>
                            <w:spacing w:val="-14"/>
                            <w:sz w:val="18"/>
                          </w:rPr>
                          <w:t> </w:t>
                        </w:r>
                        <w:r>
                          <w:rPr>
                            <w:rFonts w:ascii="Times New Roman"/>
                            <w:sz w:val="18"/>
                          </w:rPr>
                          <w:t>LIMITED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0"/>
                          <w:jc w:val="left"/>
                          <w:rPr>
                            <w:rFonts w:ascii="宋体" w:hAnsi="宋体" w:cs="宋体" w:eastAsia="宋体" w:hint="default"/>
                            <w:sz w:val="18"/>
                            <w:szCs w:val="18"/>
                          </w:rPr>
                        </w:pPr>
                        <w:r>
                          <w:rPr>
                            <w:rFonts w:ascii="宋体" w:hAnsi="宋体" w:cs="宋体" w:eastAsia="宋体" w:hint="default"/>
                            <w:spacing w:val="-6"/>
                            <w:sz w:val="18"/>
                            <w:szCs w:val="18"/>
                          </w:rPr>
                          <w:t>根据英国税务及海关部署（</w:t>
                        </w:r>
                        <w:r>
                          <w:rPr>
                            <w:rFonts w:ascii="Times New Roman" w:hAnsi="Times New Roman" w:cs="Times New Roman" w:eastAsia="Times New Roman" w:hint="default"/>
                            <w:spacing w:val="-6"/>
                            <w:sz w:val="18"/>
                            <w:szCs w:val="18"/>
                          </w:rPr>
                          <w:t>HER</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w w:val="99"/>
                            <w:sz w:val="18"/>
                            <w:szCs w:val="18"/>
                          </w:rPr>
                          <w:t>MAJESTY'S</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w w:val="99"/>
                            <w:sz w:val="18"/>
                            <w:szCs w:val="18"/>
                          </w:rPr>
                          <w:t>REVENUE</w:t>
                        </w:r>
                        <w:r>
                          <w:rPr>
                            <w:rFonts w:ascii="Times New Roman" w:hAnsi="Times New Roman" w:cs="Times New Roman" w:eastAsia="Times New Roman" w:hint="default"/>
                            <w:spacing w:val="-2"/>
                            <w:w w:val="99"/>
                            <w:sz w:val="18"/>
                            <w:szCs w:val="18"/>
                          </w:rPr>
                          <w:t> </w:t>
                        </w:r>
                        <w:r>
                          <w:rPr>
                            <w:rFonts w:ascii="Times New Roman" w:hAnsi="Times New Roman" w:cs="Times New Roman" w:eastAsia="Times New Roman" w:hint="default"/>
                            <w:spacing w:val="-1"/>
                            <w:w w:val="99"/>
                            <w:sz w:val="18"/>
                            <w:szCs w:val="18"/>
                          </w:rPr>
                          <w:t>AND</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CUSTOMS</w:t>
                        </w:r>
                        <w:r>
                          <w:rPr>
                            <w:rFonts w:ascii="宋体" w:hAnsi="宋体" w:cs="宋体" w:eastAsia="宋体" w:hint="default"/>
                            <w:sz w:val="18"/>
                            <w:szCs w:val="18"/>
                          </w:rPr>
                          <w:t>）税收政策法规，注册于英国的子公司 </w:t>
                        </w:r>
                        <w:r>
                          <w:rPr>
                            <w:rFonts w:ascii="Times New Roman" w:hAnsi="Times New Roman" w:cs="Times New Roman" w:eastAsia="Times New Roman" w:hint="default"/>
                            <w:sz w:val="18"/>
                            <w:szCs w:val="18"/>
                          </w:rPr>
                          <w:t>GOLDENGREEN TECHNOLOGIES EU LIMITED</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及孙公司</w:t>
                        </w:r>
                      </w:p>
                      <w:p>
                        <w:pPr>
                          <w:pStyle w:val="TableParagraph"/>
                          <w:spacing w:line="240" w:lineRule="auto" w:before="55"/>
                          <w:ind w:left="23" w:right="0"/>
                          <w:jc w:val="left"/>
                          <w:rPr>
                            <w:rFonts w:ascii="Times New Roman" w:hAnsi="Times New Roman" w:cs="Times New Roman" w:eastAsia="Times New Roman" w:hint="default"/>
                            <w:sz w:val="18"/>
                            <w:szCs w:val="18"/>
                          </w:rPr>
                        </w:pPr>
                        <w:r>
                          <w:rPr>
                            <w:rFonts w:ascii="Times New Roman"/>
                            <w:sz w:val="18"/>
                          </w:rPr>
                          <w:t>GOLDENGREEN TECHNOLOGIES</w:t>
                        </w:r>
                        <w:r>
                          <w:rPr>
                            <w:rFonts w:ascii="Times New Roman"/>
                            <w:spacing w:val="-32"/>
                            <w:sz w:val="18"/>
                          </w:rPr>
                          <w:t> </w:t>
                        </w:r>
                        <w:r>
                          <w:rPr>
                            <w:rFonts w:ascii="Times New Roman"/>
                            <w:sz w:val="18"/>
                          </w:rPr>
                          <w:t>INTERNATIONAL</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L</w:t>
                        </w:r>
                        <w:r>
                          <w:rPr>
                            <w:rFonts w:ascii="Times New Roman" w:hAnsi="Times New Roman" w:cs="Times New Roman" w:eastAsia="Times New Roman" w:hint="default"/>
                            <w:w w:val="99"/>
                            <w:sz w:val="18"/>
                            <w:szCs w:val="18"/>
                          </w:rPr>
                          <w:t>IM</w:t>
                        </w:r>
                        <w:r>
                          <w:rPr>
                            <w:rFonts w:ascii="Times New Roman" w:hAnsi="Times New Roman" w:cs="Times New Roman" w:eastAsia="Times New Roman" w:hint="default"/>
                            <w:w w:val="99"/>
                            <w:sz w:val="18"/>
                            <w:szCs w:val="18"/>
                          </w:rPr>
                          <w:t>I</w:t>
                        </w:r>
                        <w:r>
                          <w:rPr>
                            <w:rFonts w:ascii="Times New Roman" w:hAnsi="Times New Roman" w:cs="Times New Roman" w:eastAsia="Times New Roman" w:hint="default"/>
                            <w:spacing w:val="-2"/>
                            <w:w w:val="99"/>
                            <w:sz w:val="18"/>
                            <w:szCs w:val="18"/>
                          </w:rPr>
                          <w:t>T</w:t>
                        </w:r>
                        <w:r>
                          <w:rPr>
                            <w:rFonts w:ascii="Times New Roman" w:hAnsi="Times New Roman" w:cs="Times New Roman" w:eastAsia="Times New Roman" w:hint="default"/>
                            <w:w w:val="99"/>
                            <w:sz w:val="18"/>
                            <w:szCs w:val="18"/>
                          </w:rPr>
                          <w:t>ED</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未在英国发生经营</w:t>
                        </w:r>
                        <w:r>
                          <w:rPr>
                            <w:rFonts w:ascii="宋体" w:hAnsi="宋体" w:cs="宋体" w:eastAsia="宋体" w:hint="default"/>
                            <w:spacing w:val="2"/>
                            <w:sz w:val="18"/>
                            <w:szCs w:val="18"/>
                          </w:rPr>
                          <w:t>行</w:t>
                        </w:r>
                        <w:r>
                          <w:rPr>
                            <w:rFonts w:ascii="宋体" w:hAnsi="宋体" w:cs="宋体" w:eastAsia="宋体" w:hint="default"/>
                            <w:sz w:val="18"/>
                            <w:szCs w:val="18"/>
                          </w:rPr>
                          <w:t>为</w:t>
                        </w:r>
                        <w:r>
                          <w:rPr>
                            <w:rFonts w:ascii="宋体" w:hAnsi="宋体" w:cs="宋体" w:eastAsia="宋体" w:hint="default"/>
                            <w:spacing w:val="-92"/>
                            <w:sz w:val="18"/>
                            <w:szCs w:val="18"/>
                          </w:rPr>
                          <w:t>，</w:t>
                        </w:r>
                        <w:r>
                          <w:rPr>
                            <w:rFonts w:ascii="宋体" w:hAnsi="宋体" w:cs="宋体" w:eastAsia="宋体" w:hint="default"/>
                            <w:sz w:val="18"/>
                            <w:szCs w:val="18"/>
                          </w:rPr>
                          <w:t>暂不需向英国缴纳所得税</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BodyText"/>
        <w:spacing w:line="240" w:lineRule="auto" w:before="44"/>
        <w:ind w:left="0" w:right="1139"/>
        <w:jc w:val="right"/>
      </w:pPr>
      <w:r>
        <w:rPr/>
        <w:t>。</w:t>
      </w:r>
    </w:p>
    <w:p>
      <w:pPr>
        <w:spacing w:line="240" w:lineRule="auto" w:before="4"/>
        <w:rPr>
          <w:rFonts w:ascii="宋体" w:hAnsi="宋体" w:cs="宋体" w:eastAsia="宋体" w:hint="default"/>
          <w:sz w:val="28"/>
          <w:szCs w:val="28"/>
        </w:rPr>
      </w:pPr>
    </w:p>
    <w:p>
      <w:pPr>
        <w:pStyle w:val="Heading3"/>
        <w:spacing w:line="240" w:lineRule="auto"/>
        <w:ind w:right="0"/>
        <w:jc w:val="both"/>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5"/>
        <w:rPr>
          <w:rFonts w:ascii="宋体" w:hAnsi="宋体" w:cs="宋体" w:eastAsia="宋体" w:hint="default"/>
          <w:b/>
          <w:bCs/>
          <w:sz w:val="32"/>
          <w:szCs w:val="32"/>
        </w:rPr>
      </w:pPr>
    </w:p>
    <w:p>
      <w:pPr>
        <w:pStyle w:val="BodyText"/>
        <w:spacing w:line="451" w:lineRule="auto"/>
        <w:ind w:right="1139" w:firstLine="360"/>
        <w:jc w:val="both"/>
      </w:pPr>
      <w:r>
        <w:rPr/>
        <w:t>企业所得税：本公司于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7</w:t>
      </w:r>
      <w:r>
        <w:rPr/>
        <w:t>日重新取得江苏省科学技术厅、江苏省财政厅、江苏省国家税务局和江苏省地方税 务局联合颁发的《高新技术企业证书》（有效期</w:t>
      </w:r>
      <w:r>
        <w:rPr>
          <w:rFonts w:ascii="Times New Roman" w:hAnsi="Times New Roman" w:cs="Times New Roman" w:eastAsia="Times New Roman" w:hint="default"/>
        </w:rPr>
        <w:t>3</w:t>
      </w:r>
      <w:r>
        <w:rPr/>
        <w:t>年），享受自认定年度起三年内减按</w:t>
      </w:r>
      <w:r>
        <w:rPr>
          <w:rFonts w:ascii="Times New Roman" w:hAnsi="Times New Roman" w:cs="Times New Roman" w:eastAsia="Times New Roman" w:hint="default"/>
        </w:rPr>
        <w:t>15%</w:t>
      </w:r>
      <w:r>
        <w:rPr/>
        <w:t>的税率缴纳企业所得税的优惠政 策。因此，本公司本期实际减按</w:t>
      </w:r>
      <w:r>
        <w:rPr>
          <w:rFonts w:ascii="Times New Roman" w:hAnsi="Times New Roman" w:cs="Times New Roman" w:eastAsia="Times New Roman" w:hint="default"/>
        </w:rPr>
        <w:t>15%</w:t>
      </w:r>
      <w:r>
        <w:rPr/>
        <w:t>的税率缴纳企业所得税。</w:t>
      </w:r>
    </w:p>
    <w:p>
      <w:pPr>
        <w:pStyle w:val="BodyText"/>
        <w:spacing w:line="487" w:lineRule="auto" w:before="84"/>
        <w:ind w:left="513" w:right="1483"/>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公司控股子公司闽保信息所属行业为软件与信息技术服务业，享受如下税收优惠：</w:t>
      </w:r>
    </w:p>
    <w:p>
      <w:pPr>
        <w:pStyle w:val="BodyText"/>
        <w:spacing w:line="240" w:lineRule="auto" w:before="47"/>
        <w:ind w:left="513" w:right="1133"/>
        <w:jc w:val="left"/>
      </w:pPr>
      <w:r>
        <w:rPr>
          <w:rFonts w:ascii="Times New Roman" w:hAnsi="Times New Roman" w:cs="Times New Roman" w:eastAsia="Times New Roman" w:hint="default"/>
        </w:rPr>
        <w:t>1</w:t>
      </w:r>
      <w:r>
        <w:rPr/>
        <w:t>、增值税</w:t>
      </w:r>
    </w:p>
    <w:p>
      <w:pPr>
        <w:spacing w:line="240" w:lineRule="auto" w:before="9"/>
        <w:rPr>
          <w:rFonts w:ascii="宋体" w:hAnsi="宋体" w:cs="宋体" w:eastAsia="宋体" w:hint="default"/>
          <w:sz w:val="16"/>
          <w:szCs w:val="16"/>
        </w:rPr>
      </w:pPr>
    </w:p>
    <w:p>
      <w:pPr>
        <w:pStyle w:val="BodyText"/>
        <w:spacing w:line="451" w:lineRule="auto"/>
        <w:ind w:left="513" w:right="1129"/>
        <w:jc w:val="left"/>
        <w:rPr>
          <w:rFonts w:ascii="Times New Roman" w:hAnsi="Times New Roman" w:cs="Times New Roman" w:eastAsia="Times New Roman" w:hint="default"/>
        </w:rPr>
      </w:pPr>
      <w:r>
        <w:rPr/>
        <w:t>本公司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30</w:t>
      </w:r>
      <w:r>
        <w:rPr/>
        <w:t>日，被福建省经济和信息化委员会授予《软件企业企业认定证书》（编号为闽</w:t>
      </w:r>
      <w:r>
        <w:rPr>
          <w:rFonts w:ascii="Times New Roman" w:hAnsi="Times New Roman" w:cs="Times New Roman" w:eastAsia="Times New Roman" w:hint="default"/>
        </w:rPr>
        <w:t>R-2014-0086</w:t>
      </w:r>
      <w:r>
        <w:rPr/>
        <w:t>）。 </w:t>
      </w:r>
      <w:r>
        <w:rPr>
          <w:spacing w:val="-7"/>
        </w:rPr>
        <w:t>根据财政部、国家税务总局、海关总署《关于鼓励软件产业和集成电路产业发展有关税收政策问题的通知》（财税</w:t>
      </w:r>
      <w:r>
        <w:rPr>
          <w:rFonts w:ascii="Times New Roman" w:hAnsi="Times New Roman" w:cs="Times New Roman" w:eastAsia="Times New Roman" w:hint="default"/>
          <w:spacing w:val="-7"/>
        </w:rPr>
        <w:t>[2000]25</w:t>
      </w:r>
    </w:p>
    <w:p>
      <w:pPr>
        <w:pStyle w:val="BodyText"/>
        <w:spacing w:line="451" w:lineRule="auto" w:before="43"/>
        <w:ind w:right="1131"/>
        <w:jc w:val="both"/>
      </w:pPr>
      <w:r>
        <w:rPr/>
        <w:t>号）文件的规定，自</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24</w:t>
      </w:r>
      <w:r>
        <w:rPr/>
        <w:t>日起至</w:t>
      </w:r>
      <w:r>
        <w:rPr>
          <w:rFonts w:ascii="Times New Roman" w:hAnsi="Times New Roman" w:cs="Times New Roman" w:eastAsia="Times New Roman" w:hint="default"/>
        </w:rPr>
        <w:t>2010</w:t>
      </w:r>
      <w:r>
        <w:rPr/>
        <w:t>年底以前，对增值税一般纳税人销售其自行开发生产的软件产品，按</w:t>
      </w:r>
      <w:r>
        <w:rPr>
          <w:rFonts w:ascii="Times New Roman" w:hAnsi="Times New Roman" w:cs="Times New Roman" w:eastAsia="Times New Roman" w:hint="default"/>
        </w:rPr>
        <w:t>17</w:t>
      </w:r>
      <w:r>
        <w:rPr/>
        <w:t>％的法</w:t>
      </w:r>
      <w:r>
        <w:rPr>
          <w:spacing w:val="-86"/>
        </w:rPr>
        <w:t> </w:t>
      </w:r>
      <w:r>
        <w:rPr/>
        <w:t>定税率征收增值税后，对其增值税实际税负超过</w:t>
      </w:r>
      <w:r>
        <w:rPr>
          <w:rFonts w:ascii="Times New Roman" w:hAnsi="Times New Roman" w:cs="Times New Roman" w:eastAsia="Times New Roman" w:hint="default"/>
        </w:rPr>
        <w:t>3</w:t>
      </w:r>
      <w:r>
        <w:rPr/>
        <w:t>％的部分实行即征即退政策，本公司从</w:t>
      </w:r>
      <w:r>
        <w:rPr>
          <w:rFonts w:ascii="Times New Roman" w:hAnsi="Times New Roman" w:cs="Times New Roman" w:eastAsia="Times New Roman" w:hint="default"/>
        </w:rPr>
        <w:t>2009</w:t>
      </w:r>
      <w:r>
        <w:rPr/>
        <w:t>年起销售自行开发生产的软件</w:t>
      </w:r>
      <w:r>
        <w:rPr>
          <w:spacing w:val="-85"/>
        </w:rPr>
        <w:t> </w:t>
      </w:r>
      <w:r>
        <w:rPr/>
        <w:t>产品，按</w:t>
      </w:r>
      <w:r>
        <w:rPr>
          <w:rFonts w:ascii="Times New Roman" w:hAnsi="Times New Roman" w:cs="Times New Roman" w:eastAsia="Times New Roman" w:hint="default"/>
        </w:rPr>
        <w:t>17</w:t>
      </w:r>
      <w:r>
        <w:rPr/>
        <w:t>％的法定税率征收增值税后，对其增值税实际税负超过</w:t>
      </w:r>
      <w:r>
        <w:rPr>
          <w:rFonts w:ascii="Times New Roman" w:hAnsi="Times New Roman" w:cs="Times New Roman" w:eastAsia="Times New Roman" w:hint="default"/>
        </w:rPr>
        <w:t>3</w:t>
      </w:r>
      <w:r>
        <w:rPr/>
        <w:t>％的部分实行即征即退政策。</w:t>
      </w:r>
    </w:p>
    <w:p>
      <w:pPr>
        <w:pStyle w:val="BodyText"/>
        <w:spacing w:line="240" w:lineRule="auto" w:before="43"/>
        <w:ind w:left="513" w:right="0"/>
        <w:jc w:val="left"/>
      </w:pPr>
      <w:r>
        <w:rPr/>
        <w:t>根据国务院</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28</w:t>
      </w:r>
      <w:r>
        <w:rPr/>
        <w:t>日下发的《国务院关于印发进一步鼓励软件产业和集成电路产业发展若干政策的通知》（国发</w:t>
      </w:r>
    </w:p>
    <w:p>
      <w:pPr>
        <w:spacing w:line="240" w:lineRule="auto" w:before="9"/>
        <w:rPr>
          <w:rFonts w:ascii="宋体" w:hAnsi="宋体" w:cs="宋体" w:eastAsia="宋体" w:hint="default"/>
          <w:sz w:val="16"/>
          <w:szCs w:val="16"/>
        </w:rPr>
      </w:pPr>
    </w:p>
    <w:p>
      <w:pPr>
        <w:pStyle w:val="BodyText"/>
        <w:spacing w:line="240" w:lineRule="auto"/>
        <w:ind w:right="0"/>
        <w:jc w:val="both"/>
      </w:pPr>
      <w:r>
        <w:rPr/>
        <w:t>〔</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4</w:t>
      </w:r>
      <w:r>
        <w:rPr/>
        <w:t>号），继续实施软件增值税优惠政策。软件增值税即征即退政策在</w:t>
      </w:r>
      <w:r>
        <w:rPr>
          <w:rFonts w:ascii="Times New Roman" w:hAnsi="Times New Roman" w:cs="Times New Roman" w:eastAsia="Times New Roman" w:hint="default"/>
        </w:rPr>
        <w:t>2010</w:t>
      </w:r>
      <w:r>
        <w:rPr/>
        <w:t>年到期后将继续执行。</w:t>
      </w:r>
    </w:p>
    <w:p>
      <w:pPr>
        <w:spacing w:line="240" w:lineRule="auto" w:before="9"/>
        <w:rPr>
          <w:rFonts w:ascii="宋体" w:hAnsi="宋体" w:cs="宋体" w:eastAsia="宋体" w:hint="default"/>
          <w:sz w:val="16"/>
          <w:szCs w:val="16"/>
        </w:rPr>
      </w:pPr>
    </w:p>
    <w:p>
      <w:pPr>
        <w:pStyle w:val="BodyText"/>
        <w:spacing w:line="240" w:lineRule="auto"/>
        <w:ind w:left="513" w:right="1133"/>
        <w:jc w:val="left"/>
      </w:pPr>
      <w:r>
        <w:rPr>
          <w:rFonts w:ascii="Times New Roman" w:hAnsi="Times New Roman" w:cs="Times New Roman" w:eastAsia="Times New Roman" w:hint="default"/>
        </w:rPr>
        <w:t>2</w:t>
      </w:r>
      <w:r>
        <w:rPr/>
        <w:t>、企业所得税</w:t>
      </w:r>
    </w:p>
    <w:p>
      <w:pPr>
        <w:spacing w:line="240" w:lineRule="auto" w:before="9"/>
        <w:rPr>
          <w:rFonts w:ascii="宋体" w:hAnsi="宋体" w:cs="宋体" w:eastAsia="宋体" w:hint="default"/>
          <w:sz w:val="16"/>
          <w:szCs w:val="16"/>
        </w:rPr>
      </w:pPr>
    </w:p>
    <w:p>
      <w:pPr>
        <w:pStyle w:val="BodyText"/>
        <w:spacing w:line="451" w:lineRule="auto"/>
        <w:ind w:right="1135" w:firstLine="360"/>
        <w:jc w:val="both"/>
      </w:pPr>
      <w:r>
        <w:rPr/>
        <w:t>（</w:t>
      </w:r>
      <w:r>
        <w:rPr>
          <w:rFonts w:ascii="Times New Roman" w:hAnsi="Times New Roman" w:cs="Times New Roman" w:eastAsia="Times New Roman" w:hint="default"/>
        </w:rPr>
        <w:t>1</w:t>
      </w:r>
      <w:r>
        <w:rPr/>
        <w:t>）本公司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02</w:t>
      </w:r>
      <w:r>
        <w:rPr/>
        <w:t>日，被福建省科学技术厅、福建省财政厅、国家税务总局福建省税务局联合授予《高新技术 企业认定证书》（编号为</w:t>
      </w:r>
      <w:r>
        <w:rPr>
          <w:rFonts w:ascii="Times New Roman" w:hAnsi="Times New Roman" w:cs="Times New Roman" w:eastAsia="Times New Roman" w:hint="default"/>
        </w:rPr>
        <w:t>GR201935001101</w:t>
      </w:r>
      <w:r>
        <w:rPr/>
        <w:t>），资格有效期三年，依据《中华人民共和国企业所得税法》、《中华人民共和</w:t>
      </w:r>
      <w:r>
        <w:rPr>
          <w:spacing w:val="-74"/>
        </w:rPr>
        <w:t> </w:t>
      </w:r>
      <w:r>
        <w:rPr>
          <w:spacing w:val="-74"/>
        </w:rPr>
      </w:r>
      <w:r>
        <w:rPr/>
        <w:t>国企业所得税法实施条例》减按</w:t>
      </w:r>
      <w:r>
        <w:rPr>
          <w:rFonts w:ascii="Times New Roman" w:hAnsi="Times New Roman" w:cs="Times New Roman" w:eastAsia="Times New Roman" w:hint="default"/>
        </w:rPr>
        <w:t>15</w:t>
      </w:r>
      <w:r>
        <w:rPr/>
        <w:t>％的税率征收企业所得税。</w:t>
      </w:r>
    </w:p>
    <w:p>
      <w:pPr>
        <w:pStyle w:val="BodyText"/>
        <w:spacing w:line="451" w:lineRule="auto" w:before="43"/>
        <w:ind w:right="1129" w:firstLine="360"/>
        <w:jc w:val="both"/>
      </w:pPr>
      <w:r>
        <w:rPr/>
        <w:t>（</w:t>
      </w:r>
      <w:r>
        <w:rPr>
          <w:rFonts w:ascii="Times New Roman" w:hAnsi="Times New Roman" w:cs="Times New Roman" w:eastAsia="Times New Roman" w:hint="default"/>
        </w:rPr>
        <w:t>2</w:t>
      </w:r>
      <w:r>
        <w:rPr/>
        <w:t>）根据《关于提高研究开发费用税前加计扣除比例的通知》（财税</w:t>
      </w:r>
      <w:r>
        <w:rPr>
          <w:rFonts w:ascii="Times New Roman" w:hAnsi="Times New Roman" w:cs="Times New Roman" w:eastAsia="Times New Roman" w:hint="default"/>
        </w:rPr>
        <w:t>[2018]99</w:t>
      </w:r>
      <w:r>
        <w:rPr/>
        <w:t>号），研究开发费用计入当期损益未形 </w:t>
      </w:r>
      <w:r>
        <w:rPr>
          <w:spacing w:val="-1"/>
        </w:rPr>
        <w:t>成无形资产的，在</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日至</w:t>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日期间，允许再按其当年研究开发费用实际发生额的</w:t>
      </w:r>
      <w:r>
        <w:rPr>
          <w:rFonts w:ascii="Times New Roman" w:hAnsi="Times New Roman" w:cs="Times New Roman" w:eastAsia="Times New Roman" w:hint="default"/>
          <w:spacing w:val="-1"/>
        </w:rPr>
        <w:t>75%</w:t>
      </w:r>
      <w:r>
        <w:rPr>
          <w:spacing w:val="-1"/>
        </w:rPr>
        <w:t>，直接抵扣当年应</w:t>
      </w:r>
      <w:r>
        <w:rPr/>
        <w:t> 纳税所得额。</w:t>
      </w:r>
    </w:p>
    <w:p>
      <w:pPr>
        <w:spacing w:after="0" w:line="451" w:lineRule="auto"/>
        <w:jc w:val="both"/>
        <w:sectPr>
          <w:pgSz w:w="11910" w:h="16840"/>
          <w:pgMar w:header="877" w:footer="980" w:top="1100" w:bottom="1160" w:left="980" w:right="0"/>
        </w:sectPr>
      </w:pPr>
    </w:p>
    <w:p>
      <w:pPr>
        <w:spacing w:line="240" w:lineRule="auto" w:before="11"/>
        <w:rPr>
          <w:rFonts w:ascii="宋体" w:hAnsi="宋体" w:cs="宋体" w:eastAsia="宋体" w:hint="default"/>
          <w:sz w:val="27"/>
          <w:szCs w:val="27"/>
        </w:rPr>
      </w:pPr>
    </w:p>
    <w:p>
      <w:pPr>
        <w:pStyle w:val="BodyText"/>
        <w:spacing w:line="240" w:lineRule="auto" w:before="44"/>
        <w:ind w:left="513" w:right="1133"/>
        <w:jc w:val="left"/>
      </w:pPr>
      <w:r>
        <w:rPr>
          <w:rFonts w:ascii="Times New Roman" w:hAnsi="Times New Roman" w:cs="Times New Roman" w:eastAsia="Times New Roman" w:hint="default"/>
        </w:rPr>
        <w:t>3</w:t>
      </w:r>
      <w:r>
        <w:rPr/>
        <w:t>、印花税</w:t>
      </w:r>
    </w:p>
    <w:p>
      <w:pPr>
        <w:spacing w:line="240" w:lineRule="auto" w:before="10"/>
        <w:rPr>
          <w:rFonts w:ascii="宋体" w:hAnsi="宋体" w:cs="宋体" w:eastAsia="宋体" w:hint="default"/>
          <w:sz w:val="16"/>
          <w:szCs w:val="16"/>
        </w:rPr>
      </w:pPr>
    </w:p>
    <w:p>
      <w:pPr>
        <w:pStyle w:val="BodyText"/>
        <w:spacing w:line="451" w:lineRule="auto"/>
        <w:ind w:right="1120" w:firstLine="360"/>
        <w:jc w:val="left"/>
      </w:pPr>
      <w:r>
        <w:rPr/>
        <w:t>根据《财政部</w:t>
      </w:r>
      <w:r>
        <w:rPr>
          <w:spacing w:val="4"/>
        </w:rPr>
        <w:t> </w:t>
      </w:r>
      <w:r>
        <w:rPr/>
        <w:t>税务总局关于对营业账簿减免印花税的通知》（财税〔</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50</w:t>
      </w:r>
      <w:r>
        <w:rPr/>
        <w:t>号）的规定，自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t>日起，对按 万分之五税率贴花的资金账簿减半征收印花税，对按件贴花五元的其他账簿免征印花税。</w:t>
      </w:r>
    </w:p>
    <w:p>
      <w:pPr>
        <w:spacing w:line="240" w:lineRule="auto" w:before="12"/>
        <w:rPr>
          <w:rFonts w:ascii="宋体" w:hAnsi="宋体" w:cs="宋体" w:eastAsia="宋体" w:hint="default"/>
          <w:sz w:val="20"/>
          <w:szCs w:val="20"/>
        </w:rPr>
      </w:pPr>
    </w:p>
    <w:p>
      <w:pPr>
        <w:pStyle w:val="Heading3"/>
        <w:spacing w:line="240" w:lineRule="auto" w:before="0"/>
        <w:ind w:right="1133"/>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不适用。</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before="0"/>
        <w:ind w:right="1133"/>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160,625.46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147,539.49</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188,353,720.12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159,754,259.25</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211,604.12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514,740.00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188,725,949.70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160,416,538.74</w:t>
            </w:r>
          </w:p>
        </w:tc>
      </w:tr>
      <w:tr>
        <w:trPr>
          <w:trHeight w:val="71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3" w:firstLine="720"/>
              <w:jc w:val="left"/>
              <w:rPr>
                <w:rFonts w:ascii="宋体" w:hAnsi="宋体" w:cs="宋体" w:eastAsia="宋体" w:hint="default"/>
                <w:sz w:val="18"/>
                <w:szCs w:val="18"/>
              </w:rPr>
            </w:pPr>
            <w:r>
              <w:rPr>
                <w:rFonts w:ascii="宋体" w:hAnsi="宋体" w:cs="宋体" w:eastAsia="宋体" w:hint="default"/>
                <w:sz w:val="18"/>
                <w:szCs w:val="18"/>
              </w:rPr>
              <w:t>因抵押、质押或冻结等对使用 有限制的款项总额</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514,740.00</w:t>
            </w:r>
          </w:p>
        </w:tc>
      </w:tr>
    </w:tbl>
    <w:p>
      <w:pPr>
        <w:pStyle w:val="BodyText"/>
        <w:spacing w:line="360" w:lineRule="auto" w:before="49"/>
        <w:ind w:right="7964"/>
        <w:jc w:val="left"/>
      </w:pPr>
      <w:r>
        <w:rPr/>
        <w:t>其他说明 期初外汇掉期保证金</w:t>
      </w:r>
      <w:r>
        <w:rPr>
          <w:rFonts w:ascii="Times New Roman" w:hAnsi="Times New Roman" w:cs="Times New Roman" w:eastAsia="Times New Roman" w:hint="default"/>
        </w:rPr>
        <w:t>514,740.00</w:t>
      </w:r>
      <w:r>
        <w:rPr/>
        <w:t>元。</w:t>
      </w:r>
    </w:p>
    <w:p>
      <w:pPr>
        <w:spacing w:line="240" w:lineRule="auto" w:before="7"/>
        <w:rPr>
          <w:rFonts w:ascii="宋体" w:hAnsi="宋体" w:cs="宋体" w:eastAsia="宋体" w:hint="default"/>
          <w:sz w:val="18"/>
          <w:szCs w:val="18"/>
        </w:rPr>
      </w:pPr>
    </w:p>
    <w:p>
      <w:pPr>
        <w:pStyle w:val="Heading3"/>
        <w:spacing w:line="240" w:lineRule="auto" w:before="0"/>
        <w:ind w:right="1133"/>
        <w:jc w:val="left"/>
        <w:rPr>
          <w:b w:val="0"/>
          <w:bCs w:val="0"/>
        </w:rPr>
      </w:pPr>
      <w:r>
        <w:rPr>
          <w:rFonts w:ascii="Times New Roman" w:hAnsi="Times New Roman" w:cs="Times New Roman" w:eastAsia="Times New Roman" w:hint="default"/>
        </w:rPr>
        <w:t>2</w:t>
      </w:r>
      <w:r>
        <w:rPr/>
        <w:t>、交易性金融资产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80"/>
        <w:gridCol w:w="3189"/>
        <w:gridCol w:w="3190"/>
      </w:tblGrid>
      <w:tr>
        <w:trPr>
          <w:trHeight w:val="401" w:hRule="exact"/>
        </w:trPr>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6"/>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的金融资产</w:t>
            </w:r>
          </w:p>
        </w:tc>
        <w:tc>
          <w:tcPr>
            <w:tcW w:w="318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外汇掉期</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74,812.50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74,812.50</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、应收票据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before="0"/>
        <w:ind w:right="1133"/>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629,738.00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861,938.00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629,738.00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861,938.00</w:t>
            </w:r>
          </w:p>
        </w:tc>
      </w:tr>
    </w:tbl>
    <w:p>
      <w:pPr>
        <w:pStyle w:val="BodyText"/>
        <w:spacing w:line="240" w:lineRule="auto" w:before="49"/>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4"/>
        <w:gridCol w:w="761"/>
        <w:gridCol w:w="763"/>
        <w:gridCol w:w="790"/>
        <w:gridCol w:w="775"/>
        <w:gridCol w:w="797"/>
        <w:gridCol w:w="932"/>
        <w:gridCol w:w="797"/>
        <w:gridCol w:w="792"/>
      </w:tblGrid>
      <w:tr>
        <w:trPr>
          <w:trHeight w:val="403"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1133"/>
        <w:jc w:val="left"/>
      </w:pPr>
      <w:r>
        <w:rPr/>
        <w:t>按单项计提坏账准备：</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04"/>
      </w:tblGrid>
      <w:tr>
        <w:trPr>
          <w:trHeight w:val="403"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4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49"/>
        <w:ind w:right="1133"/>
        <w:jc w:val="left"/>
      </w:pPr>
      <w:r>
        <w:rPr/>
        <w:t>按组合计提坏账准备：</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0"/>
      </w:tblGrid>
      <w:tr>
        <w:trPr>
          <w:trHeight w:val="403"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60" w:lineRule="auto" w:before="49"/>
        <w:ind w:right="1754"/>
        <w:jc w:val="left"/>
      </w:pPr>
      <w:r>
        <w:rPr/>
        <w:t>确定该组合依据的说明： 如是按照预期信用损失一般模型计提应收票据坏账准备，请参照其他应收款的披露方式披露坏账准备的相关信息：</w:t>
      </w:r>
    </w:p>
    <w:p>
      <w:pPr>
        <w:pStyle w:val="BodyText"/>
        <w:spacing w:line="240" w:lineRule="auto" w:before="2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before="0"/>
        <w:ind w:right="113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本期计提坏账准备情况：</w:t>
      </w:r>
    </w:p>
    <w:p>
      <w:pPr>
        <w:pStyle w:val="BodyText"/>
        <w:spacing w:line="240" w:lineRule="auto" w:before="118"/>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3"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1133"/>
        <w:jc w:val="left"/>
      </w:pPr>
      <w:r>
        <w:rPr/>
        <w:t>其中本期坏账准备收回或转回金额重要的：</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）期末公司已质押的应收票据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）期末公司已背书或贴现且在资产负债表日尚未到期的应收票据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t>（</w:t>
      </w:r>
      <w:r>
        <w:rPr>
          <w:rFonts w:ascii="Times New Roman" w:hAnsi="Times New Roman" w:cs="Times New Roman" w:eastAsia="Times New Roman" w:hint="default"/>
        </w:rPr>
        <w:t>5</w:t>
      </w:r>
      <w:r>
        <w:rPr/>
        <w:t>）期末公司因出票人未履约而将其转应收账款的票据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7"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t>（</w:t>
      </w:r>
      <w:r>
        <w:rPr>
          <w:rFonts w:ascii="Times New Roman" w:hAnsi="Times New Roman" w:cs="Times New Roman" w:eastAsia="Times New Roman" w:hint="default"/>
        </w:rPr>
        <w:t>6</w:t>
      </w:r>
      <w:r>
        <w:rPr/>
        <w:t>）本期实际核销的应收票据情况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1133"/>
        <w:jc w:val="left"/>
      </w:pPr>
      <w:r>
        <w:rPr/>
        <w:t>其中重要的应收票据核销情况：</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应收票据性质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23"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before="0"/>
        <w:ind w:right="1133"/>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4"/>
        <w:gridCol w:w="761"/>
        <w:gridCol w:w="763"/>
        <w:gridCol w:w="790"/>
        <w:gridCol w:w="775"/>
        <w:gridCol w:w="797"/>
        <w:gridCol w:w="800"/>
        <w:gridCol w:w="790"/>
        <w:gridCol w:w="931"/>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800"/>
        <w:gridCol w:w="790"/>
        <w:gridCol w:w="931"/>
      </w:tblGrid>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59"/>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left="72" w:right="0"/>
              <w:jc w:val="center"/>
              <w:rPr>
                <w:rFonts w:ascii="Times New Roman" w:hAnsi="Times New Roman" w:cs="Times New Roman" w:eastAsia="Times New Roman" w:hint="default"/>
                <w:sz w:val="18"/>
                <w:szCs w:val="18"/>
              </w:rPr>
            </w:pPr>
            <w:r>
              <w:rPr>
                <w:rFonts w:ascii="Times New Roman"/>
                <w:sz w:val="18"/>
              </w:rPr>
              <w:t>189,969,</w:t>
            </w:r>
          </w:p>
          <w:p>
            <w:pPr>
              <w:pStyle w:val="TableParagraph"/>
              <w:spacing w:line="240" w:lineRule="auto" w:before="102"/>
              <w:ind w:left="209" w:right="0"/>
              <w:jc w:val="center"/>
              <w:rPr>
                <w:rFonts w:ascii="Times New Roman" w:hAnsi="Times New Roman" w:cs="Times New Roman" w:eastAsia="Times New Roman" w:hint="default"/>
                <w:sz w:val="18"/>
                <w:szCs w:val="18"/>
              </w:rPr>
            </w:pPr>
            <w:r>
              <w:rPr>
                <w:rFonts w:ascii="Times New Roman"/>
                <w:sz w:val="18"/>
              </w:rPr>
              <w:t>651.78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8" w:right="0"/>
              <w:jc w:val="left"/>
              <w:rPr>
                <w:rFonts w:ascii="Times New Roman" w:hAnsi="Times New Roman" w:cs="Times New Roman" w:eastAsia="Times New Roman" w:hint="default"/>
                <w:sz w:val="18"/>
                <w:szCs w:val="18"/>
              </w:rPr>
            </w:pPr>
            <w:r>
              <w:rPr>
                <w:rFonts w:ascii="Times New Roman"/>
                <w:sz w:val="18"/>
              </w:rPr>
              <w:t>18,497,0</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35.95</w:t>
            </w: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5" w:right="0"/>
              <w:jc w:val="left"/>
              <w:rPr>
                <w:rFonts w:ascii="Times New Roman" w:hAnsi="Times New Roman" w:cs="Times New Roman" w:eastAsia="Times New Roman" w:hint="default"/>
                <w:sz w:val="18"/>
                <w:szCs w:val="18"/>
              </w:rPr>
            </w:pPr>
            <w:r>
              <w:rPr>
                <w:rFonts w:ascii="Times New Roman"/>
                <w:sz w:val="18"/>
              </w:rPr>
              <w:t>171,472,6</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15.83</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122,042,8</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09.58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6,334,443</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.66</w:t>
            </w: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6" w:right="0"/>
              <w:jc w:val="left"/>
              <w:rPr>
                <w:rFonts w:ascii="Times New Roman" w:hAnsi="Times New Roman" w:cs="Times New Roman" w:eastAsia="Times New Roman" w:hint="default"/>
                <w:sz w:val="18"/>
                <w:szCs w:val="18"/>
              </w:rPr>
            </w:pPr>
            <w:r>
              <w:rPr>
                <w:rFonts w:ascii="Times New Roman"/>
                <w:sz w:val="18"/>
              </w:rPr>
              <w:t>115,708,36</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5.92</w:t>
            </w: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销售货款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170,319,</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080.30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4" w:right="0"/>
              <w:jc w:val="center"/>
              <w:rPr>
                <w:rFonts w:ascii="Times New Roman" w:hAnsi="Times New Roman" w:cs="Times New Roman" w:eastAsia="Times New Roman" w:hint="default"/>
                <w:sz w:val="18"/>
                <w:szCs w:val="18"/>
              </w:rPr>
            </w:pPr>
            <w:r>
              <w:rPr>
                <w:rFonts w:ascii="Times New Roman"/>
                <w:sz w:val="18"/>
              </w:rPr>
              <w:t>89.66%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18,398,7</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83.09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10.80%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151,920,2</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97.21</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101,215,4</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51.77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82.93%</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6,230,306</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.87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94,985,144.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90</w:t>
            </w: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保理款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19,650,5</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71.48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10.34%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98,252.8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19,552,31</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8.62</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20,827,35</w:t>
            </w:r>
          </w:p>
          <w:p>
            <w:pPr>
              <w:pStyle w:val="TableParagraph"/>
              <w:spacing w:line="240" w:lineRule="auto" w:before="105"/>
              <w:ind w:left="429" w:right="0"/>
              <w:jc w:val="left"/>
              <w:rPr>
                <w:rFonts w:ascii="Times New Roman" w:hAnsi="Times New Roman" w:cs="Times New Roman" w:eastAsia="Times New Roman" w:hint="default"/>
                <w:sz w:val="18"/>
                <w:szCs w:val="18"/>
              </w:rPr>
            </w:pPr>
            <w:r>
              <w:rPr>
                <w:rFonts w:ascii="Times New Roman"/>
                <w:sz w:val="18"/>
              </w:rPr>
              <w:t>7.81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17.07%</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104,136.7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20,723,221.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02</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189,969,</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651.78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18,497,0</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35.95</w:t>
            </w: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171,472,6</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15.83</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122,042,8</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09.58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6,334,443</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.66</w:t>
            </w: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6" w:right="0"/>
              <w:jc w:val="left"/>
              <w:rPr>
                <w:rFonts w:ascii="Times New Roman" w:hAnsi="Times New Roman" w:cs="Times New Roman" w:eastAsia="Times New Roman" w:hint="default"/>
                <w:sz w:val="18"/>
                <w:szCs w:val="18"/>
              </w:rPr>
            </w:pPr>
            <w:r>
              <w:rPr>
                <w:rFonts w:ascii="Times New Roman"/>
                <w:sz w:val="18"/>
              </w:rPr>
              <w:t>115,708,36</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5.92</w:t>
            </w:r>
          </w:p>
        </w:tc>
      </w:tr>
      <w:tr>
        <w:trPr>
          <w:trHeight w:val="71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189,969,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651.78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18,497,0</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35.95</w:t>
            </w: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171,472,6</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15.83</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122,042,8</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09.58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6,334,443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.66</w:t>
            </w: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115,708,36</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5.92</w:t>
            </w:r>
          </w:p>
        </w:tc>
      </w:tr>
    </w:tbl>
    <w:p>
      <w:pPr>
        <w:pStyle w:val="BodyText"/>
        <w:spacing w:line="240" w:lineRule="auto" w:before="49"/>
        <w:ind w:right="1133"/>
        <w:jc w:val="left"/>
      </w:pPr>
      <w:r>
        <w:rPr/>
        <w:t>按单项计提坏账准备：</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04"/>
      </w:tblGrid>
      <w:tr>
        <w:trPr>
          <w:trHeight w:val="401"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4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49"/>
        <w:ind w:right="1133"/>
        <w:jc w:val="left"/>
      </w:pPr>
      <w:r>
        <w:rPr/>
        <w:t>按组合计提坏账准备：</w:t>
      </w:r>
      <w:r>
        <w:rPr>
          <w:rFonts w:ascii="Times New Roman" w:hAnsi="Times New Roman" w:cs="Times New Roman" w:eastAsia="Times New Roman" w:hint="default"/>
        </w:rPr>
        <w:t>98,252.86 </w:t>
      </w:r>
      <w:r>
        <w:rPr/>
        <w:t>元</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正常类（未逾期的应收保理款 项）</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19,650,571.48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98,252.86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19,650,571.48</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98,252.86</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100" w:bottom="1160" w:left="980" w:right="0"/>
        </w:sectPr>
      </w:pPr>
    </w:p>
    <w:p>
      <w:pPr>
        <w:pStyle w:val="BodyText"/>
        <w:spacing w:line="357" w:lineRule="auto" w:before="49"/>
        <w:ind w:right="-16"/>
        <w:jc w:val="left"/>
      </w:pPr>
      <w:r>
        <w:rPr/>
        <w:t>确定该组合依据的说明： 按组合计提坏账准备：</w:t>
      </w:r>
      <w:r>
        <w:rPr>
          <w:rFonts w:ascii="Times New Roman" w:hAnsi="Times New Roman" w:cs="Times New Roman" w:eastAsia="Times New Roman" w:hint="default"/>
        </w:rPr>
        <w:t>18,398,783.09</w:t>
      </w:r>
      <w:r>
        <w:rPr>
          <w:rFonts w:ascii="Times New Roman" w:hAnsi="Times New Roman" w:cs="Times New Roman" w:eastAsia="Times New Roman" w:hint="default"/>
          <w:spacing w:val="2"/>
        </w:rPr>
        <w:t> </w:t>
      </w:r>
      <w:r>
        <w:rPr/>
        <w:t>元</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219" w:space="5610"/>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127,510,827.08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6,375,541.36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28,954,039.34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2,895,403.93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6,751,965.83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2,025,589.75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7,102,248.05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7,102,248.05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170,319,080.30</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18,398,783.09</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49"/>
        <w:ind w:right="1129"/>
        <w:jc w:val="left"/>
      </w:pPr>
      <w:r>
        <w:rPr/>
        <w:t>确定该组合依据的说明： </w:t>
      </w:r>
      <w:r>
        <w:rPr>
          <w:spacing w:val="-2"/>
        </w:rPr>
        <w:t>以上组合以应收款项的账龄作为信用风险特征。对于划分为组合的应收账款，本公司参考历史信用损失经验，结合当前状况</w:t>
      </w:r>
      <w:r>
        <w:rPr>
          <w:spacing w:val="-63"/>
        </w:rPr>
        <w:t> </w:t>
      </w:r>
      <w:r>
        <w:rPr>
          <w:spacing w:val="-63"/>
        </w:rPr>
      </w:r>
      <w:r>
        <w:rPr/>
        <w:t>以及对未来经济状况的预测，编制应收账款账龄与整个存续期预期信用损失率对照表，计算预期信用损失。</w:t>
      </w:r>
    </w:p>
    <w:p>
      <w:pPr>
        <w:spacing w:after="0" w:line="338" w:lineRule="auto"/>
        <w:jc w:val="left"/>
        <w:sectPr>
          <w:type w:val="continuous"/>
          <w:pgSz w:w="11910" w:h="16840"/>
          <w:pgMar w:top="106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right="1133"/>
        <w:jc w:val="left"/>
      </w:pPr>
      <w:r>
        <w:rPr/>
        <w:t>按组合计提坏账准备：</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0"/>
      </w:tblGrid>
      <w:tr>
        <w:trPr>
          <w:trHeight w:val="403"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60" w:lineRule="auto" w:before="49"/>
        <w:ind w:right="1754"/>
        <w:jc w:val="left"/>
      </w:pPr>
      <w:r>
        <w:rPr/>
        <w:t>确定该组合依据的说明： 如是按照预期信用损失一般模型计提应收账款坏账准备，请参照其他应收款的披露方式披露坏账准备的相关信息：</w:t>
      </w:r>
    </w:p>
    <w:p>
      <w:pPr>
        <w:pStyle w:val="BodyText"/>
        <w:spacing w:line="340" w:lineRule="auto" w:before="2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pStyle w:val="BodyText"/>
        <w:spacing w:line="240" w:lineRule="auto" w:before="4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147,161,398.56</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28,954,039.34</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6,751,965.83</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7,102,248.05</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7,094,248.05</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8,000.00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189,969,651.78</w:t>
            </w:r>
          </w:p>
        </w:tc>
      </w:tr>
    </w:tbl>
    <w:p>
      <w:pPr>
        <w:pStyle w:val="BodyText"/>
        <w:spacing w:line="240" w:lineRule="auto" w:before="49"/>
        <w:ind w:right="1133"/>
        <w:jc w:val="left"/>
      </w:pPr>
      <w:r>
        <w:rPr/>
        <w:t>公司需要遵守《深圳证券交易所行业信息披露指引第</w:t>
      </w:r>
      <w:r>
        <w:rPr>
          <w:spacing w:val="-46"/>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13"/>
        <w:rPr>
          <w:rFonts w:ascii="宋体" w:hAnsi="宋体" w:cs="宋体" w:eastAsia="宋体" w:hint="default"/>
          <w:sz w:val="25"/>
          <w:szCs w:val="25"/>
        </w:rPr>
      </w:pPr>
    </w:p>
    <w:p>
      <w:pPr>
        <w:pStyle w:val="Heading3"/>
        <w:spacing w:line="240" w:lineRule="auto" w:before="0"/>
        <w:ind w:right="113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本期计提坏账准备情况：</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备的应收账款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6,334,443.66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12,162,592.29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18,497,035.95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6,334,443.66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12,162,592.29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18,497,035.95</w:t>
            </w:r>
          </w:p>
        </w:tc>
      </w:tr>
    </w:tbl>
    <w:p>
      <w:pPr>
        <w:pStyle w:val="BodyText"/>
        <w:spacing w:line="240" w:lineRule="auto" w:before="49"/>
        <w:ind w:right="1133"/>
        <w:jc w:val="left"/>
      </w:pPr>
      <w:r>
        <w:rPr/>
        <w:t>其中本期坏账准备收回或转回金额重要的：</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1133"/>
        <w:jc w:val="left"/>
      </w:pPr>
      <w:r>
        <w:rPr/>
        <w:t>其中重要的应收账款核销情况：</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23"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1133"/>
        <w:jc w:val="left"/>
      </w:pPr>
      <w:r>
        <w:rPr/>
        <w:t>应收账款核销说明：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0"/>
        <w:gridCol w:w="2530"/>
        <w:gridCol w:w="2530"/>
        <w:gridCol w:w="2528"/>
      </w:tblGrid>
      <w:tr>
        <w:trPr>
          <w:trHeight w:val="715"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80" w:right="89" w:hanging="992"/>
              <w:jc w:val="left"/>
              <w:rPr>
                <w:rFonts w:ascii="宋体" w:hAnsi="宋体" w:cs="宋体" w:eastAsia="宋体" w:hint="default"/>
                <w:sz w:val="18"/>
                <w:szCs w:val="18"/>
              </w:rPr>
            </w:pPr>
            <w:r>
              <w:rPr>
                <w:rFonts w:ascii="宋体" w:hAnsi="宋体" w:cs="宋体" w:eastAsia="宋体" w:hint="default"/>
                <w:sz w:val="18"/>
                <w:szCs w:val="18"/>
              </w:rPr>
              <w:t>占应收账款期末余额合计数的 比例</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9"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14,842,739.66</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7.81%</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296,018.37</w:t>
            </w:r>
          </w:p>
        </w:tc>
      </w:tr>
      <w:tr>
        <w:trPr>
          <w:trHeight w:val="40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12,600,000.00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6.63%</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630,000.00</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11,038,146.24</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5.81%</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1,027,836.43</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9,670,955.56</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5.09%</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48,354.78</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8,051,850.79</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4.24%</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652,695.10</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56,203,692.25</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29.58%</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6</w:t>
      </w:r>
      <w:r>
        <w:rPr/>
        <w:t>、应收款项融资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33"/>
        <w:jc w:val="left"/>
      </w:pPr>
      <w:r>
        <w:rPr/>
        <w:t>应收款项融资本期增减变动及公允价值变动情况</w:t>
      </w:r>
    </w:p>
    <w:p>
      <w:pPr>
        <w:pStyle w:val="BodyText"/>
        <w:spacing w:line="340" w:lineRule="auto" w:before="115"/>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如是按照预期信用损失一般模型计提应收款项融资减值准备，请参照其他应收款的披露方式披露减值准备的相关信息：</w:t>
      </w:r>
    </w:p>
    <w:p>
      <w:pPr>
        <w:pStyle w:val="BodyText"/>
        <w:spacing w:line="240" w:lineRule="auto" w:before="39"/>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3"/>
        <w:spacing w:line="240" w:lineRule="auto" w:before="0"/>
        <w:ind w:right="1133"/>
        <w:jc w:val="left"/>
        <w:rPr>
          <w:b w:val="0"/>
          <w:bCs w:val="0"/>
        </w:rPr>
      </w:pPr>
      <w:r>
        <w:rPr>
          <w:rFonts w:ascii="Times New Roman" w:hAnsi="Times New Roman" w:cs="Times New Roman" w:eastAsia="Times New Roman" w:hint="default"/>
        </w:rPr>
        <w:t>7</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before="0"/>
        <w:ind w:right="1133"/>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3829"/>
        <w:gridCol w:w="3819"/>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footerReference w:type="default" r:id="rId22"/>
          <w:pgSz w:w="11910" w:h="16840"/>
          <w:pgMar w:footer="980" w:header="877" w:top="1100" w:bottom="1160" w:left="980" w:right="0"/>
          <w:pgNumType w:start="153"/>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5"/>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13,859,448.76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87.69%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7,473,561.12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92.22%</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1,268,231.73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591,859.52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273,649.61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1.73%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0.48%</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404,289.94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15,805,620.04</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8,104,420.64</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3"/>
        <w:rPr>
          <w:rFonts w:ascii="宋体" w:hAnsi="宋体" w:cs="宋体" w:eastAsia="宋体" w:hint="default"/>
          <w:sz w:val="25"/>
          <w:szCs w:val="25"/>
        </w:rPr>
      </w:pPr>
    </w:p>
    <w:p>
      <w:pPr>
        <w:pStyle w:val="Heading3"/>
        <w:spacing w:line="240" w:lineRule="auto" w:before="0"/>
        <w:ind w:right="1133"/>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9"/>
          <w:szCs w:val="29"/>
        </w:rPr>
      </w:pPr>
    </w:p>
    <w:tbl>
      <w:tblPr>
        <w:tblW w:w="0" w:type="auto"/>
        <w:jc w:val="left"/>
        <w:tblInd w:w="702" w:type="dxa"/>
        <w:tblLayout w:type="fixed"/>
        <w:tblCellMar>
          <w:top w:w="0" w:type="dxa"/>
          <w:left w:w="0" w:type="dxa"/>
          <w:bottom w:w="0" w:type="dxa"/>
          <w:right w:w="0" w:type="dxa"/>
        </w:tblCellMar>
        <w:tblLook w:val="01E0"/>
      </w:tblPr>
      <w:tblGrid>
        <w:gridCol w:w="2842"/>
        <w:gridCol w:w="2369"/>
        <w:gridCol w:w="3320"/>
      </w:tblGrid>
      <w:tr>
        <w:trPr>
          <w:trHeight w:val="344"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b/>
                <w:bCs/>
                <w:sz w:val="18"/>
                <w:szCs w:val="18"/>
              </w:rPr>
              <w:t>预付对象</w:t>
            </w:r>
            <w:r>
              <w:rPr>
                <w:rFonts w:ascii="宋体" w:hAnsi="宋体" w:cs="宋体" w:eastAsia="宋体" w:hint="default"/>
                <w:sz w:val="18"/>
                <w:szCs w:val="18"/>
              </w:rPr>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9"/>
              <w:jc w:val="right"/>
              <w:rPr>
                <w:rFonts w:ascii="宋体" w:hAnsi="宋体" w:cs="宋体" w:eastAsia="宋体" w:hint="default"/>
                <w:sz w:val="18"/>
                <w:szCs w:val="18"/>
              </w:rPr>
            </w:pPr>
            <w:r>
              <w:rPr>
                <w:rFonts w:ascii="宋体" w:hAnsi="宋体" w:cs="宋体" w:eastAsia="宋体" w:hint="default"/>
                <w:b/>
                <w:bCs/>
                <w:w w:val="95"/>
                <w:sz w:val="18"/>
                <w:szCs w:val="18"/>
              </w:rPr>
              <w:t>占预付款项期末余额合计数的比例（</w:t>
            </w:r>
            <w:r>
              <w:rPr>
                <w:rFonts w:ascii="Times New Roman" w:hAnsi="Times New Roman" w:cs="Times New Roman" w:eastAsia="Times New Roman"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sz w:val="18"/>
                <w:szCs w:val="18"/>
              </w:rPr>
            </w:r>
          </w:p>
        </w:tc>
      </w:tr>
      <w:tr>
        <w:trPr>
          <w:trHeight w:val="34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1,634,523.66</w:t>
            </w:r>
          </w:p>
        </w:tc>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10.34</w:t>
            </w:r>
          </w:p>
        </w:tc>
      </w:tr>
      <w:tr>
        <w:trPr>
          <w:trHeight w:val="34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873,000.00</w:t>
            </w:r>
          </w:p>
        </w:tc>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5.52</w:t>
            </w:r>
          </w:p>
        </w:tc>
      </w:tr>
      <w:tr>
        <w:trPr>
          <w:trHeight w:val="34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623,657.46</w:t>
            </w:r>
          </w:p>
        </w:tc>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3.95</w:t>
            </w:r>
          </w:p>
        </w:tc>
      </w:tr>
      <w:tr>
        <w:trPr>
          <w:trHeight w:val="34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424,321.78</w:t>
            </w:r>
          </w:p>
        </w:tc>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2.68</w:t>
            </w:r>
          </w:p>
        </w:tc>
      </w:tr>
      <w:tr>
        <w:trPr>
          <w:trHeight w:val="34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415,338.00</w:t>
            </w:r>
          </w:p>
        </w:tc>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2.63</w:t>
            </w:r>
          </w:p>
        </w:tc>
      </w:tr>
      <w:tr>
        <w:trPr>
          <w:trHeight w:val="34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
              <w:jc w:val="right"/>
              <w:rPr>
                <w:rFonts w:ascii="Times New Roman" w:hAnsi="Times New Roman" w:cs="Times New Roman" w:eastAsia="Times New Roman" w:hint="default"/>
                <w:sz w:val="18"/>
                <w:szCs w:val="18"/>
              </w:rPr>
            </w:pPr>
            <w:r>
              <w:rPr>
                <w:rFonts w:ascii="Times New Roman"/>
                <w:b/>
                <w:spacing w:val="-1"/>
                <w:sz w:val="18"/>
              </w:rPr>
              <w:t>3,970,840.90</w:t>
            </w:r>
            <w:r>
              <w:rPr>
                <w:rFonts w:ascii="Times New Roman"/>
                <w:spacing w:val="-1"/>
                <w:sz w:val="18"/>
              </w:rPr>
            </w:r>
          </w:p>
        </w:tc>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right"/>
              <w:rPr>
                <w:rFonts w:ascii="Times New Roman" w:hAnsi="Times New Roman" w:cs="Times New Roman" w:eastAsia="Times New Roman" w:hint="default"/>
                <w:sz w:val="18"/>
                <w:szCs w:val="18"/>
              </w:rPr>
            </w:pPr>
            <w:r>
              <w:rPr>
                <w:rFonts w:ascii="Times New Roman"/>
                <w:b/>
                <w:sz w:val="18"/>
              </w:rPr>
              <w:t>25.12</w:t>
            </w:r>
            <w:r>
              <w:rPr>
                <w:rFonts w:ascii="Times New Roman"/>
                <w:sz w:val="18"/>
              </w:rPr>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8</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1,469,917.78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1,214,998.64</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6,594,433.55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11,941.75</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8,064,351.33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1,226,940.39</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before="0"/>
        <w:ind w:right="1133"/>
        <w:jc w:val="left"/>
        <w:rPr>
          <w:b w:val="0"/>
          <w:bCs w:val="0"/>
        </w:rPr>
      </w:pPr>
      <w:r>
        <w:rPr>
          <w:rFonts w:ascii="Times New Roman" w:hAnsi="Times New Roman" w:cs="Times New Roman" w:eastAsia="Times New Roman" w:hint="default"/>
        </w:rPr>
        <w:t>1</w:t>
      </w:r>
      <w:r>
        <w:rPr/>
        <w:t>）应收利息分类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1,469,917.78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1,214,998.64</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1,469,917.78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1,214,998.64</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）重要逾期利息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0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73" w:right="39"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line="240" w:lineRule="auto" w:before="4"/>
        <w:rPr>
          <w:rFonts w:ascii="宋体" w:hAnsi="宋体" w:cs="宋体" w:eastAsia="宋体" w:hint="default"/>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before="0"/>
        <w:ind w:right="1133"/>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before="0"/>
        <w:ind w:right="1133"/>
        <w:jc w:val="left"/>
        <w:rPr>
          <w:b w:val="0"/>
          <w:bCs w:val="0"/>
        </w:rPr>
      </w:pPr>
      <w:r>
        <w:rPr>
          <w:rFonts w:ascii="Times New Roman" w:hAnsi="Times New Roman" w:cs="Times New Roman" w:eastAsia="Times New Roman" w:hint="default"/>
        </w:rPr>
        <w:t>1</w:t>
      </w:r>
      <w:r>
        <w:rPr/>
        <w:t>）应收股利分类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4"/>
        <w:rPr>
          <w:rFonts w:ascii="宋体" w:hAnsi="宋体" w:cs="宋体" w:eastAsia="宋体" w:hint="default"/>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）重要的账龄超过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04"/>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3" w:right="39"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before="0"/>
        <w:ind w:right="1133"/>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before="0"/>
        <w:ind w:right="1133"/>
        <w:jc w:val="left"/>
        <w:rPr>
          <w:b w:val="0"/>
          <w:bCs w:val="0"/>
        </w:rPr>
      </w:pPr>
      <w:r>
        <w:rPr>
          <w:rFonts w:ascii="Times New Roman" w:hAnsi="Times New Roman" w:cs="Times New Roman" w:eastAsia="Times New Roman" w:hint="default"/>
        </w:rPr>
        <w:t>1</w:t>
      </w:r>
      <w:r>
        <w:rPr/>
        <w:t>）其他应收款按款项性质分类情况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832,848.32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3,105.95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38,817.43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代扣代缴款项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14,627.96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应收暂付款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701,291.69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5,043,041.93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116,191.00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10,051.76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法院冻结款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407,020.60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应收关联方款项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99,113.60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7,252,952.53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13,157.71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）坏账准备计提情况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3"/>
        <w:gridCol w:w="1663"/>
        <w:gridCol w:w="2098"/>
        <w:gridCol w:w="2101"/>
        <w:gridCol w:w="1805"/>
      </w:tblGrid>
      <w:tr>
        <w:trPr>
          <w:trHeight w:val="403" w:hRule="exact"/>
        </w:trPr>
        <w:tc>
          <w:tcPr>
            <w:tcW w:w="18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0" w:hRule="exact"/>
        </w:trPr>
        <w:tc>
          <w:tcPr>
            <w:tcW w:w="18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58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560"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717"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2" w:hRule="exact"/>
        </w:trPr>
        <w:tc>
          <w:tcPr>
            <w:tcW w:w="18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3"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1"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1,215.96</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1,215.96</w:t>
            </w:r>
          </w:p>
        </w:tc>
      </w:tr>
      <w:tr>
        <w:trPr>
          <w:trHeight w:val="161" w:hRule="exact"/>
        </w:trPr>
        <w:tc>
          <w:tcPr>
            <w:tcW w:w="189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893" w:type="dxa"/>
            <w:vMerge/>
            <w:tcBorders>
              <w:left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7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1893" w:type="dxa"/>
            <w:vMerge/>
            <w:tcBorders>
              <w:left w:val="single" w:sz="4" w:space="0" w:color="000000"/>
              <w:bottom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357,303.02</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507,303.02</w:t>
            </w: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358,518.98</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508,518.98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pStyle w:val="BodyText"/>
        <w:spacing w:line="240" w:lineRule="auto" w:before="49"/>
        <w:ind w:right="-20"/>
        <w:jc w:val="left"/>
      </w:pPr>
      <w:r>
        <w:rPr/>
        <w:t>损失准备本期变动金额重大的账面余额变动情况</w:t>
      </w:r>
    </w:p>
    <w:p>
      <w:pPr>
        <w:pStyle w:val="BodyText"/>
        <w:spacing w:line="338" w:lineRule="auto" w:before="117"/>
        <w:ind w:right="1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933" w:space="489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6,694,257.17</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129,541.98</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169,002.10</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260,151.28</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110,151.28</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7,252,952.53</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本期计提坏账准备情况：</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16"/>
        <w:gridCol w:w="1097"/>
        <w:gridCol w:w="1196"/>
        <w:gridCol w:w="1303"/>
        <w:gridCol w:w="1092"/>
        <w:gridCol w:w="1736"/>
        <w:gridCol w:w="1730"/>
      </w:tblGrid>
      <w:tr>
        <w:trPr>
          <w:trHeight w:val="401" w:hRule="exact"/>
        </w:trPr>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416" w:type="dxa"/>
            <w:vMerge/>
            <w:tcBorders>
              <w:left w:val="single" w:sz="4" w:space="0" w:color="000000"/>
              <w:bottom w:val="single" w:sz="4" w:space="0" w:color="000000"/>
              <w:right w:val="single" w:sz="4" w:space="0" w:color="000000"/>
            </w:tcBorders>
            <w:shd w:val="clear" w:color="auto" w:fill="D2D2D2"/>
          </w:tcPr>
          <w:p>
            <w:pPr/>
          </w:p>
        </w:tc>
        <w:tc>
          <w:tcPr>
            <w:tcW w:w="1097"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3"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30"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0"/>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1,215.96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0" w:right="0"/>
              <w:jc w:val="left"/>
              <w:rPr>
                <w:rFonts w:ascii="Times New Roman" w:hAnsi="Times New Roman" w:cs="Times New Roman" w:eastAsia="Times New Roman" w:hint="default"/>
                <w:sz w:val="18"/>
                <w:szCs w:val="18"/>
              </w:rPr>
            </w:pPr>
            <w:r>
              <w:rPr>
                <w:rFonts w:ascii="Times New Roman"/>
                <w:sz w:val="18"/>
              </w:rPr>
              <w:t>657,303.02</w:t>
            </w:r>
          </w:p>
        </w:tc>
        <w:tc>
          <w:tcPr>
            <w:tcW w:w="130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658,518.98</w:t>
            </w:r>
          </w:p>
        </w:tc>
      </w:tr>
      <w:tr>
        <w:trPr>
          <w:trHeight w:val="403" w:hRule="exact"/>
        </w:trPr>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1,215.96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0" w:right="0"/>
              <w:jc w:val="left"/>
              <w:rPr>
                <w:rFonts w:ascii="Times New Roman" w:hAnsi="Times New Roman" w:cs="Times New Roman" w:eastAsia="Times New Roman" w:hint="default"/>
                <w:sz w:val="18"/>
                <w:szCs w:val="18"/>
              </w:rPr>
            </w:pPr>
            <w:r>
              <w:rPr>
                <w:rFonts w:ascii="Times New Roman"/>
                <w:sz w:val="18"/>
              </w:rPr>
              <w:t>657,303.02</w:t>
            </w:r>
          </w:p>
        </w:tc>
        <w:tc>
          <w:tcPr>
            <w:tcW w:w="130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658,518.98</w:t>
            </w:r>
          </w:p>
        </w:tc>
      </w:tr>
    </w:tbl>
    <w:p>
      <w:pPr>
        <w:pStyle w:val="BodyText"/>
        <w:spacing w:line="240" w:lineRule="auto" w:before="49"/>
        <w:ind w:right="1133"/>
        <w:jc w:val="left"/>
      </w:pPr>
      <w:r>
        <w:rPr/>
        <w:t>其中本期坏账准备转回或收回金额重要的：</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0"/>
          <w:szCs w:val="20"/>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）本期实际核销的其他应收款情况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1133"/>
        <w:jc w:val="left"/>
      </w:pPr>
      <w:r>
        <w:rPr/>
        <w:t>其中重要的其他应收款核销情况：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6"/>
      </w:tblGrid>
      <w:tr>
        <w:trPr>
          <w:trHeight w:val="714"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0"/>
        <w:ind w:right="1133"/>
        <w:jc w:val="left"/>
      </w:pPr>
      <w:r>
        <w:rPr/>
        <w:t>其他应收款核销说明：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福建天创信息科技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3,986,043.87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45.70%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199,302.19</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福建艺响天开文化 产业有限公司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969,600.00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11.12%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48,480.00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鼓楼区人民法院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法院冻结款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407,020.60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20,351.03</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张博士</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1.72%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10"/>
                <w:sz w:val="18"/>
                <w:szCs w:val="18"/>
              </w:rPr>
              <w:t>支付宝（中国）网络</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技术有限公司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2,500.00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5,562,664.47</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63.78%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420,633.22</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6</w:t>
      </w:r>
      <w:r>
        <w:rPr/>
        <w:t>）涉及政府补助的应收款项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6"/>
        <w:gridCol w:w="1913"/>
        <w:gridCol w:w="1906"/>
      </w:tblGrid>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84" w:right="41"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before="0"/>
        <w:ind w:right="1133"/>
        <w:jc w:val="left"/>
        <w:rPr>
          <w:b w:val="0"/>
          <w:bCs w:val="0"/>
        </w:rPr>
      </w:pP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before="0"/>
        <w:ind w:right="1133"/>
        <w:jc w:val="left"/>
        <w:rPr>
          <w:b w:val="0"/>
          <w:bCs w:val="0"/>
        </w:rPr>
      </w:pPr>
      <w:r>
        <w:rPr>
          <w:rFonts w:ascii="Times New Roman" w:hAnsi="Times New Roman" w:cs="Times New Roman" w:eastAsia="Times New Roman" w:hint="default"/>
        </w:rPr>
        <w:t>9</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是否已执行新收入准则</w:t>
      </w:r>
    </w:p>
    <w:p>
      <w:pPr>
        <w:pStyle w:val="BodyText"/>
        <w:spacing w:line="240" w:lineRule="auto" w:before="115"/>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8"/>
        <w:gridCol w:w="1366"/>
        <w:gridCol w:w="1368"/>
        <w:gridCol w:w="1366"/>
        <w:gridCol w:w="1368"/>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7,880,271.95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83,393.94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7,796,878.01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9,153,781.62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25,929.89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9,127,851.73</w:t>
            </w: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3,162,181.24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3,162,181.24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3,084,599.39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3,084,599.39</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64,639,701.81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3,728,295.58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60,911,406.23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91,645,781.62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3,948,835.84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87,696,945.78</w:t>
            </w: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12,535,036.01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330,998.20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12,204,037.81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4,704,600.69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19,633.46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4,684,967.23</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4,972,725.63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4,972,725.63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2,063,756.22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2,063,756.22</w:t>
            </w: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93,189,916.64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4,142,687.72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89,047,228.92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110,652,519.54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3,994,399.19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106,658,120.35</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204"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25,929.89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57,464.05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83,393.94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3,948,835.84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2,326,522.64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2,547,062.90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3,728,295.58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19,633.46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311,364.74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330,998.20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3,994,399.19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2,695,351.43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2,547,062.90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4,142,687.72</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10</w:t>
      </w:r>
      <w:r>
        <w:rPr/>
        <w:t>、合同资产</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0"/>
        <w:gridCol w:w="1198"/>
        <w:gridCol w:w="1327"/>
        <w:gridCol w:w="1196"/>
        <w:gridCol w:w="1198"/>
        <w:gridCol w:w="1196"/>
        <w:gridCol w:w="1327"/>
      </w:tblGrid>
      <w:tr>
        <w:trPr>
          <w:trHeight w:val="402" w:hRule="exact"/>
        </w:trPr>
        <w:tc>
          <w:tcPr>
            <w:tcW w:w="21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2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2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130" w:type="dxa"/>
            <w:vMerge/>
            <w:tcBorders>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50"/>
        <w:ind w:right="1133"/>
        <w:jc w:val="left"/>
      </w:pPr>
      <w:r>
        <w:rPr/>
        <w:t>合同资产的账面价值在本期内发生的重大变动金额和原因：</w:t>
      </w:r>
    </w:p>
    <w:p>
      <w:pPr>
        <w:pStyle w:val="BodyText"/>
        <w:spacing w:line="240" w:lineRule="auto" w:before="114"/>
        <w:ind w:left="0" w:right="1131"/>
        <w:jc w:val="right"/>
      </w:pPr>
      <w:r>
        <w:rPr/>
        <w:t>单位：</w:t>
      </w:r>
      <w:r>
        <w:rPr>
          <w:spacing w:val="1"/>
        </w:rPr>
        <w:t> </w:t>
      </w:r>
      <w:r>
        <w:rPr/>
        <w:t>元</w:t>
      </w:r>
    </w:p>
    <w:p>
      <w:pPr>
        <w:spacing w:after="0" w:line="240" w:lineRule="auto"/>
        <w:jc w:val="right"/>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205"/>
        <w:gridCol w:w="2420"/>
        <w:gridCol w:w="4945"/>
      </w:tblGrid>
      <w:tr>
        <w:trPr>
          <w:trHeight w:val="402"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变动金额</w:t>
            </w:r>
          </w:p>
        </w:tc>
        <w:tc>
          <w:tcPr>
            <w:tcW w:w="4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bl>
    <w:p>
      <w:pPr>
        <w:pStyle w:val="BodyText"/>
        <w:spacing w:line="240" w:lineRule="auto" w:before="50"/>
        <w:ind w:right="1133"/>
        <w:jc w:val="left"/>
      </w:pPr>
      <w:r>
        <w:rPr/>
        <w:t>如是按照预期信用损失一般模型计提合同资产坏账准备，请参照其他应收款的披露方式披露坏账准备的相关信息：</w:t>
      </w:r>
    </w:p>
    <w:p>
      <w:pPr>
        <w:pStyle w:val="BodyText"/>
        <w:spacing w:line="340" w:lineRule="auto" w:before="115"/>
        <w:ind w:right="82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本期合同资产计提减值准备情况</w:t>
      </w:r>
    </w:p>
    <w:p>
      <w:pPr>
        <w:pStyle w:val="BodyText"/>
        <w:spacing w:line="240" w:lineRule="auto" w:before="39"/>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本期转销</w:t>
            </w:r>
            <w:r>
              <w:rPr>
                <w:rFonts w:ascii="Times New Roman" w:hAnsi="Times New Roman" w:cs="Times New Roman" w:eastAsia="Times New Roman" w:hint="default"/>
                <w:sz w:val="18"/>
                <w:szCs w:val="18"/>
              </w:rPr>
              <w:t>/</w:t>
            </w:r>
            <w:r>
              <w:rPr>
                <w:rFonts w:ascii="宋体" w:hAnsi="宋体" w:cs="宋体" w:eastAsia="宋体" w:hint="default"/>
                <w:sz w:val="18"/>
                <w:szCs w:val="18"/>
              </w:rPr>
              <w:t>核销</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原因</w:t>
            </w:r>
          </w:p>
        </w:tc>
      </w:tr>
    </w:tbl>
    <w:p>
      <w:pPr>
        <w:spacing w:line="240" w:lineRule="auto" w:before="4"/>
        <w:rPr>
          <w:rFonts w:ascii="宋体" w:hAnsi="宋体" w:cs="宋体" w:eastAsia="宋体" w:hint="default"/>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11</w:t>
      </w:r>
      <w:r>
        <w:rPr/>
        <w:t>、持有待售资产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6"/>
        <w:gridCol w:w="1368"/>
        <w:gridCol w:w="1366"/>
        <w:gridCol w:w="1369"/>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预计处置时间</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划分为持有待售 的非流动资产</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其中：联营企业</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5,115,888.37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14,667,040.00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5,115,888.37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9" w:right="0"/>
              <w:jc w:val="left"/>
              <w:rPr>
                <w:rFonts w:ascii="Times New Roman" w:hAnsi="Times New Roman" w:cs="Times New Roman" w:eastAsia="Times New Roman" w:hint="default"/>
                <w:sz w:val="18"/>
                <w:szCs w:val="18"/>
              </w:rPr>
            </w:pPr>
            <w:r>
              <w:rPr>
                <w:rFonts w:ascii="Times New Roman"/>
                <w:sz w:val="18"/>
              </w:rPr>
              <w:t>14,667,040.00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8414"/>
        <w:jc w:val="left"/>
      </w:pPr>
      <w:r>
        <w:rPr/>
        <w:t>其他说明： 预计处置时间（</w:t>
      </w:r>
      <w:r>
        <w:rPr>
          <w:rFonts w:ascii="Times New Roman" w:hAnsi="Times New Roman" w:cs="Times New Roman" w:eastAsia="Times New Roman" w:hint="default"/>
        </w:rPr>
        <w:t>1</w:t>
      </w:r>
      <w:r>
        <w:rPr/>
        <w:t>年以内）。</w:t>
      </w:r>
    </w:p>
    <w:p>
      <w:pPr>
        <w:spacing w:line="240" w:lineRule="auto" w:before="9"/>
        <w:rPr>
          <w:rFonts w:ascii="宋体" w:hAnsi="宋体" w:cs="宋体" w:eastAsia="宋体" w:hint="default"/>
          <w:sz w:val="18"/>
          <w:szCs w:val="18"/>
        </w:rPr>
      </w:pPr>
    </w:p>
    <w:p>
      <w:pPr>
        <w:pStyle w:val="Heading3"/>
        <w:spacing w:line="240" w:lineRule="auto" w:before="0"/>
        <w:ind w:right="1133"/>
        <w:jc w:val="left"/>
        <w:rPr>
          <w:b w:val="0"/>
          <w:bCs w:val="0"/>
        </w:rPr>
      </w:pPr>
      <w:r>
        <w:rPr>
          <w:rFonts w:ascii="Times New Roman" w:hAnsi="Times New Roman" w:cs="Times New Roman" w:eastAsia="Times New Roman" w:hint="default"/>
        </w:rPr>
        <w:t>12</w:t>
      </w:r>
      <w:r>
        <w:rPr/>
        <w:t>、一年内到期的非流动资产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33,540,000.00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103,253,200.00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33,540,000.00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103,253,200.00</w:t>
            </w:r>
          </w:p>
        </w:tc>
      </w:tr>
    </w:tbl>
    <w:p>
      <w:pPr>
        <w:pStyle w:val="BodyText"/>
        <w:spacing w:line="240" w:lineRule="auto" w:before="49"/>
        <w:ind w:right="1133"/>
        <w:jc w:val="left"/>
      </w:pPr>
      <w:r>
        <w:rPr/>
        <w:t>重要的债权投资</w:t>
      </w:r>
      <w:r>
        <w:rPr>
          <w:rFonts w:ascii="Times New Roman" w:hAnsi="Times New Roman" w:cs="Times New Roman" w:eastAsia="Times New Roman" w:hint="default"/>
        </w:rPr>
        <w:t>/</w:t>
      </w:r>
      <w:r>
        <w:rPr/>
        <w:t>其他债权投资</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958"/>
        <w:gridCol w:w="958"/>
        <w:gridCol w:w="958"/>
        <w:gridCol w:w="956"/>
        <w:gridCol w:w="958"/>
        <w:gridCol w:w="955"/>
        <w:gridCol w:w="958"/>
        <w:gridCol w:w="958"/>
      </w:tblGrid>
      <w:tr>
        <w:trPr>
          <w:trHeight w:val="403"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13</w:t>
      </w:r>
      <w:r>
        <w:rPr/>
        <w:t>、其他流动资产</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100" w:bottom="1160" w:left="98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待抵扣进项税额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216,938.17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4,920,596.24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待认证进项税额</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71,255.46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增值税留抵税额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420,409.99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67,637.43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33,002.51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790,375.36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360,592.88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43,460,726.03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5,420,082.01</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14</w:t>
      </w:r>
      <w:r>
        <w:rPr/>
        <w:t>、债权投资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50"/>
        <w:ind w:right="1133"/>
        <w:jc w:val="left"/>
      </w:pPr>
      <w:r>
        <w:rPr/>
        <w:t>重要的债权投资</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958"/>
        <w:gridCol w:w="958"/>
        <w:gridCol w:w="958"/>
        <w:gridCol w:w="956"/>
        <w:gridCol w:w="958"/>
        <w:gridCol w:w="955"/>
        <w:gridCol w:w="958"/>
        <w:gridCol w:w="958"/>
      </w:tblGrid>
      <w:tr>
        <w:trPr>
          <w:trHeight w:val="401"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pStyle w:val="BodyText"/>
        <w:spacing w:line="240" w:lineRule="auto" w:before="49"/>
        <w:ind w:right="1133"/>
        <w:jc w:val="left"/>
      </w:pPr>
      <w:r>
        <w:rPr/>
        <w:t>减值准备计提情况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401"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5"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49"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Style w:val="BodyText"/>
        <w:spacing w:line="240" w:lineRule="auto" w:before="49"/>
        <w:ind w:right="1133"/>
        <w:jc w:val="left"/>
      </w:pPr>
      <w:r>
        <w:rPr/>
        <w:t>损失准备本期变动金额重大的账面余额变动情况</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before="0"/>
        <w:ind w:right="1133"/>
        <w:jc w:val="left"/>
        <w:rPr>
          <w:b w:val="0"/>
          <w:bCs w:val="0"/>
        </w:rPr>
      </w:pPr>
      <w:r>
        <w:rPr>
          <w:rFonts w:ascii="Times New Roman" w:hAnsi="Times New Roman" w:cs="Times New Roman" w:eastAsia="Times New Roman" w:hint="default"/>
        </w:rPr>
        <w:t>15</w:t>
      </w:r>
      <w:r>
        <w:rPr/>
        <w:t>、其他债权投资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95"/>
        <w:gridCol w:w="1034"/>
        <w:gridCol w:w="1035"/>
        <w:gridCol w:w="1034"/>
        <w:gridCol w:w="1035"/>
        <w:gridCol w:w="1034"/>
        <w:gridCol w:w="1032"/>
        <w:gridCol w:w="1035"/>
        <w:gridCol w:w="1037"/>
      </w:tblGrid>
      <w:tr>
        <w:trPr>
          <w:trHeight w:val="1338" w:hRule="exact"/>
        </w:trPr>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2" w:right="60" w:hanging="180"/>
              <w:jc w:val="left"/>
              <w:rPr>
                <w:rFonts w:ascii="宋体" w:hAnsi="宋体" w:cs="宋体" w:eastAsia="宋体" w:hint="default"/>
                <w:sz w:val="18"/>
                <w:szCs w:val="18"/>
              </w:rPr>
            </w:pPr>
            <w:r>
              <w:rPr>
                <w:rFonts w:ascii="宋体" w:hAnsi="宋体" w:cs="宋体" w:eastAsia="宋体" w:hint="default"/>
                <w:sz w:val="18"/>
                <w:szCs w:val="18"/>
              </w:rPr>
              <w:t>本期公允价 值变动</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2" w:right="59" w:hanging="180"/>
              <w:jc w:val="left"/>
              <w:rPr>
                <w:rFonts w:ascii="宋体" w:hAnsi="宋体" w:cs="宋体" w:eastAsia="宋体" w:hint="default"/>
                <w:sz w:val="18"/>
                <w:szCs w:val="18"/>
              </w:rPr>
            </w:pPr>
            <w:r>
              <w:rPr>
                <w:rFonts w:ascii="宋体" w:hAnsi="宋体" w:cs="宋体" w:eastAsia="宋体" w:hint="default"/>
                <w:sz w:val="18"/>
                <w:szCs w:val="18"/>
              </w:rPr>
              <w:t>累计公允价 值变动</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4" w:right="58"/>
              <w:jc w:val="center"/>
              <w:rPr>
                <w:rFonts w:ascii="宋体" w:hAnsi="宋体" w:cs="宋体" w:eastAsia="宋体" w:hint="default"/>
                <w:sz w:val="18"/>
                <w:szCs w:val="18"/>
              </w:rPr>
            </w:pPr>
            <w:r>
              <w:rPr>
                <w:rFonts w:ascii="宋体" w:hAnsi="宋体" w:cs="宋体" w:eastAsia="宋体" w:hint="default"/>
                <w:sz w:val="18"/>
                <w:szCs w:val="18"/>
              </w:rPr>
              <w:t>累计在其他 综合收益中 确认的损失 准备</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50"/>
        <w:ind w:right="1133"/>
        <w:jc w:val="left"/>
      </w:pPr>
      <w:r>
        <w:rPr/>
        <w:t>重要的其他债权投资</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958"/>
        <w:gridCol w:w="958"/>
        <w:gridCol w:w="958"/>
        <w:gridCol w:w="956"/>
        <w:gridCol w:w="958"/>
        <w:gridCol w:w="955"/>
        <w:gridCol w:w="958"/>
        <w:gridCol w:w="958"/>
      </w:tblGrid>
      <w:tr>
        <w:trPr>
          <w:trHeight w:val="401"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其他债权项目</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pStyle w:val="BodyText"/>
        <w:spacing w:line="240" w:lineRule="auto" w:before="49"/>
        <w:ind w:right="1133"/>
        <w:jc w:val="left"/>
      </w:pPr>
      <w:r>
        <w:rPr/>
        <w:t>减值准备计提情况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3"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49"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7"/>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7"/>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Style w:val="BodyText"/>
        <w:spacing w:line="240" w:lineRule="auto" w:before="49"/>
        <w:ind w:right="1133"/>
        <w:jc w:val="left"/>
      </w:pPr>
      <w:r>
        <w:rPr/>
        <w:t>损失准备本期变动金额重大的账面余额变动情况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before="0"/>
        <w:ind w:right="1133"/>
        <w:jc w:val="left"/>
        <w:rPr>
          <w:b w:val="0"/>
          <w:bCs w:val="0"/>
        </w:rPr>
      </w:pP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before="0"/>
        <w:ind w:right="1133"/>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6"/>
        <w:gridCol w:w="1167"/>
        <w:gridCol w:w="1166"/>
        <w:gridCol w:w="1169"/>
        <w:gridCol w:w="1166"/>
        <w:gridCol w:w="1167"/>
        <w:gridCol w:w="1164"/>
      </w:tblGrid>
      <w:tr>
        <w:trPr>
          <w:trHeight w:val="404"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1"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1133"/>
        <w:jc w:val="left"/>
      </w:pPr>
      <w:r>
        <w:rPr/>
        <w:t>坏账准备减值情况</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402"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49"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Style w:val="BodyText"/>
        <w:spacing w:line="240" w:lineRule="auto" w:before="49"/>
        <w:ind w:right="1133"/>
        <w:jc w:val="left"/>
      </w:pPr>
      <w:r>
        <w:rPr/>
        <w:t>损失准备本期变动金额重大的账面余额变动情况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before="0"/>
        <w:ind w:right="1133"/>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17</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401"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01"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7"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7" w:lineRule="auto"/>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7"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珠海宝利 通耗材有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9,097,032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-1,587,92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0.92</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7,509,111</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.90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深圳市壹 办公科技 股份有限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28,050,55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4.04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-11,938,9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03.76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5,115,888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10,995,76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1.91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37,147,58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6.86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-13,526,8</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24.68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5,115,888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18,504,87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3.81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37,147,58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6.86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-13,526,8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24.68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5,115,888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18,504,87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3.81</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18</w:t>
      </w:r>
      <w:r>
        <w:rPr/>
        <w:t>、其他权益工具投资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非交易性权益工具投资</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32,005,861.47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33,056,023.74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32,005,861.47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33,056,023.74</w:t>
            </w:r>
          </w:p>
        </w:tc>
      </w:tr>
    </w:tbl>
    <w:p>
      <w:pPr>
        <w:pStyle w:val="BodyText"/>
        <w:spacing w:line="240" w:lineRule="auto" w:before="49"/>
        <w:ind w:right="1133"/>
        <w:jc w:val="left"/>
      </w:pPr>
      <w:r>
        <w:rPr/>
        <w:t>分项披露本期非交易性权益工具投资</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1337"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确认的股利收入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48"/>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入留存收益的金 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6"/>
              <w:jc w:val="center"/>
              <w:rPr>
                <w:rFonts w:ascii="宋体" w:hAnsi="宋体" w:cs="宋体" w:eastAsia="宋体" w:hint="default"/>
                <w:sz w:val="18"/>
                <w:szCs w:val="18"/>
              </w:rPr>
            </w:pPr>
            <w:r>
              <w:rPr>
                <w:rFonts w:ascii="宋体" w:hAnsi="宋体" w:cs="宋体" w:eastAsia="宋体" w:hint="default"/>
                <w:sz w:val="18"/>
                <w:szCs w:val="18"/>
              </w:rPr>
              <w:t>指定为以公允价 值计量且其变动 计入其他综合收 益的原因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48"/>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入留存收益的原 因</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珠海东越数码科 技有限公司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300,178.30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818,675.90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战略目的投资</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武汉宝特龙科技 股份有限公司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2,071,763.19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战略目的投资</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苏州奥加华新能 源有限公司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5,077,129.76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战略目的投资</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24" w:right="463"/>
              <w:jc w:val="left"/>
              <w:rPr>
                <w:rFonts w:ascii="Times New Roman" w:hAnsi="Times New Roman" w:cs="Times New Roman" w:eastAsia="Times New Roman" w:hint="default"/>
                <w:sz w:val="18"/>
                <w:szCs w:val="18"/>
              </w:rPr>
            </w:pPr>
            <w:r>
              <w:rPr>
                <w:rFonts w:ascii="Times New Roman"/>
                <w:sz w:val="18"/>
              </w:rPr>
              <w:t>Oorja</w:t>
            </w:r>
            <w:r>
              <w:rPr>
                <w:rFonts w:ascii="Times New Roman"/>
                <w:w w:val="99"/>
                <w:sz w:val="18"/>
              </w:rPr>
              <w:t> </w:t>
            </w:r>
            <w:r>
              <w:rPr>
                <w:rFonts w:ascii="Times New Roman"/>
                <w:sz w:val="18"/>
              </w:rPr>
              <w:t>Corporation</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141,824.99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战略目的投资</w:t>
            </w: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19</w:t>
      </w:r>
      <w:r>
        <w:rPr/>
        <w:t>、其他非流动金融资产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68"/>
              <w:jc w:val="center"/>
              <w:rPr>
                <w:rFonts w:ascii="宋体" w:hAnsi="宋体" w:cs="宋体" w:eastAsia="宋体" w:hint="default"/>
                <w:sz w:val="18"/>
                <w:szCs w:val="18"/>
              </w:rPr>
            </w:pPr>
            <w:r>
              <w:rPr>
                <w:rFonts w:ascii="宋体" w:hAnsi="宋体" w:cs="宋体" w:eastAsia="宋体" w:hint="default"/>
                <w:sz w:val="18"/>
                <w:szCs w:val="18"/>
              </w:rPr>
              <w:t>分类为以公允价值计量且其变动计入当</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2,104,188.41</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67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92"/>
              <w:jc w:val="left"/>
              <w:rPr>
                <w:rFonts w:ascii="宋体" w:hAnsi="宋体" w:cs="宋体" w:eastAsia="宋体" w:hint="default"/>
                <w:sz w:val="18"/>
                <w:szCs w:val="18"/>
              </w:rPr>
            </w:pPr>
            <w:r>
              <w:rPr>
                <w:rFonts w:ascii="宋体" w:hAnsi="宋体" w:cs="宋体" w:eastAsia="宋体" w:hint="default"/>
                <w:sz w:val="18"/>
                <w:szCs w:val="18"/>
              </w:rPr>
              <w:t>期损益的金融资产（其中：权益工具投 资）</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2,104,188.41</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20</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before="0"/>
        <w:ind w:right="1133"/>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before="0"/>
        <w:ind w:right="1133"/>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3"/>
        <w:spacing w:line="240" w:lineRule="auto" w:before="0"/>
        <w:ind w:right="1133"/>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21</w:t>
      </w:r>
      <w:r>
        <w:rPr/>
        <w:t>、固定资产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106,786,020.40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100,336,397.91</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106,786,020.40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100,336,397.91</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6"/>
        <w:gridCol w:w="1368"/>
        <w:gridCol w:w="1369"/>
        <w:gridCol w:w="1366"/>
      </w:tblGrid>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67,429,549.53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85,910,865.83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2,257,170.69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1,743,238.96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157,340,825.01</w:t>
            </w: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17,968,570.41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1,082,736.98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1,626,369.77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2,431,929.98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302,336.40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23,411,943.54</w:t>
            </w:r>
          </w:p>
        </w:tc>
      </w:tr>
      <w:tr>
        <w:trPr>
          <w:trHeight w:val="40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1,082,736.98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122,843.63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1,205,580.61</w:t>
            </w: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7"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7"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17,968,570.41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1,626,369.77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2,431,929.98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179,492.77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22,206,362.93</w:t>
            </w: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104,294.52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109,415.00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2,051.28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215,760.80</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104,294.52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109,415.00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2,051.28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215,760.80</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85,398,119.94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86,889,308.29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3,774,125.46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2,431,929.98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2,043,524.08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180,537,007.75</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15,589,043.43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38,261,986.16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1,755,846.97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1,397,550.54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57,004,427.10</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6,256,474.51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7,541,089.25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955,849.65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1,945,730.49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245,018.42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16,944,162.32</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3,184,542.82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7,541,089.25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145,674.48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92,205.55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10,963,512.10</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企业合并增加</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3,071,931.69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810,175.17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1,945,730.49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152,812.87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5,980,650.22</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91,709.10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103,944.25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1,948.72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197,602.07</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91,709.10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103,944.25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1,948.72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197,602.07</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21,845,517.94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45,715,996.12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2,607,752.37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1,945,730.49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1,635,990.43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73,750,987.35</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63,552,602.00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41,173,312.17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1,166,373.09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486,199.49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407,533.65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106,786,020.40</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51,840,506.10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47,648,879.67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501,323.72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345,688.42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100,336,397.91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Times New Roman" w:hAnsi="Times New Roman" w:cs="Times New Roman" w:eastAsia="Times New Roman" w:hint="default"/>
          <w:sz w:val="23"/>
          <w:szCs w:val="23"/>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4"/>
        <w:rPr>
          <w:rFonts w:ascii="宋体" w:hAnsi="宋体" w:cs="宋体" w:eastAsia="宋体" w:hint="default"/>
          <w:sz w:val="19"/>
          <w:szCs w:val="19"/>
        </w:rPr>
      </w:pPr>
    </w:p>
    <w:p>
      <w:pPr>
        <w:pStyle w:val="Heading3"/>
        <w:spacing w:line="240" w:lineRule="auto"/>
        <w:ind w:right="1133"/>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t>（</w:t>
      </w:r>
      <w:r>
        <w:rPr>
          <w:rFonts w:ascii="Times New Roman" w:hAnsi="Times New Roman" w:cs="Times New Roman" w:eastAsia="Times New Roman" w:hint="default"/>
        </w:rPr>
        <w:t>6</w:t>
      </w:r>
      <w:r>
        <w:rPr/>
        <w:t>）固定资产清理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22</w:t>
      </w:r>
      <w:r>
        <w:rPr/>
        <w:t>、在建工程</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59,639.62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59,639.62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有机光电工程技 术中心建设项目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59,639.62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59,639.62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59,639.62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59,639.62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339"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1"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649"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有机光 电工程 技术中 心建设 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53,000,0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59,639.6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59,639.6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37"/>
              <w:jc w:val="center"/>
              <w:rPr>
                <w:rFonts w:ascii="Times New Roman" w:hAnsi="Times New Roman" w:cs="Times New Roman" w:eastAsia="Times New Roman" w:hint="default"/>
                <w:sz w:val="18"/>
                <w:szCs w:val="18"/>
              </w:rPr>
            </w:pPr>
            <w:r>
              <w:rPr>
                <w:rFonts w:ascii="Times New Roman"/>
                <w:sz w:val="18"/>
              </w:rPr>
              <w:t>0.1125%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6"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53,000,0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59,639.6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59,639.6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）工程物资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0"/>
        <w:gridCol w:w="1330"/>
        <w:gridCol w:w="1327"/>
        <w:gridCol w:w="1198"/>
        <w:gridCol w:w="1195"/>
        <w:gridCol w:w="1196"/>
        <w:gridCol w:w="1195"/>
      </w:tblGrid>
      <w:tr>
        <w:trPr>
          <w:trHeight w:val="402" w:hRule="exact"/>
        </w:trPr>
        <w:tc>
          <w:tcPr>
            <w:tcW w:w="21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130" w:type="dxa"/>
            <w:vMerge/>
            <w:tcBorders>
              <w:left w:val="single" w:sz="4" w:space="0" w:color="000000"/>
              <w:bottom w:val="single" w:sz="4" w:space="0" w:color="000000"/>
              <w:right w:val="single" w:sz="4" w:space="0" w:color="000000"/>
            </w:tcBorders>
            <w:shd w:val="clear" w:color="auto" w:fill="D2D2D2"/>
          </w:tcPr>
          <w:p>
            <w:pP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before="0"/>
        <w:ind w:right="1133"/>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before="0"/>
        <w:ind w:right="1133"/>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6"/>
          <w:szCs w:val="26"/>
        </w:rPr>
      </w:pPr>
    </w:p>
    <w:p>
      <w:pPr>
        <w:pStyle w:val="Heading3"/>
        <w:spacing w:line="240" w:lineRule="auto" w:before="0"/>
        <w:ind w:right="1133"/>
        <w:jc w:val="left"/>
        <w:rPr>
          <w:b w:val="0"/>
          <w:bCs w:val="0"/>
        </w:rPr>
      </w:pPr>
      <w:r>
        <w:rPr>
          <w:rFonts w:ascii="Times New Roman" w:hAnsi="Times New Roman" w:cs="Times New Roman" w:eastAsia="Times New Roman" w:hint="default"/>
        </w:rPr>
        <w:t>24</w:t>
      </w:r>
      <w:r>
        <w:rPr/>
        <w:t>、油气资产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before="0"/>
        <w:ind w:right="1133"/>
        <w:jc w:val="left"/>
        <w:rPr>
          <w:b w:val="0"/>
          <w:bCs w:val="0"/>
        </w:rPr>
      </w:pPr>
      <w:r>
        <w:rPr>
          <w:rFonts w:ascii="Times New Roman" w:hAnsi="Times New Roman" w:cs="Times New Roman" w:eastAsia="Times New Roman" w:hint="default"/>
        </w:rPr>
        <w:t>25</w:t>
      </w:r>
      <w:r>
        <w:rPr/>
        <w:t>、使用权资产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8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4"/>
        <w:rPr>
          <w:rFonts w:ascii="宋体" w:hAnsi="宋体" w:cs="宋体" w:eastAsia="宋体" w:hint="default"/>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26</w:t>
      </w:r>
      <w:r>
        <w:rPr/>
        <w:t>、无形资产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before="0"/>
        <w:ind w:right="1133"/>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6"/>
        <w:gridCol w:w="1368"/>
        <w:gridCol w:w="1369"/>
        <w:gridCol w:w="1366"/>
      </w:tblGrid>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生产技术</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19,640,760.67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259,168.40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8" w:right="0"/>
              <w:jc w:val="left"/>
              <w:rPr>
                <w:rFonts w:ascii="Times New Roman" w:hAnsi="Times New Roman" w:cs="Times New Roman" w:eastAsia="Times New Roman" w:hint="default"/>
                <w:sz w:val="18"/>
                <w:szCs w:val="18"/>
              </w:rPr>
            </w:pPr>
            <w:r>
              <w:rPr>
                <w:rFonts w:ascii="Times New Roman"/>
                <w:sz w:val="18"/>
              </w:rPr>
              <w:t>2,500,000.00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191,085.48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22,591,014.55</w:t>
            </w: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11,850.00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4,068,093.09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472,774.11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4,552,717.20</w:t>
            </w:r>
          </w:p>
        </w:tc>
      </w:tr>
      <w:tr>
        <w:trPr>
          <w:trHeight w:val="40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w w:val="95"/>
                <w:sz w:val="18"/>
              </w:rPr>
              <w:t>11,850.00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126,832.52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138,682.52</w:t>
            </w: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3"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）内部</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7" w:firstLine="52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w:t>
            </w:r>
            <w:r>
              <w:rPr>
                <w:rFonts w:ascii="宋体" w:hAnsi="宋体" w:cs="宋体" w:eastAsia="宋体" w:hint="default"/>
                <w:sz w:val="18"/>
                <w:szCs w:val="18"/>
              </w:rPr>
              <w:t> 合并增加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4,068,093.09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345,941.59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4,414,034.68</w:t>
            </w: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3"/>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19,640,760.67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271,018.40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4,068,093.09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663,859.59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27,143,731.75</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3,542,643.42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162,431.54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2,500,000.00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166,455.45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6,371,530.41</w:t>
            </w: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416,312.10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26,225.43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135,603.10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191,328.43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769,469.06</w:t>
            </w: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416,312.10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26,225.43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13,562.80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456,100.33</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企业合并增加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135,603.10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177,765.63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313,368.73</w:t>
            </w: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3"/>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3,958,955.52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188,656.96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135,603.10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357,783.89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7,140,999.47</w:t>
            </w: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103"/>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36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15,681,805.15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82,361.44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3,932,489.99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306,075.70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20,002,732.28</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16,098,117.25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96,736.86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24,630.03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16,219,484.14</w:t>
            </w:r>
          </w:p>
        </w:tc>
      </w:tr>
    </w:tbl>
    <w:p>
      <w:pPr>
        <w:pStyle w:val="BodyText"/>
        <w:spacing w:line="240" w:lineRule="auto" w:before="49"/>
        <w:ind w:right="1133"/>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0.00%</w:t>
      </w:r>
      <w:r>
        <w:rPr/>
        <w:t>。</w:t>
      </w:r>
    </w:p>
    <w:p>
      <w:pPr>
        <w:spacing w:line="240" w:lineRule="auto" w:before="2"/>
        <w:rPr>
          <w:rFonts w:ascii="宋体" w:hAnsi="宋体" w:cs="宋体" w:eastAsia="宋体" w:hint="default"/>
          <w:sz w:val="26"/>
          <w:szCs w:val="26"/>
        </w:rPr>
      </w:pPr>
    </w:p>
    <w:p>
      <w:pPr>
        <w:pStyle w:val="Heading3"/>
        <w:spacing w:line="240" w:lineRule="auto" w:before="0"/>
        <w:ind w:right="1133"/>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357" w:lineRule="auto" w:before="49"/>
        <w:ind w:right="7694"/>
        <w:jc w:val="left"/>
      </w:pPr>
      <w:r>
        <w:rPr/>
        <w:t>其他说明： 期末无未办妥产权证书的土地使用权。</w:t>
      </w:r>
    </w:p>
    <w:p>
      <w:pPr>
        <w:spacing w:line="240" w:lineRule="auto" w:before="6"/>
        <w:rPr>
          <w:rFonts w:ascii="宋体" w:hAnsi="宋体" w:cs="宋体" w:eastAsia="宋体" w:hint="default"/>
          <w:sz w:val="20"/>
          <w:szCs w:val="20"/>
        </w:rPr>
      </w:pPr>
    </w:p>
    <w:p>
      <w:pPr>
        <w:pStyle w:val="Heading3"/>
        <w:spacing w:line="240" w:lineRule="auto" w:before="0"/>
        <w:ind w:right="1133"/>
        <w:jc w:val="left"/>
        <w:rPr>
          <w:b w:val="0"/>
          <w:bCs w:val="0"/>
        </w:rPr>
      </w:pPr>
      <w:r>
        <w:rPr>
          <w:rFonts w:ascii="Times New Roman" w:hAnsi="Times New Roman" w:cs="Times New Roman" w:eastAsia="Times New Roman" w:hint="default"/>
        </w:rPr>
        <w:t>27</w:t>
      </w:r>
      <w:r>
        <w:rPr/>
        <w:t>、开发支出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4"/>
        <w:gridCol w:w="1063"/>
        <w:gridCol w:w="1064"/>
        <w:gridCol w:w="1063"/>
        <w:gridCol w:w="1061"/>
        <w:gridCol w:w="1064"/>
        <w:gridCol w:w="1063"/>
      </w:tblGrid>
      <w:tr>
        <w:trPr>
          <w:trHeight w:val="401" w:hRule="exact"/>
        </w:trPr>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1" w:hRule="exact"/>
        </w:trPr>
        <w:tc>
          <w:tcPr>
            <w:tcW w:w="10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34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36" w:right="75" w:hanging="360"/>
              <w:jc w:val="left"/>
              <w:rPr>
                <w:rFonts w:ascii="宋体" w:hAnsi="宋体" w:cs="宋体" w:eastAsia="宋体" w:hint="default"/>
                <w:sz w:val="18"/>
                <w:szCs w:val="18"/>
              </w:rPr>
            </w:pPr>
            <w:r>
              <w:rPr>
                <w:rFonts w:ascii="宋体" w:hAnsi="宋体" w:cs="宋体" w:eastAsia="宋体" w:hint="default"/>
                <w:sz w:val="18"/>
                <w:szCs w:val="18"/>
              </w:rPr>
              <w:t>内部开发支 出</w:t>
            </w: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47" w:right="74" w:hanging="272"/>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36" w:right="72" w:hanging="360"/>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10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4" w:type="dxa"/>
            <w:vMerge w:val="restart"/>
            <w:tcBorders>
              <w:top w:val="nil" w:sz="6" w:space="0" w:color="auto"/>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4" w:type="dxa"/>
            <w:vMerge w:val="restart"/>
            <w:tcBorders>
              <w:top w:val="nil" w:sz="6" w:space="0" w:color="auto"/>
              <w:left w:val="single" w:sz="4" w:space="0" w:color="000000"/>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064" w:type="dxa"/>
            <w:vMerge w:val="restart"/>
            <w:tcBorders>
              <w:top w:val="nil" w:sz="6" w:space="0" w:color="auto"/>
              <w:left w:val="single" w:sz="4" w:space="0" w:color="000000"/>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4" w:type="dxa"/>
            <w:vMerge/>
            <w:tcBorders>
              <w:left w:val="single" w:sz="4" w:space="0" w:color="000000"/>
              <w:bottom w:val="nil" w:sz="6" w:space="0" w:color="auto"/>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28</w:t>
      </w:r>
      <w:r>
        <w:rPr/>
        <w:t>、商誉</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right="1133"/>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46" w:right="48" w:hanging="1"/>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47"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福建省闽保信息 技术有限公司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105,781,039.86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105,781,039.86</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105,781,039.86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105,781,039.86</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6"/>
        <w:gridCol w:w="1368"/>
        <w:gridCol w:w="1369"/>
        <w:gridCol w:w="1366"/>
      </w:tblGrid>
      <w:tr>
        <w:trPr>
          <w:trHeight w:val="319" w:hRule="exact"/>
        </w:trPr>
        <w:tc>
          <w:tcPr>
            <w:tcW w:w="134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6"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39" w:hRule="exact"/>
        </w:trPr>
        <w:tc>
          <w:tcPr>
            <w:tcW w:w="1344" w:type="dxa"/>
            <w:vMerge/>
            <w:tcBorders>
              <w:left w:val="single" w:sz="4" w:space="0" w:color="000000"/>
              <w:right w:val="single" w:sz="4" w:space="0" w:color="000000"/>
            </w:tcBorders>
            <w:shd w:val="clear" w:color="auto" w:fill="D2D2D2"/>
          </w:tcPr>
          <w:p>
            <w:pPr/>
          </w:p>
        </w:tc>
        <w:tc>
          <w:tcPr>
            <w:tcW w:w="13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2" w:hRule="exact"/>
        </w:trPr>
        <w:tc>
          <w:tcPr>
            <w:tcW w:w="1344"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vMerge w:val="restart"/>
            <w:tcBorders>
              <w:top w:val="single" w:sz="4" w:space="0" w:color="000000"/>
              <w:left w:val="single" w:sz="4" w:space="0" w:color="000000"/>
              <w:right w:val="single" w:sz="4" w:space="0" w:color="000000"/>
            </w:tcBorders>
            <w:shd w:val="clear" w:color="auto" w:fill="D2D2D2"/>
          </w:tcPr>
          <w:p>
            <w:pPr/>
          </w:p>
        </w:tc>
        <w:tc>
          <w:tcPr>
            <w:tcW w:w="1366"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44" w:type="dxa"/>
            <w:vMerge/>
            <w:tcBorders>
              <w:left w:val="single" w:sz="4" w:space="0" w:color="000000"/>
              <w:bottom w:val="single" w:sz="4" w:space="0" w:color="000000"/>
              <w:right w:val="single" w:sz="4" w:space="0" w:color="000000"/>
            </w:tcBorders>
            <w:shd w:val="clear" w:color="auto" w:fill="D2D2D2"/>
          </w:tcPr>
          <w:p>
            <w:pPr/>
          </w:p>
        </w:tc>
        <w:tc>
          <w:tcPr>
            <w:tcW w:w="1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8" w:space="0" w:color="D2D2D2"/>
              <w:left w:val="single" w:sz="4" w:space="0" w:color="000000"/>
              <w:bottom w:val="single" w:sz="4" w:space="0" w:color="000000"/>
              <w:right w:val="single" w:sz="4" w:space="0" w:color="000000"/>
            </w:tcBorders>
          </w:tcPr>
          <w:p>
            <w:pPr/>
          </w:p>
        </w:tc>
        <w:tc>
          <w:tcPr>
            <w:tcW w:w="1366" w:type="dxa"/>
            <w:tcBorders>
              <w:top w:val="single" w:sz="48" w:space="0" w:color="D2D2D2"/>
              <w:left w:val="single" w:sz="4" w:space="0" w:color="000000"/>
              <w:bottom w:val="single" w:sz="4" w:space="0" w:color="000000"/>
              <w:right w:val="single" w:sz="4" w:space="0" w:color="000000"/>
            </w:tcBorders>
          </w:tcPr>
          <w:p>
            <w:pPr/>
          </w:p>
        </w:tc>
        <w:tc>
          <w:tcPr>
            <w:tcW w:w="1368" w:type="dxa"/>
            <w:tcBorders>
              <w:top w:val="single" w:sz="48" w:space="0" w:color="D2D2D2"/>
              <w:left w:val="single" w:sz="4" w:space="0" w:color="000000"/>
              <w:bottom w:val="single" w:sz="4" w:space="0" w:color="000000"/>
              <w:right w:val="single" w:sz="4" w:space="0" w:color="000000"/>
            </w:tcBorders>
          </w:tcPr>
          <w:p>
            <w:pPr/>
          </w:p>
        </w:tc>
        <w:tc>
          <w:tcPr>
            <w:tcW w:w="1369" w:type="dxa"/>
            <w:tcBorders>
              <w:top w:val="single" w:sz="48" w:space="0" w:color="D2D2D2"/>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436" w:lineRule="auto" w:before="49"/>
        <w:ind w:left="513" w:right="1133" w:hanging="361"/>
        <w:jc w:val="left"/>
      </w:pPr>
      <w:r>
        <w:rPr/>
        <w:t>商誉所在资产组或资产组组合的相关信息 </w:t>
      </w:r>
      <w:r>
        <w:rPr>
          <w:spacing w:val="-1"/>
        </w:rPr>
        <w:t>闽保信息：</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w:t>
      </w:r>
      <w:r>
        <w:rPr>
          <w:spacing w:val="-1"/>
        </w:rPr>
        <w:t>日，公司以</w:t>
      </w:r>
      <w:r>
        <w:rPr>
          <w:rFonts w:ascii="Times New Roman" w:hAnsi="Times New Roman" w:cs="Times New Roman" w:eastAsia="Times New Roman" w:hint="default"/>
          <w:spacing w:val="-1"/>
        </w:rPr>
        <w:t>13,966.45</w:t>
      </w:r>
      <w:r>
        <w:rPr>
          <w:spacing w:val="-1"/>
        </w:rPr>
        <w:t>万元的对价，收购闽保信息</w:t>
      </w:r>
      <w:r>
        <w:rPr>
          <w:rFonts w:ascii="Times New Roman" w:hAnsi="Times New Roman" w:cs="Times New Roman" w:eastAsia="Times New Roman" w:hint="default"/>
          <w:spacing w:val="-1"/>
        </w:rPr>
        <w:t>71.26%</w:t>
      </w:r>
      <w:r>
        <w:rPr>
          <w:spacing w:val="-1"/>
        </w:rPr>
        <w:t>的股权，形成商誉</w:t>
      </w:r>
      <w:r>
        <w:rPr>
          <w:rFonts w:ascii="Times New Roman" w:hAnsi="Times New Roman" w:cs="Times New Roman" w:eastAsia="Times New Roman" w:hint="default"/>
          <w:spacing w:val="-1"/>
        </w:rPr>
        <w:t>10,578.10</w:t>
      </w:r>
      <w:r>
        <w:rPr>
          <w:spacing w:val="-1"/>
        </w:rPr>
        <w:t>万元；闽保</w:t>
      </w:r>
    </w:p>
    <w:p>
      <w:pPr>
        <w:pStyle w:val="BodyText"/>
        <w:spacing w:line="463" w:lineRule="auto" w:before="55"/>
        <w:ind w:right="1124"/>
        <w:jc w:val="left"/>
      </w:pPr>
      <w:r>
        <w:rPr>
          <w:spacing w:val="-2"/>
        </w:rPr>
        <w:t>信息于评估基准日的评估范围是公司并购闽保信息形成商誉相关的资产组，评估范围包括组成资产组的经营性资产（含营运</w:t>
      </w:r>
      <w:r>
        <w:rPr>
          <w:spacing w:val="-64"/>
        </w:rPr>
        <w:t> </w:t>
      </w:r>
      <w:r>
        <w:rPr>
          <w:spacing w:val="-64"/>
        </w:rPr>
      </w:r>
      <w:r>
        <w:rPr>
          <w:spacing w:val="-2"/>
        </w:rPr>
        <w:t>资金，不含溢余资产、非经营性资产及有息负债），截至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日，前述资产组（包含商誉）的账面价值为</w:t>
      </w:r>
      <w:r>
        <w:rPr>
          <w:rFonts w:ascii="Times New Roman" w:hAnsi="Times New Roman" w:cs="Times New Roman" w:eastAsia="Times New Roman" w:hint="default"/>
          <w:spacing w:val="-2"/>
        </w:rPr>
        <w:t>18,745.00</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11"/>
        </w:rPr>
      </w:r>
      <w:r>
        <w:rPr>
          <w:spacing w:val="-2"/>
        </w:rPr>
        <w:t>万元。闽保信息资产组组合的可收回金额的估计采用了资产组预计未来现金流量的现值，评估采用预计未来现金流现值的方</w:t>
      </w:r>
      <w:r>
        <w:rPr>
          <w:spacing w:val="-64"/>
        </w:rPr>
        <w:t> </w:t>
      </w:r>
      <w:r>
        <w:rPr>
          <w:spacing w:val="-64"/>
        </w:rPr>
      </w:r>
      <w:r>
        <w:rPr/>
        <w:t>法计算资产组的可收回金额。按照预算预计未来</w:t>
      </w:r>
      <w:r>
        <w:rPr>
          <w:rFonts w:ascii="Times New Roman" w:hAnsi="Times New Roman" w:cs="Times New Roman" w:eastAsia="Times New Roman" w:hint="default"/>
        </w:rPr>
        <w:t>5</w:t>
      </w:r>
      <w:r>
        <w:rPr/>
        <w:t>年内现金流量，后续预测期的预计未来现金流量按照详细预测期最后一年 </w:t>
      </w:r>
      <w:r>
        <w:rPr>
          <w:spacing w:val="-2"/>
        </w:rPr>
        <w:t>的水平确定。计算未来现金流现值所采用的税前折现率是反映当前市场货币时间价值和相关资产组特定风险的税前利率，取</w:t>
      </w:r>
      <w:r>
        <w:rPr>
          <w:spacing w:val="-64"/>
        </w:rPr>
        <w:t> </w:t>
      </w:r>
      <w:r>
        <w:rPr>
          <w:spacing w:val="-64"/>
        </w:rPr>
      </w:r>
      <w:r>
        <w:rPr/>
        <w:t>值为</w:t>
      </w:r>
      <w:r>
        <w:rPr>
          <w:rFonts w:ascii="Times New Roman" w:hAnsi="Times New Roman" w:cs="Times New Roman" w:eastAsia="Times New Roman" w:hint="default"/>
        </w:rPr>
        <w:t>13.69%</w:t>
      </w:r>
      <w:r>
        <w:rPr/>
        <w:t>。闽保信息资产组可回收价值为</w:t>
      </w:r>
      <w:r>
        <w:rPr>
          <w:rFonts w:ascii="Times New Roman" w:hAnsi="Times New Roman" w:cs="Times New Roman" w:eastAsia="Times New Roman" w:hint="default"/>
        </w:rPr>
        <w:t>21,203.79</w:t>
      </w:r>
      <w:r>
        <w:rPr/>
        <w:t>万元，通过未来可收回金额与包含商誉的资产组账面价值进行对比可 知，截至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日，闽保信息商誉未出现减值迹象。</w:t>
      </w:r>
    </w:p>
    <w:p>
      <w:pPr>
        <w:spacing w:line="240" w:lineRule="auto" w:before="11"/>
        <w:rPr>
          <w:rFonts w:ascii="宋体" w:hAnsi="宋体" w:cs="宋体" w:eastAsia="宋体" w:hint="default"/>
          <w:sz w:val="17"/>
          <w:szCs w:val="17"/>
        </w:rPr>
      </w:pPr>
    </w:p>
    <w:p>
      <w:pPr>
        <w:pStyle w:val="Heading3"/>
        <w:spacing w:line="240" w:lineRule="auto" w:before="0"/>
        <w:ind w:right="1133"/>
        <w:jc w:val="left"/>
        <w:rPr>
          <w:b w:val="0"/>
          <w:bCs w:val="0"/>
        </w:rPr>
      </w:pPr>
      <w:r>
        <w:rPr>
          <w:rFonts w:ascii="Times New Roman" w:hAnsi="Times New Roman" w:cs="Times New Roman" w:eastAsia="Times New Roman" w:hint="default"/>
        </w:rPr>
        <w:t>29</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厂房改建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195,938.65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96,396.47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99,542.18</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195,938.65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96,396.47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99,542.18</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before="0"/>
        <w:ind w:right="1133"/>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0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17"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0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926" w:right="0"/>
              <w:jc w:val="left"/>
              <w:rPr>
                <w:rFonts w:ascii="Times New Roman" w:hAnsi="Times New Roman" w:cs="Times New Roman" w:eastAsia="Times New Roman" w:hint="default"/>
                <w:sz w:val="18"/>
                <w:szCs w:val="18"/>
              </w:rPr>
            </w:pPr>
            <w:r>
              <w:rPr>
                <w:rFonts w:ascii="Times New Roman"/>
                <w:sz w:val="18"/>
              </w:rPr>
              <w:t>4,142,687.69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0" w:right="0"/>
              <w:jc w:val="left"/>
              <w:rPr>
                <w:rFonts w:ascii="Times New Roman" w:hAnsi="Times New Roman" w:cs="Times New Roman" w:eastAsia="Times New Roman" w:hint="default"/>
                <w:sz w:val="18"/>
                <w:szCs w:val="18"/>
              </w:rPr>
            </w:pPr>
            <w:r>
              <w:rPr>
                <w:rFonts w:ascii="Times New Roman"/>
                <w:sz w:val="18"/>
              </w:rPr>
              <w:t>726,057.41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6,599,214.72</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1,249,418.30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136,783.94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20,517.59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290,306.72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43,546.01</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其他权益工具投资公允 价值变动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2,590,260.80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388,539.12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17,607,244.23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2,879,028.20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5,909,817.65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907,550.92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362,500.00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54,375.00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412,500.00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61,875.00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24,839,476.66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4,068,517.32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13,211,839.09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2,262,390.23</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01"/>
        <w:gridCol w:w="1928"/>
        <w:gridCol w:w="1916"/>
        <w:gridCol w:w="1913"/>
        <w:gridCol w:w="1916"/>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3"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44"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7"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13,731,663.22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2,059,749.48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其他权益工具投资公允 价值变动</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5,218,954.73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1,292,683.56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固定资产折旧差异</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4,339,557.80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932,213.79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3,744,372.33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793,842.35</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74,812.50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11,221.88</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23,290,175.75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4,284,646.83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3,819,184.83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805,064.23</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161"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2" w:right="51"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4,068,517.32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2,262,390.23</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4,284,646.83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805,064.23</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4,606.46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4,014.34</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4,606.46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4,014.34</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2023</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w w:val="95"/>
                <w:sz w:val="18"/>
              </w:rPr>
              <w:t>4,014.34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w w:val="95"/>
                <w:sz w:val="18"/>
              </w:rPr>
              <w:t>4,014.34</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2024</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592.12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w w:val="95"/>
                <w:sz w:val="18"/>
              </w:rPr>
              <w:t>4,606.46</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w w:val="95"/>
                <w:sz w:val="18"/>
              </w:rPr>
              <w:t>4,014.34</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31</w:t>
      </w:r>
      <w:r>
        <w:rPr/>
        <w:t>、其他非流动资产</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100" w:bottom="1160" w:left="980" w:right="0"/>
        </w:sectPr>
      </w:pPr>
    </w:p>
    <w:p>
      <w:pPr>
        <w:pStyle w:val="BodyText"/>
        <w:spacing w:line="240" w:lineRule="auto" w:before="44"/>
        <w:ind w:right="-20"/>
        <w:jc w:val="left"/>
      </w:pPr>
      <w:r>
        <w:rPr/>
        <w:t>是否已执行新收入准则</w:t>
      </w:r>
    </w:p>
    <w:p>
      <w:pPr>
        <w:pStyle w:val="BodyText"/>
        <w:spacing w:line="240" w:lineRule="auto" w:before="11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预付工程设备款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355,550.00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76,078.97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355,550.00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76,078.97</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32</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before="0"/>
        <w:ind w:right="1133"/>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60,000,000.00</w:t>
            </w:r>
          </w:p>
        </w:tc>
      </w:tr>
    </w:tbl>
    <w:p>
      <w:pPr>
        <w:pStyle w:val="BodyText"/>
        <w:spacing w:line="357" w:lineRule="auto" w:before="49"/>
        <w:ind w:right="8954"/>
        <w:jc w:val="left"/>
      </w:pPr>
      <w:r>
        <w:rPr/>
        <w:t>短期借款分类的说明： 不适用。</w:t>
      </w:r>
    </w:p>
    <w:p>
      <w:pPr>
        <w:spacing w:line="240" w:lineRule="auto" w:before="6"/>
        <w:rPr>
          <w:rFonts w:ascii="宋体" w:hAnsi="宋体" w:cs="宋体" w:eastAsia="宋体" w:hint="default"/>
          <w:sz w:val="20"/>
          <w:szCs w:val="20"/>
        </w:rPr>
      </w:pPr>
    </w:p>
    <w:p>
      <w:pPr>
        <w:pStyle w:val="Heading3"/>
        <w:spacing w:line="240" w:lineRule="auto" w:before="0"/>
        <w:ind w:right="1133"/>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本期末已逾期未偿还的短期借款总额为元，其中重要的已逾期未偿还的短期借款情况如下：</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line="240" w:lineRule="auto" w:before="4"/>
        <w:rPr>
          <w:rFonts w:ascii="宋体" w:hAnsi="宋体" w:cs="宋体" w:eastAsia="宋体" w:hint="default"/>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33</w:t>
      </w:r>
      <w:r>
        <w:rPr/>
        <w:t>、交易性金融负债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0"/>
        </w:sectPr>
      </w:pPr>
    </w:p>
    <w:p>
      <w:pPr>
        <w:spacing w:line="240" w:lineRule="auto" w:before="11"/>
        <w:rPr>
          <w:rFonts w:ascii="宋体" w:hAnsi="宋体" w:cs="宋体" w:eastAsia="宋体" w:hint="default"/>
          <w:sz w:val="20"/>
          <w:szCs w:val="20"/>
        </w:rPr>
      </w:pPr>
    </w:p>
    <w:p>
      <w:pPr>
        <w:pStyle w:val="Heading3"/>
        <w:spacing w:line="240" w:lineRule="auto"/>
        <w:ind w:right="1133"/>
        <w:jc w:val="left"/>
        <w:rPr>
          <w:b w:val="0"/>
          <w:bCs w:val="0"/>
        </w:rPr>
      </w:pPr>
      <w:r>
        <w:rPr>
          <w:rFonts w:ascii="Times New Roman" w:hAnsi="Times New Roman" w:cs="Times New Roman" w:eastAsia="Times New Roman" w:hint="default"/>
        </w:rPr>
        <w:t>34</w:t>
      </w:r>
      <w:r>
        <w:rPr/>
        <w:t>、衍生金融负债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35</w:t>
      </w:r>
      <w:r>
        <w:rPr/>
        <w:t>、应付票据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36</w:t>
      </w:r>
      <w:r>
        <w:rPr/>
        <w:t>、应付账款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before="0"/>
        <w:ind w:right="1133"/>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经营性应付账款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53,545,933.78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41,138,319.81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工程性应付账款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4,456,724.63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8,571,228.28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58,002,658.41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49,709,548.09</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1,206,750.00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暂未结算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380,014.37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暂未结算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213,661.41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暂未结算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212,900.48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暂未结算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202,000.00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暂未结算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2,215,326.26</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37</w:t>
      </w:r>
      <w:r>
        <w:rPr/>
        <w:t>、预收款项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是否已执行新收入准则</w:t>
      </w:r>
    </w:p>
    <w:p>
      <w:pPr>
        <w:pStyle w:val="BodyText"/>
        <w:spacing w:line="240" w:lineRule="auto" w:before="117"/>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3"/>
        <w:spacing w:line="240" w:lineRule="auto" w:before="0"/>
        <w:ind w:right="1133"/>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15,398,653.60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4,656,208.40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15,398,653.60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4,656,208.40</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78"/>
        <w:gridCol w:w="4791"/>
      </w:tblGrid>
      <w:tr>
        <w:trPr>
          <w:trHeight w:val="403"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38</w:t>
      </w:r>
      <w:r>
        <w:rPr/>
        <w:t>、合同负债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33"/>
        <w:jc w:val="left"/>
      </w:pPr>
      <w:r>
        <w:rPr/>
        <w:t>报告期内账面价值发生重大变动的金额和原因</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05"/>
        <w:gridCol w:w="2420"/>
        <w:gridCol w:w="4945"/>
      </w:tblGrid>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变动金额</w:t>
            </w:r>
          </w:p>
        </w:tc>
        <w:tc>
          <w:tcPr>
            <w:tcW w:w="4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39</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before="0"/>
        <w:ind w:right="1133"/>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1,252,352.33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37,973,703.70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36,924,599.53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2,301,456.50</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3,660.29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1,873,411.20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1,860,060.78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17,010.71</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1,256,012.62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39,847,114.90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38,784,660.31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2,318,467.21</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8" w:right="0"/>
              <w:jc w:val="left"/>
              <w:rPr>
                <w:rFonts w:ascii="Times New Roman" w:hAnsi="Times New Roman" w:cs="Times New Roman" w:eastAsia="Times New Roman" w:hint="default"/>
                <w:sz w:val="18"/>
                <w:szCs w:val="18"/>
              </w:rPr>
            </w:pPr>
            <w:r>
              <w:rPr>
                <w:rFonts w:ascii="Times New Roman"/>
                <w:sz w:val="18"/>
              </w:rPr>
              <w:t>1,203,712.48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34,816,267.93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33,864,420.71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2,155,559.70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983,999.01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983,999.01</w:t>
            </w: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1,098.36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1,205,719.73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1,107,133.19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99,684.90</w:t>
            </w:r>
          </w:p>
        </w:tc>
      </w:tr>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2"/>
                <w:sz w:val="18"/>
              </w:rPr>
              <w:t>811.51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1,077,478.85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981,270.61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97,019.75</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81.10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33,947.16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33,030.18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998.08</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205.75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94,293.72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92,832.40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1,667.07</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2,160.74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801,194.75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797,403.49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5,952.00</w:t>
            </w:r>
          </w:p>
        </w:tc>
      </w:tr>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45,380.75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166,522.28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171,643.13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40,259.90</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1,252,352.33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37,973,703.70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36,924,599.53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2,301,456.50</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3,530.58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1,819,996.21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1,806,788.62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16,738.17</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53,414.99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53,272.16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272.54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3,660.29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1,873,411.20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1,860,060.78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17,010.71</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40</w:t>
      </w:r>
      <w:r>
        <w:rPr/>
        <w:t>、应交税费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6"/>
        <w:gridCol w:w="3192"/>
        <w:gridCol w:w="3190"/>
      </w:tblGrid>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4,883,805.80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480,413.80</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3,153,774.79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1,826,589.16</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73,935.60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21,888.44</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240,079.71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98,906.11</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297,698.94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182,847.64</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196,638.62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70,647.22</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22,645.65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48,411.36</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104,581.17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20,163.10</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水利专项建设基金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75,402.27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144.25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9,048,706.80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2,749,866.83</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41</w:t>
      </w:r>
      <w:r>
        <w:rPr/>
        <w:t>、其他应付款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558,241.66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87,725.00</w:t>
            </w:r>
          </w:p>
        </w:tc>
      </w:tr>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42,933,836.83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1,037,596.94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43,492,078.49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1,125,321.94</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）应付利息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558,241.66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87,725.00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558,241.66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87,725.00</w:t>
            </w:r>
          </w:p>
        </w:tc>
      </w:tr>
    </w:tbl>
    <w:p>
      <w:pPr>
        <w:pStyle w:val="BodyText"/>
        <w:spacing w:line="240" w:lineRule="auto" w:before="49"/>
        <w:ind w:right="1133"/>
        <w:jc w:val="left"/>
      </w:pPr>
      <w:r>
        <w:rPr/>
        <w:t>重要的已逾期未支付的利息情况：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）应付股利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before="0"/>
        <w:ind w:right="1133"/>
        <w:jc w:val="left"/>
        <w:rPr>
          <w:b w:val="0"/>
          <w:bCs w:val="0"/>
        </w:rPr>
      </w:pPr>
      <w:r>
        <w:rPr>
          <w:rFonts w:ascii="Times New Roman" w:hAnsi="Times New Roman" w:cs="Times New Roman" w:eastAsia="Times New Roman" w:hint="default"/>
        </w:rPr>
        <w:t>1</w:t>
      </w:r>
      <w:r>
        <w:rPr/>
        <w:t>）按款项性质列示其他应付款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2,763,528.89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963,100.00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242,451.04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74,496.94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应付股权收购款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39,865,806.90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30,050.00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42,933,836.83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1,037,596.94</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ind w:right="1133"/>
        <w:jc w:val="left"/>
        <w:rPr>
          <w:b w:val="0"/>
          <w:bCs w:val="0"/>
        </w:rPr>
      </w:pPr>
      <w:r>
        <w:rPr>
          <w:rFonts w:ascii="Times New Roman" w:hAnsi="Times New Roman" w:cs="Times New Roman" w:eastAsia="Times New Roman" w:hint="default"/>
        </w:rPr>
        <w:t>42</w:t>
      </w:r>
      <w:r>
        <w:rPr/>
        <w:t>、持有待售负债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43</w:t>
      </w:r>
      <w:r>
        <w:rPr/>
        <w:t>、一年内到期的非流动负债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44</w:t>
      </w:r>
      <w:r>
        <w:rPr/>
        <w:t>、其他流动负债</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100" w:bottom="1160" w:left="980" w:right="0"/>
        </w:sectPr>
      </w:pPr>
    </w:p>
    <w:p>
      <w:pPr>
        <w:pStyle w:val="BodyText"/>
        <w:spacing w:line="240" w:lineRule="auto" w:before="44"/>
        <w:ind w:right="-20"/>
        <w:jc w:val="left"/>
      </w:pPr>
      <w:r>
        <w:rPr/>
        <w:t>是否已执行新收入准则</w:t>
      </w:r>
    </w:p>
    <w:p>
      <w:pPr>
        <w:pStyle w:val="BodyText"/>
        <w:spacing w:line="240" w:lineRule="auto" w:before="118"/>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33"/>
        <w:jc w:val="left"/>
      </w:pPr>
      <w:r>
        <w:rPr/>
        <w:t>短期应付债券的增减变动：</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9"/>
        <w:gridCol w:w="797"/>
        <w:gridCol w:w="799"/>
        <w:gridCol w:w="797"/>
        <w:gridCol w:w="800"/>
        <w:gridCol w:w="798"/>
        <w:gridCol w:w="798"/>
        <w:gridCol w:w="797"/>
        <w:gridCol w:w="799"/>
        <w:gridCol w:w="797"/>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4" w:right="32"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03" w:right="35"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240" w:lineRule="auto" w:before="4"/>
        <w:rPr>
          <w:rFonts w:ascii="宋体" w:hAnsi="宋体" w:cs="宋体" w:eastAsia="宋体" w:hint="default"/>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45</w:t>
      </w:r>
      <w:r>
        <w:rPr/>
        <w:t>、长期借款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right="1133"/>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57" w:lineRule="auto" w:before="49"/>
        <w:ind w:right="8594"/>
        <w:jc w:val="left"/>
      </w:pPr>
      <w:r>
        <w:rPr/>
        <w:t>长期借款分类的说明： 不适用。 其他说明，包括利率区间： 不适用。</w:t>
      </w:r>
    </w:p>
    <w:p>
      <w:pPr>
        <w:spacing w:line="240" w:lineRule="auto" w:before="6"/>
        <w:rPr>
          <w:rFonts w:ascii="宋体" w:hAnsi="宋体" w:cs="宋体" w:eastAsia="宋体" w:hint="default"/>
          <w:sz w:val="20"/>
          <w:szCs w:val="20"/>
        </w:rPr>
      </w:pPr>
    </w:p>
    <w:p>
      <w:pPr>
        <w:pStyle w:val="Heading3"/>
        <w:spacing w:line="240" w:lineRule="auto" w:before="0"/>
        <w:ind w:right="1133"/>
        <w:jc w:val="left"/>
        <w:rPr>
          <w:b w:val="0"/>
          <w:bCs w:val="0"/>
        </w:rPr>
      </w:pPr>
      <w:r>
        <w:rPr>
          <w:rFonts w:ascii="Times New Roman" w:hAnsi="Times New Roman" w:cs="Times New Roman" w:eastAsia="Times New Roman" w:hint="default"/>
        </w:rPr>
        <w:t>46</w:t>
      </w:r>
      <w:r>
        <w:rPr/>
        <w:t>、应付债券</w:t>
      </w:r>
      <w:r>
        <w:rPr>
          <w:b w:val="0"/>
          <w:bCs w:val="0"/>
        </w:rPr>
      </w:r>
    </w:p>
    <w:p>
      <w:pPr>
        <w:spacing w:line="240" w:lineRule="auto" w:before="7"/>
        <w:rPr>
          <w:rFonts w:ascii="宋体" w:hAnsi="宋体" w:cs="宋体" w:eastAsia="宋体" w:hint="default"/>
          <w:b/>
          <w:bCs/>
          <w:sz w:val="24"/>
          <w:szCs w:val="24"/>
        </w:rPr>
      </w:pPr>
    </w:p>
    <w:p>
      <w:pPr>
        <w:pStyle w:val="Heading3"/>
        <w:spacing w:line="240" w:lineRule="auto" w:before="0"/>
        <w:ind w:right="1133"/>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0"/>
          <w:szCs w:val="20"/>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788"/>
        <w:gridCol w:w="797"/>
        <w:gridCol w:w="799"/>
        <w:gridCol w:w="797"/>
        <w:gridCol w:w="799"/>
        <w:gridCol w:w="797"/>
        <w:gridCol w:w="800"/>
        <w:gridCol w:w="797"/>
        <w:gridCol w:w="799"/>
        <w:gridCol w:w="797"/>
        <w:gridCol w:w="799"/>
        <w:gridCol w:w="797"/>
      </w:tblGrid>
      <w:tr>
        <w:trPr>
          <w:trHeight w:val="161" w:hRule="exact"/>
        </w:trPr>
        <w:tc>
          <w:tcPr>
            <w:tcW w:w="78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24" w:right="31"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04" w:right="35"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9" w:type="dxa"/>
            <w:vMerge w:val="restart"/>
            <w:tcBorders>
              <w:top w:val="single" w:sz="4" w:space="0" w:color="000000"/>
              <w:left w:val="single" w:sz="4" w:space="0" w:color="000000"/>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4" w:hRule="exact"/>
        </w:trPr>
        <w:tc>
          <w:tcPr>
            <w:tcW w:w="7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r>
      <w:tr>
        <w:trPr>
          <w:trHeight w:val="161" w:hRule="exact"/>
        </w:trPr>
        <w:tc>
          <w:tcPr>
            <w:tcW w:w="78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13" w:space="0" w:color="D2D2D2"/>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12" w:space="0" w:color="D2D2D2"/>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1"/>
        <w:ind w:right="1133"/>
        <w:jc w:val="left"/>
        <w:rPr>
          <w:b w:val="0"/>
          <w:bCs w:val="0"/>
        </w:rPr>
      </w:pP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100" w:bottom="1160" w:left="980" w:right="0"/>
        </w:sectPr>
      </w:pPr>
    </w:p>
    <w:p>
      <w:pPr>
        <w:pStyle w:val="BodyText"/>
        <w:spacing w:line="360" w:lineRule="auto" w:before="44"/>
        <w:ind w:right="-20"/>
        <w:jc w:val="left"/>
      </w:pPr>
      <w:r>
        <w:rPr/>
        <w:t>期末发行在外的优先股、永续债等其他金融工具基本情况 不适用。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653" w:space="417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6"/>
        <w:gridCol w:w="1064"/>
        <w:gridCol w:w="1063"/>
        <w:gridCol w:w="1064"/>
        <w:gridCol w:w="1063"/>
        <w:gridCol w:w="1061"/>
        <w:gridCol w:w="1064"/>
        <w:gridCol w:w="1061"/>
      </w:tblGrid>
      <w:tr>
        <w:trPr>
          <w:trHeight w:val="401"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167"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3"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57" w:lineRule="auto" w:before="49"/>
        <w:ind w:right="7514"/>
        <w:jc w:val="left"/>
      </w:pPr>
      <w:r>
        <w:rPr/>
        <w:t>其他金融工具划分为金融负债的依据说明 不适用。</w:t>
      </w:r>
    </w:p>
    <w:p>
      <w:pPr>
        <w:spacing w:line="240" w:lineRule="auto" w:before="6"/>
        <w:rPr>
          <w:rFonts w:ascii="宋体" w:hAnsi="宋体" w:cs="宋体" w:eastAsia="宋体" w:hint="default"/>
          <w:sz w:val="20"/>
          <w:szCs w:val="20"/>
        </w:rPr>
      </w:pPr>
    </w:p>
    <w:p>
      <w:pPr>
        <w:pStyle w:val="Heading3"/>
        <w:spacing w:line="240" w:lineRule="auto" w:before="0"/>
        <w:ind w:right="1133"/>
        <w:jc w:val="left"/>
        <w:rPr>
          <w:b w:val="0"/>
          <w:bCs w:val="0"/>
        </w:rPr>
      </w:pPr>
      <w:r>
        <w:rPr>
          <w:rFonts w:ascii="Times New Roman" w:hAnsi="Times New Roman" w:cs="Times New Roman" w:eastAsia="Times New Roman" w:hint="default"/>
        </w:rPr>
        <w:t>47</w:t>
      </w:r>
      <w:r>
        <w:rPr/>
        <w:t>、租赁负债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48</w:t>
      </w:r>
      <w:r>
        <w:rPr/>
        <w:t>、长期应付款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）专项应付款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type w:val="continuous"/>
          <w:pgSz w:w="11910" w:h="16840"/>
          <w:pgMar w:top="106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line="240" w:lineRule="auto" w:before="4"/>
        <w:rPr>
          <w:rFonts w:ascii="宋体" w:hAnsi="宋体" w:cs="宋体" w:eastAsia="宋体" w:hint="default"/>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49</w:t>
      </w:r>
      <w:r>
        <w:rPr/>
        <w:t>、长期应付职工薪酬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before="0"/>
        <w:ind w:right="1133"/>
        <w:jc w:val="left"/>
        <w:rPr>
          <w:b w:val="0"/>
          <w:bCs w:val="0"/>
        </w:rPr>
      </w:pPr>
      <w:r>
        <w:rPr/>
        <w:t>（</w:t>
      </w:r>
      <w:r>
        <w:rPr>
          <w:rFonts w:ascii="Times New Roman" w:hAnsi="Times New Roman" w:cs="Times New Roman" w:eastAsia="Times New Roman" w:hint="default"/>
        </w:rPr>
        <w:t>1</w:t>
      </w:r>
      <w:r>
        <w:rPr/>
        <w:t>）长期应付职工薪酬表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设定受益计划义务现值：</w:t>
      </w:r>
    </w:p>
    <w:p>
      <w:pPr>
        <w:pStyle w:val="BodyText"/>
        <w:spacing w:line="240" w:lineRule="auto" w:before="115"/>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0"/>
        <w:ind w:right="1133"/>
        <w:jc w:val="left"/>
      </w:pPr>
      <w:r>
        <w:rPr/>
        <w:t>计划资产：</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1133"/>
        <w:jc w:val="left"/>
      </w:pPr>
      <w:r>
        <w:rPr/>
        <w:t>设定受益计划净负债（净资产）</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49"/>
        <w:ind w:right="3554"/>
        <w:jc w:val="left"/>
      </w:pPr>
      <w:r>
        <w:rPr/>
        <w:t>设定受益计划的内容及与之相关风险、对公司未来现金流量、时间和不确定性的影响说明： 不适用。</w:t>
      </w:r>
    </w:p>
    <w:p>
      <w:pPr>
        <w:pStyle w:val="BodyText"/>
        <w:spacing w:line="360" w:lineRule="auto" w:before="29"/>
        <w:ind w:right="6614"/>
        <w:jc w:val="left"/>
      </w:pPr>
      <w:r>
        <w:rPr/>
        <w:t>设定受益计划重大精算假设及敏感性分析结果说明： 不适用。</w:t>
      </w:r>
    </w:p>
    <w:p>
      <w:pPr>
        <w:spacing w:line="240" w:lineRule="auto" w:before="4"/>
        <w:rPr>
          <w:rFonts w:ascii="宋体" w:hAnsi="宋体" w:cs="宋体" w:eastAsia="宋体" w:hint="default"/>
          <w:sz w:val="20"/>
          <w:szCs w:val="20"/>
        </w:rPr>
      </w:pPr>
    </w:p>
    <w:p>
      <w:pPr>
        <w:pStyle w:val="Heading3"/>
        <w:spacing w:line="240" w:lineRule="auto" w:before="0"/>
        <w:ind w:right="1133"/>
        <w:jc w:val="left"/>
        <w:rPr>
          <w:b w:val="0"/>
          <w:bCs w:val="0"/>
        </w:rPr>
      </w:pPr>
      <w:r>
        <w:rPr>
          <w:rFonts w:ascii="Times New Roman" w:hAnsi="Times New Roman" w:cs="Times New Roman" w:eastAsia="Times New Roman" w:hint="default"/>
        </w:rPr>
        <w:t>50</w:t>
      </w:r>
      <w:r>
        <w:rPr/>
        <w:t>、预计负债</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100" w:bottom="1160" w:left="98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7"/>
        <w:gridCol w:w="2392"/>
        <w:gridCol w:w="2381"/>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357" w:lineRule="auto" w:before="49"/>
        <w:ind w:right="6074"/>
        <w:jc w:val="left"/>
      </w:pPr>
      <w:r>
        <w:rPr/>
        <w:t>其他说明，包括重要预计负债的相关重要假设、估计说明： 不适用。</w:t>
      </w:r>
    </w:p>
    <w:p>
      <w:pPr>
        <w:spacing w:line="240" w:lineRule="auto" w:before="6"/>
        <w:rPr>
          <w:rFonts w:ascii="宋体" w:hAnsi="宋体" w:cs="宋体" w:eastAsia="宋体" w:hint="default"/>
          <w:sz w:val="20"/>
          <w:szCs w:val="20"/>
        </w:rPr>
      </w:pPr>
    </w:p>
    <w:p>
      <w:pPr>
        <w:pStyle w:val="Heading3"/>
        <w:spacing w:line="240" w:lineRule="auto" w:before="0"/>
        <w:ind w:right="1133"/>
        <w:jc w:val="left"/>
        <w:rPr>
          <w:b w:val="0"/>
          <w:bCs w:val="0"/>
        </w:rPr>
      </w:pPr>
      <w:r>
        <w:rPr>
          <w:rFonts w:ascii="Times New Roman" w:hAnsi="Times New Roman" w:cs="Times New Roman" w:eastAsia="Times New Roman" w:hint="default"/>
        </w:rPr>
        <w:t>51</w:t>
      </w:r>
      <w:r>
        <w:rPr/>
        <w:t>、递延收益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4"/>
        <w:gridCol w:w="1608"/>
        <w:gridCol w:w="1582"/>
        <w:gridCol w:w="1594"/>
      </w:tblGrid>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1"/>
              <w:jc w:val="righ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757" w:right="0"/>
              <w:jc w:val="left"/>
              <w:rPr>
                <w:rFonts w:ascii="Times New Roman" w:hAnsi="Times New Roman" w:cs="Times New Roman" w:eastAsia="Times New Roman" w:hint="default"/>
                <w:sz w:val="18"/>
                <w:szCs w:val="18"/>
              </w:rPr>
            </w:pPr>
            <w:r>
              <w:rPr>
                <w:rFonts w:ascii="Times New Roman"/>
                <w:sz w:val="18"/>
              </w:rPr>
              <w:t>412,500.00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2" w:right="0"/>
              <w:jc w:val="left"/>
              <w:rPr>
                <w:rFonts w:ascii="Times New Roman" w:hAnsi="Times New Roman" w:cs="Times New Roman" w:eastAsia="Times New Roman" w:hint="default"/>
                <w:sz w:val="18"/>
                <w:szCs w:val="18"/>
              </w:rPr>
            </w:pPr>
            <w:r>
              <w:rPr>
                <w:rFonts w:ascii="Times New Roman"/>
                <w:sz w:val="18"/>
              </w:rPr>
              <w:t>50,000.00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9" w:right="0"/>
              <w:jc w:val="left"/>
              <w:rPr>
                <w:rFonts w:ascii="Times New Roman" w:hAnsi="Times New Roman" w:cs="Times New Roman" w:eastAsia="Times New Roman" w:hint="default"/>
                <w:sz w:val="18"/>
                <w:szCs w:val="18"/>
              </w:rPr>
            </w:pPr>
            <w:r>
              <w:rPr>
                <w:rFonts w:ascii="Times New Roman"/>
                <w:sz w:val="18"/>
              </w:rPr>
              <w:t>362,500.00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79"/>
              <w:jc w:val="right"/>
              <w:rPr>
                <w:rFonts w:ascii="宋体" w:hAnsi="宋体" w:cs="宋体" w:eastAsia="宋体" w:hint="default"/>
                <w:sz w:val="18"/>
                <w:szCs w:val="18"/>
              </w:rPr>
            </w:pPr>
            <w:r>
              <w:rPr>
                <w:rFonts w:ascii="宋体" w:hAnsi="宋体" w:cs="宋体" w:eastAsia="宋体" w:hint="default"/>
                <w:sz w:val="18"/>
                <w:szCs w:val="18"/>
              </w:rPr>
              <w:t>政府拨款转入</w:t>
            </w:r>
          </w:p>
        </w:tc>
      </w:tr>
    </w:tbl>
    <w:p>
      <w:pPr>
        <w:spacing w:after="0" w:line="240" w:lineRule="auto"/>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3" w:right="0"/>
              <w:jc w:val="left"/>
              <w:rPr>
                <w:rFonts w:ascii="Times New Roman" w:hAnsi="Times New Roman" w:cs="Times New Roman" w:eastAsia="Times New Roman" w:hint="default"/>
                <w:sz w:val="18"/>
                <w:szCs w:val="18"/>
              </w:rPr>
            </w:pPr>
            <w:r>
              <w:rPr>
                <w:rFonts w:ascii="Times New Roman"/>
                <w:sz w:val="18"/>
              </w:rPr>
              <w:t>412,500.00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2" w:right="0"/>
              <w:jc w:val="left"/>
              <w:rPr>
                <w:rFonts w:ascii="Times New Roman" w:hAnsi="Times New Roman" w:cs="Times New Roman" w:eastAsia="Times New Roman" w:hint="default"/>
                <w:sz w:val="18"/>
                <w:szCs w:val="18"/>
              </w:rPr>
            </w:pPr>
            <w:r>
              <w:rPr>
                <w:rFonts w:ascii="Times New Roman"/>
                <w:sz w:val="18"/>
              </w:rPr>
              <w:t>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1" w:right="0"/>
              <w:jc w:val="left"/>
              <w:rPr>
                <w:rFonts w:ascii="Times New Roman" w:hAnsi="Times New Roman" w:cs="Times New Roman" w:eastAsia="Times New Roman" w:hint="default"/>
                <w:sz w:val="18"/>
                <w:szCs w:val="18"/>
              </w:rPr>
            </w:pPr>
            <w:r>
              <w:rPr>
                <w:rFonts w:ascii="Times New Roman"/>
                <w:sz w:val="18"/>
              </w:rPr>
              <w:t>362,500.00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涉及政府补助的项目：</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11"/>
        <w:gridCol w:w="1010"/>
        <w:gridCol w:w="1011"/>
        <w:gridCol w:w="1008"/>
        <w:gridCol w:w="1010"/>
        <w:gridCol w:w="1249"/>
        <w:gridCol w:w="1010"/>
      </w:tblGrid>
      <w:tr>
        <w:trPr>
          <w:trHeight w:val="1025" w:hRule="exact"/>
        </w:trPr>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2"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0" w:right="50"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 w:right="48"/>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50" w:right="48"/>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50" w:right="4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1"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97" w:lineRule="auto"/>
              <w:ind w:left="50" w:right="24" w:hanging="2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339"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长寿命激光 光导鼓的研 制与产业化 项目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05" w:right="0"/>
              <w:jc w:val="left"/>
              <w:rPr>
                <w:rFonts w:ascii="Times New Roman" w:hAnsi="Times New Roman" w:cs="Times New Roman" w:eastAsia="Times New Roman" w:hint="default"/>
                <w:sz w:val="18"/>
                <w:szCs w:val="18"/>
              </w:rPr>
            </w:pPr>
            <w:r>
              <w:rPr>
                <w:rFonts w:ascii="Times New Roman"/>
                <w:sz w:val="18"/>
              </w:rPr>
              <w:t>412,500.00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50,000.00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05" w:right="0"/>
              <w:jc w:val="left"/>
              <w:rPr>
                <w:rFonts w:ascii="Times New Roman" w:hAnsi="Times New Roman" w:cs="Times New Roman" w:eastAsia="Times New Roman" w:hint="default"/>
                <w:sz w:val="18"/>
                <w:szCs w:val="18"/>
              </w:rPr>
            </w:pPr>
            <w:r>
              <w:rPr>
                <w:rFonts w:ascii="Times New Roman"/>
                <w:sz w:val="18"/>
              </w:rPr>
              <w:t>362,500.00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52</w:t>
      </w:r>
      <w:r>
        <w:rPr/>
        <w:t>、其他非流动负债</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footerReference w:type="default" r:id="rId23"/>
          <w:pgSz w:w="11910" w:h="16840"/>
          <w:pgMar w:footer="980" w:header="877" w:top="1100" w:bottom="1160" w:left="980" w:right="0"/>
          <w:pgNumType w:start="179"/>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53</w:t>
      </w:r>
      <w:r>
        <w:rPr/>
        <w:t>、股本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6"/>
        <w:gridCol w:w="1210"/>
        <w:gridCol w:w="1184"/>
        <w:gridCol w:w="1195"/>
        <w:gridCol w:w="1198"/>
        <w:gridCol w:w="1195"/>
        <w:gridCol w:w="1185"/>
        <w:gridCol w:w="1208"/>
      </w:tblGrid>
      <w:tr>
        <w:trPr>
          <w:trHeight w:val="206" w:hRule="exact"/>
        </w:trPr>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7"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7"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9"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10"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192,000,000.00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76,800,000.00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76,800,000.00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268,800,000.00</w:t>
            </w:r>
          </w:p>
        </w:tc>
      </w:tr>
    </w:tbl>
    <w:p>
      <w:pPr>
        <w:pStyle w:val="BodyText"/>
        <w:spacing w:line="240" w:lineRule="auto" w:before="49"/>
        <w:ind w:right="1133"/>
        <w:jc w:val="left"/>
      </w:pPr>
      <w:r>
        <w:rPr/>
        <w:t>其他说明：</w:t>
      </w:r>
    </w:p>
    <w:p>
      <w:pPr>
        <w:spacing w:line="240" w:lineRule="auto" w:before="11"/>
        <w:rPr>
          <w:rFonts w:ascii="宋体" w:hAnsi="宋体" w:cs="宋体" w:eastAsia="宋体" w:hint="default"/>
          <w:sz w:val="14"/>
          <w:szCs w:val="14"/>
        </w:rPr>
      </w:pPr>
    </w:p>
    <w:p>
      <w:pPr>
        <w:pStyle w:val="BodyText"/>
        <w:spacing w:line="451" w:lineRule="auto"/>
        <w:ind w:right="1124" w:firstLine="360"/>
        <w:jc w:val="left"/>
      </w:pP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日召开</w:t>
      </w:r>
      <w:r>
        <w:rPr>
          <w:rFonts w:ascii="Times New Roman" w:hAnsi="Times New Roman" w:cs="Times New Roman" w:eastAsia="Times New Roman" w:hint="default"/>
        </w:rPr>
        <w:t>2018</w:t>
      </w:r>
      <w:r>
        <w:rPr/>
        <w:t>年度股东大会，审议通过了《关于公司</w:t>
      </w:r>
      <w:r>
        <w:rPr>
          <w:rFonts w:ascii="Times New Roman" w:hAnsi="Times New Roman" w:cs="Times New Roman" w:eastAsia="Times New Roman" w:hint="default"/>
        </w:rPr>
        <w:t>2018</w:t>
      </w:r>
      <w:r>
        <w:rPr/>
        <w:t>年度利润分配及资本公积转增股本预案的议 案》：以公司总股本</w:t>
      </w:r>
      <w:r>
        <w:rPr>
          <w:rFonts w:ascii="Times New Roman" w:hAnsi="Times New Roman" w:cs="Times New Roman" w:eastAsia="Times New Roman" w:hint="default"/>
        </w:rPr>
        <w:t>192,000,000</w:t>
      </w:r>
      <w:r>
        <w:rPr/>
        <w:t>股作为股本基数，以资本公积向全体股东每十股转增</w:t>
      </w:r>
      <w:r>
        <w:rPr>
          <w:rFonts w:ascii="Times New Roman" w:hAnsi="Times New Roman" w:cs="Times New Roman" w:eastAsia="Times New Roman" w:hint="default"/>
        </w:rPr>
        <w:t>4</w:t>
      </w:r>
      <w:r>
        <w:rPr/>
        <w:t>股，合计转增</w:t>
      </w:r>
      <w:r>
        <w:rPr>
          <w:rFonts w:ascii="Times New Roman" w:hAnsi="Times New Roman" w:cs="Times New Roman" w:eastAsia="Times New Roman" w:hint="default"/>
        </w:rPr>
        <w:t>76,800,000.00</w:t>
      </w:r>
      <w:r>
        <w:rPr/>
        <w:t>股。</w:t>
      </w:r>
    </w:p>
    <w:p>
      <w:pPr>
        <w:spacing w:line="240" w:lineRule="auto" w:before="8"/>
        <w:rPr>
          <w:rFonts w:ascii="宋体" w:hAnsi="宋体" w:cs="宋体" w:eastAsia="宋体" w:hint="default"/>
          <w:sz w:val="18"/>
          <w:szCs w:val="18"/>
        </w:rPr>
      </w:pPr>
    </w:p>
    <w:p>
      <w:pPr>
        <w:pStyle w:val="Heading3"/>
        <w:spacing w:line="240" w:lineRule="auto" w:before="0"/>
        <w:ind w:right="1133"/>
        <w:jc w:val="left"/>
        <w:rPr>
          <w:b w:val="0"/>
          <w:bCs w:val="0"/>
        </w:rPr>
      </w:pPr>
      <w:r>
        <w:rPr>
          <w:rFonts w:ascii="Times New Roman" w:hAnsi="Times New Roman" w:cs="Times New Roman" w:eastAsia="Times New Roman" w:hint="default"/>
        </w:rPr>
        <w:t>54</w:t>
      </w:r>
      <w:r>
        <w:rPr/>
        <w:t>、其他权益工具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before="0"/>
        <w:ind w:right="1133"/>
        <w:jc w:val="left"/>
        <w:rPr>
          <w:b w:val="0"/>
          <w:bCs w:val="0"/>
        </w:rPr>
      </w:pP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1"/>
        <w:ind w:right="1133"/>
        <w:jc w:val="left"/>
        <w:rPr>
          <w:b w:val="0"/>
          <w:bCs w:val="0"/>
        </w:rPr>
      </w:pP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6"/>
        <w:gridCol w:w="1064"/>
        <w:gridCol w:w="1063"/>
        <w:gridCol w:w="1064"/>
        <w:gridCol w:w="1063"/>
        <w:gridCol w:w="1061"/>
        <w:gridCol w:w="1064"/>
        <w:gridCol w:w="1061"/>
      </w:tblGrid>
      <w:tr>
        <w:trPr>
          <w:trHeight w:val="401"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167"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50"/>
        <w:ind w:right="1133"/>
        <w:jc w:val="left"/>
      </w:pPr>
      <w:r>
        <w:rPr/>
        <w:t>其他权益工具本期增减变动情况、变动原因说明，以及相关会计处理的依据：</w:t>
      </w:r>
    </w:p>
    <w:p>
      <w:pPr>
        <w:spacing w:after="0" w:line="240" w:lineRule="auto"/>
        <w:jc w:val="left"/>
        <w:sectPr>
          <w:type w:val="continuous"/>
          <w:pgSz w:w="11910" w:h="16840"/>
          <w:pgMar w:top="106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right="1133"/>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55</w:t>
      </w:r>
      <w:r>
        <w:rPr/>
        <w:t>、资本公积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131,626,048.15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54,826,048.15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131,626,048.15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54,826,048.15</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56</w:t>
      </w:r>
      <w:r>
        <w:rPr/>
        <w:t>、库存股</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57</w:t>
      </w:r>
      <w:r>
        <w:rPr/>
        <w:t>、其他综合收益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44"/>
        <w:gridCol w:w="975"/>
        <w:gridCol w:w="852"/>
        <w:gridCol w:w="1052"/>
        <w:gridCol w:w="852"/>
        <w:gridCol w:w="852"/>
        <w:gridCol w:w="853"/>
        <w:gridCol w:w="852"/>
        <w:gridCol w:w="727"/>
      </w:tblGrid>
      <w:tr>
        <w:trPr>
          <w:trHeight w:val="396" w:hRule="exact"/>
        </w:trPr>
        <w:tc>
          <w:tcPr>
            <w:tcW w:w="2544" w:type="dxa"/>
            <w:vMerge w:val="restart"/>
            <w:tcBorders>
              <w:top w:val="single" w:sz="4" w:space="0" w:color="000000"/>
              <w:left w:val="single" w:sz="4" w:space="0" w:color="000000"/>
              <w:right w:val="single" w:sz="4" w:space="0" w:color="000000"/>
            </w:tcBorders>
            <w:shd w:val="clear" w:color="auto" w:fill="D2D2D2"/>
          </w:tcPr>
          <w:p>
            <w:pPr/>
          </w:p>
        </w:tc>
        <w:tc>
          <w:tcPr>
            <w:tcW w:w="975" w:type="dxa"/>
            <w:vMerge w:val="restart"/>
            <w:tcBorders>
              <w:top w:val="single" w:sz="4" w:space="0" w:color="000000"/>
              <w:left w:val="single" w:sz="4" w:space="0" w:color="000000"/>
              <w:right w:val="single" w:sz="4" w:space="0" w:color="000000"/>
            </w:tcBorders>
            <w:shd w:val="clear" w:color="auto" w:fill="D2D2D2"/>
          </w:tcPr>
          <w:p>
            <w:pPr/>
          </w:p>
        </w:tc>
        <w:tc>
          <w:tcPr>
            <w:tcW w:w="531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27" w:type="dxa"/>
            <w:vMerge w:val="restart"/>
            <w:tcBorders>
              <w:top w:val="single" w:sz="4" w:space="0" w:color="000000"/>
              <w:left w:val="single" w:sz="4" w:space="0" w:color="000000"/>
              <w:right w:val="single" w:sz="4" w:space="0" w:color="000000"/>
            </w:tcBorders>
            <w:shd w:val="clear" w:color="auto" w:fill="D2D2D2"/>
          </w:tcPr>
          <w:p>
            <w:pPr/>
          </w:p>
        </w:tc>
      </w:tr>
      <w:tr>
        <w:trPr>
          <w:trHeight w:val="168" w:hRule="exact"/>
        </w:trPr>
        <w:tc>
          <w:tcPr>
            <w:tcW w:w="2544"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62" w:right="59"/>
              <w:jc w:val="both"/>
              <w:rPr>
                <w:rFonts w:ascii="宋体" w:hAnsi="宋体" w:cs="宋体" w:eastAsia="宋体" w:hint="default"/>
                <w:sz w:val="18"/>
                <w:szCs w:val="18"/>
              </w:rPr>
            </w:pPr>
            <w:r>
              <w:rPr>
                <w:rFonts w:ascii="宋体" w:hAnsi="宋体" w:cs="宋体" w:eastAsia="宋体" w:hint="default"/>
                <w:sz w:val="18"/>
                <w:szCs w:val="18"/>
              </w:rPr>
              <w:t>减：前期 计入其他 综合收益 当期转入 留存收益</w:t>
            </w: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853" w:type="dxa"/>
            <w:vMerge w:val="restart"/>
            <w:tcBorders>
              <w:top w:val="single" w:sz="4" w:space="0" w:color="000000"/>
              <w:left w:val="single" w:sz="4" w:space="0" w:color="000000"/>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145" w:hRule="exact"/>
        </w:trPr>
        <w:tc>
          <w:tcPr>
            <w:tcW w:w="2544"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0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5"/>
                <w:sz w:val="18"/>
                <w:szCs w:val="18"/>
              </w:rPr>
              <w:t>减：前期计入</w:t>
            </w:r>
            <w:r>
              <w:rPr>
                <w:rFonts w:ascii="宋体" w:hAnsi="宋体" w:cs="宋体" w:eastAsia="宋体" w:hint="default"/>
                <w:sz w:val="18"/>
                <w:szCs w:val="18"/>
              </w:rPr>
              <w:t> 其他综合收 益当期转入 损益</w:t>
            </w: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single" w:sz="18" w:space="0" w:color="FFFFFF"/>
              <w:right w:val="single" w:sz="4" w:space="0" w:color="000000"/>
            </w:tcBorders>
            <w:shd w:val="clear" w:color="auto" w:fill="D2D2D2"/>
          </w:tcPr>
          <w:p>
            <w:pPr/>
          </w:p>
        </w:tc>
        <w:tc>
          <w:tcPr>
            <w:tcW w:w="727" w:type="dxa"/>
            <w:vMerge/>
            <w:tcBorders>
              <w:left w:val="single" w:sz="4" w:space="0" w:color="000000"/>
              <w:bottom w:val="single" w:sz="18" w:space="0" w:color="FFFFFF"/>
              <w:right w:val="single" w:sz="4" w:space="0" w:color="000000"/>
            </w:tcBorders>
            <w:shd w:val="clear" w:color="auto" w:fill="D2D2D2"/>
          </w:tcPr>
          <w:p>
            <w:pPr/>
          </w:p>
        </w:tc>
      </w:tr>
      <w:tr>
        <w:trPr>
          <w:trHeight w:val="145" w:hRule="exact"/>
        </w:trPr>
        <w:tc>
          <w:tcPr>
            <w:tcW w:w="2544" w:type="dxa"/>
            <w:vMerge/>
            <w:tcBorders>
              <w:left w:val="single" w:sz="4" w:space="0" w:color="000000"/>
              <w:bottom w:val="nil" w:sz="6" w:space="0" w:color="auto"/>
              <w:right w:val="single" w:sz="4" w:space="0" w:color="000000"/>
            </w:tcBorders>
            <w:shd w:val="clear" w:color="auto" w:fill="D2D2D2"/>
          </w:tcPr>
          <w:p>
            <w:pPr/>
          </w:p>
        </w:tc>
        <w:tc>
          <w:tcPr>
            <w:tcW w:w="975" w:type="dxa"/>
            <w:vMerge/>
            <w:tcBorders>
              <w:left w:val="single" w:sz="4" w:space="0" w:color="000000"/>
              <w:bottom w:val="nil" w:sz="6" w:space="0" w:color="auto"/>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0"/>
              <w:ind w:left="62" w:right="59"/>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853" w:type="dxa"/>
            <w:vMerge/>
            <w:tcBorders>
              <w:left w:val="single" w:sz="4" w:space="0" w:color="000000"/>
              <w:bottom w:val="nil" w:sz="6" w:space="0" w:color="auto"/>
              <w:right w:val="single" w:sz="4" w:space="0" w:color="000000"/>
            </w:tcBorders>
            <w:shd w:val="clear" w:color="auto" w:fill="D2D2D2"/>
          </w:tcPr>
          <w:p>
            <w:pPr/>
          </w:p>
        </w:tc>
        <w:tc>
          <w:tcPr>
            <w:tcW w:w="852" w:type="dxa"/>
            <w:vMerge w:val="restart"/>
            <w:tcBorders>
              <w:top w:val="single" w:sz="18" w:space="0" w:color="FFFFFF"/>
              <w:left w:val="single" w:sz="4" w:space="0" w:color="000000"/>
              <w:right w:val="single" w:sz="4" w:space="0" w:color="000000"/>
            </w:tcBorders>
            <w:shd w:val="clear" w:color="auto" w:fill="D2D2D2"/>
          </w:tcPr>
          <w:p>
            <w:pPr>
              <w:pStyle w:val="TableParagraph"/>
              <w:spacing w:line="316" w:lineRule="auto" w:before="37"/>
              <w:ind w:left="62" w:right="59"/>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27" w:type="dxa"/>
            <w:vMerge w:val="restart"/>
            <w:tcBorders>
              <w:top w:val="single" w:sz="18" w:space="0" w:color="FFFFFF"/>
              <w:left w:val="single" w:sz="4" w:space="0" w:color="000000"/>
              <w:right w:val="single" w:sz="4" w:space="0" w:color="000000"/>
            </w:tcBorders>
            <w:shd w:val="clear" w:color="auto" w:fill="D2D2D2"/>
          </w:tcPr>
          <w:p>
            <w:pPr>
              <w:pStyle w:val="TableParagraph"/>
              <w:spacing w:line="316" w:lineRule="auto"/>
              <w:ind w:left="268" w:right="86"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r>
        <w:trPr>
          <w:trHeight w:val="368" w:hRule="exact"/>
        </w:trPr>
        <w:tc>
          <w:tcPr>
            <w:tcW w:w="25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9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52"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71"/>
              <w:ind w:left="151" w:right="59" w:hanging="89"/>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853"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71"/>
              <w:ind w:left="62" w:right="58"/>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852"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156" w:hRule="exact"/>
        </w:trPr>
        <w:tc>
          <w:tcPr>
            <w:tcW w:w="2544" w:type="dxa"/>
            <w:vMerge w:val="restart"/>
            <w:tcBorders>
              <w:top w:val="nil" w:sz="6" w:space="0" w:color="auto"/>
              <w:left w:val="single" w:sz="4" w:space="0" w:color="000000"/>
              <w:right w:val="single" w:sz="4" w:space="0" w:color="000000"/>
            </w:tcBorders>
            <w:shd w:val="clear" w:color="auto" w:fill="D2D2D2"/>
          </w:tcPr>
          <w:p>
            <w:pPr/>
          </w:p>
        </w:tc>
        <w:tc>
          <w:tcPr>
            <w:tcW w:w="975" w:type="dxa"/>
            <w:vMerge w:val="restart"/>
            <w:tcBorders>
              <w:top w:val="nil" w:sz="6" w:space="0" w:color="auto"/>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727"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544"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853"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727"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2544"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853" w:type="dxa"/>
            <w:vMerge w:val="restart"/>
            <w:tcBorders>
              <w:top w:val="nil" w:sz="6" w:space="0" w:color="auto"/>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156" w:hRule="exact"/>
        </w:trPr>
        <w:tc>
          <w:tcPr>
            <w:tcW w:w="2544"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161" w:hRule="exact"/>
        </w:trPr>
        <w:tc>
          <w:tcPr>
            <w:tcW w:w="2544" w:type="dxa"/>
            <w:vMerge/>
            <w:tcBorders>
              <w:left w:val="single" w:sz="4" w:space="0" w:color="000000"/>
              <w:bottom w:val="single" w:sz="4" w:space="0" w:color="000000"/>
              <w:right w:val="single" w:sz="4" w:space="0" w:color="000000"/>
            </w:tcBorders>
            <w:shd w:val="clear" w:color="auto" w:fill="D2D2D2"/>
          </w:tcPr>
          <w:p>
            <w:pPr/>
          </w:p>
        </w:tc>
        <w:tc>
          <w:tcPr>
            <w:tcW w:w="975"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1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3"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2"/>
                <w:sz w:val="18"/>
                <w:szCs w:val="18"/>
              </w:rPr>
              <w:t>一、不能重分类进损益的其他综</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合收益</w:t>
            </w:r>
          </w:p>
        </w:tc>
        <w:tc>
          <w:tcPr>
            <w:tcW w:w="9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1,074,039.6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-1,954,305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.71</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-1,954,305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.71</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-880,266</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.04</w:t>
            </w:r>
          </w:p>
        </w:tc>
      </w:tr>
      <w:tr>
        <w:trPr>
          <w:trHeight w:val="715" w:hRule="exact"/>
        </w:trPr>
        <w:tc>
          <w:tcPr>
            <w:tcW w:w="2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80" w:firstLine="540"/>
              <w:jc w:val="left"/>
              <w:rPr>
                <w:rFonts w:ascii="宋体" w:hAnsi="宋体" w:cs="宋体" w:eastAsia="宋体" w:hint="default"/>
                <w:sz w:val="18"/>
                <w:szCs w:val="18"/>
              </w:rPr>
            </w:pPr>
            <w:r>
              <w:rPr>
                <w:rFonts w:ascii="宋体" w:hAnsi="宋体" w:cs="宋体" w:eastAsia="宋体" w:hint="default"/>
                <w:sz w:val="18"/>
                <w:szCs w:val="18"/>
              </w:rPr>
              <w:t>其他权益工具投资公允 价值变动</w:t>
            </w:r>
          </w:p>
        </w:tc>
        <w:tc>
          <w:tcPr>
            <w:tcW w:w="9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1,074,039.6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-1,954,305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.71</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-1,954,305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.71</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 w:right="0"/>
              <w:jc w:val="left"/>
              <w:rPr>
                <w:rFonts w:ascii="Times New Roman" w:hAnsi="Times New Roman" w:cs="Times New Roman" w:eastAsia="Times New Roman" w:hint="default"/>
                <w:sz w:val="18"/>
                <w:szCs w:val="18"/>
              </w:rPr>
            </w:pPr>
            <w:r>
              <w:rPr>
                <w:rFonts w:ascii="Times New Roman"/>
                <w:sz w:val="18"/>
              </w:rPr>
              <w:t>-880,266</w:t>
            </w:r>
          </w:p>
          <w:p>
            <w:pPr>
              <w:pStyle w:val="TableParagraph"/>
              <w:spacing w:line="240" w:lineRule="auto" w:before="102"/>
              <w:ind w:left="468" w:right="0"/>
              <w:jc w:val="left"/>
              <w:rPr>
                <w:rFonts w:ascii="Times New Roman" w:hAnsi="Times New Roman" w:cs="Times New Roman" w:eastAsia="Times New Roman" w:hint="default"/>
                <w:sz w:val="18"/>
                <w:szCs w:val="18"/>
              </w:rPr>
            </w:pPr>
            <w:r>
              <w:rPr>
                <w:rFonts w:ascii="Times New Roman"/>
                <w:sz w:val="18"/>
              </w:rPr>
              <w:t>.04</w:t>
            </w:r>
          </w:p>
        </w:tc>
      </w:tr>
      <w:tr>
        <w:trPr>
          <w:trHeight w:val="713" w:hRule="exact"/>
        </w:trPr>
        <w:tc>
          <w:tcPr>
            <w:tcW w:w="2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收益</w:t>
            </w:r>
          </w:p>
        </w:tc>
        <w:tc>
          <w:tcPr>
            <w:tcW w:w="9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5" w:right="0"/>
              <w:jc w:val="left"/>
              <w:rPr>
                <w:rFonts w:ascii="Times New Roman" w:hAnsi="Times New Roman" w:cs="Times New Roman" w:eastAsia="Times New Roman" w:hint="default"/>
                <w:sz w:val="18"/>
                <w:szCs w:val="18"/>
              </w:rPr>
            </w:pPr>
            <w:r>
              <w:rPr>
                <w:rFonts w:ascii="Times New Roman"/>
                <w:sz w:val="18"/>
              </w:rPr>
              <w:t>704,658.57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111,429.0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111,429.03</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816,087.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60</w:t>
            </w:r>
          </w:p>
        </w:tc>
      </w:tr>
      <w:tr>
        <w:trPr>
          <w:trHeight w:val="163" w:hRule="exact"/>
        </w:trPr>
        <w:tc>
          <w:tcPr>
            <w:tcW w:w="2544" w:type="dxa"/>
            <w:tcBorders>
              <w:top w:val="single" w:sz="4" w:space="0" w:color="000000"/>
              <w:left w:val="single" w:sz="4" w:space="0" w:color="000000"/>
              <w:bottom w:val="nil" w:sz="6" w:space="0" w:color="auto"/>
              <w:right w:val="single" w:sz="4" w:space="0" w:color="000000"/>
            </w:tcBorders>
            <w:shd w:val="clear" w:color="auto" w:fill="D2D2D2"/>
          </w:tcPr>
          <w:p>
            <w:pPr/>
          </w:p>
        </w:tc>
        <w:tc>
          <w:tcPr>
            <w:tcW w:w="975" w:type="dxa"/>
            <w:vMerge w:val="restart"/>
            <w:tcBorders>
              <w:top w:val="single" w:sz="4" w:space="0" w:color="000000"/>
              <w:left w:val="single" w:sz="10"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5" w:right="0"/>
              <w:jc w:val="left"/>
              <w:rPr>
                <w:rFonts w:ascii="Times New Roman" w:hAnsi="Times New Roman" w:cs="Times New Roman" w:eastAsia="Times New Roman" w:hint="default"/>
                <w:sz w:val="18"/>
                <w:szCs w:val="18"/>
              </w:rPr>
            </w:pPr>
            <w:r>
              <w:rPr>
                <w:rFonts w:ascii="Times New Roman"/>
                <w:sz w:val="18"/>
              </w:rPr>
              <w:t>704,658.57</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111,429.0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10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111,429.03</w:t>
            </w:r>
          </w:p>
        </w:tc>
        <w:tc>
          <w:tcPr>
            <w:tcW w:w="852"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816,087.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60</w:t>
            </w:r>
          </w:p>
        </w:tc>
      </w:tr>
      <w:tr>
        <w:trPr>
          <w:trHeight w:val="391" w:hRule="exact"/>
        </w:trPr>
        <w:tc>
          <w:tcPr>
            <w:tcW w:w="25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975" w:type="dxa"/>
            <w:vMerge/>
            <w:tcBorders>
              <w:left w:val="single" w:sz="10" w:space="0" w:color="D2D2D2"/>
              <w:right w:val="single" w:sz="4" w:space="0" w:color="000000"/>
            </w:tcBorders>
          </w:tcPr>
          <w:p>
            <w:pPr/>
          </w:p>
        </w:tc>
        <w:tc>
          <w:tcPr>
            <w:tcW w:w="852" w:type="dxa"/>
            <w:vMerge/>
            <w:tcBorders>
              <w:left w:val="single" w:sz="4" w:space="0" w:color="000000"/>
              <w:right w:val="single" w:sz="4" w:space="0" w:color="000000"/>
            </w:tcBorders>
          </w:tcPr>
          <w:p>
            <w:pPr/>
          </w:p>
        </w:tc>
        <w:tc>
          <w:tcPr>
            <w:tcW w:w="10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r>
      <w:tr>
        <w:trPr>
          <w:trHeight w:val="161" w:hRule="exact"/>
        </w:trPr>
        <w:tc>
          <w:tcPr>
            <w:tcW w:w="2544" w:type="dxa"/>
            <w:tcBorders>
              <w:top w:val="nil" w:sz="6" w:space="0" w:color="auto"/>
              <w:left w:val="single" w:sz="4" w:space="0" w:color="000000"/>
              <w:bottom w:val="single" w:sz="4" w:space="0" w:color="000000"/>
              <w:right w:val="single" w:sz="4" w:space="0" w:color="000000"/>
            </w:tcBorders>
            <w:shd w:val="clear" w:color="auto" w:fill="D2D2D2"/>
          </w:tcPr>
          <w:p>
            <w:pPr/>
          </w:p>
        </w:tc>
        <w:tc>
          <w:tcPr>
            <w:tcW w:w="975" w:type="dxa"/>
            <w:vMerge/>
            <w:tcBorders>
              <w:left w:val="single" w:sz="10" w:space="0" w:color="D2D2D2"/>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0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r>
      <w:tr>
        <w:trPr>
          <w:trHeight w:val="161" w:hRule="exact"/>
        </w:trPr>
        <w:tc>
          <w:tcPr>
            <w:tcW w:w="2544" w:type="dxa"/>
            <w:tcBorders>
              <w:top w:val="single" w:sz="4" w:space="0" w:color="000000"/>
              <w:left w:val="single" w:sz="4" w:space="0" w:color="000000"/>
              <w:bottom w:val="nil" w:sz="6" w:space="0" w:color="auto"/>
              <w:right w:val="single" w:sz="4" w:space="0" w:color="000000"/>
            </w:tcBorders>
            <w:shd w:val="clear" w:color="auto" w:fill="D2D2D2"/>
          </w:tcPr>
          <w:p>
            <w:pPr/>
          </w:p>
        </w:tc>
        <w:tc>
          <w:tcPr>
            <w:tcW w:w="975"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1,778,698.2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-1,842,876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.68</w:t>
            </w:r>
          </w:p>
        </w:tc>
        <w:tc>
          <w:tcPr>
            <w:tcW w:w="10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-1,842,876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.68</w:t>
            </w:r>
          </w:p>
        </w:tc>
        <w:tc>
          <w:tcPr>
            <w:tcW w:w="852"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-64,178.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44</w:t>
            </w:r>
          </w:p>
        </w:tc>
      </w:tr>
      <w:tr>
        <w:trPr>
          <w:trHeight w:val="391" w:hRule="exact"/>
        </w:trPr>
        <w:tc>
          <w:tcPr>
            <w:tcW w:w="25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75" w:type="dxa"/>
            <w:vMerge/>
            <w:tcBorders>
              <w:left w:val="single" w:sz="10" w:space="0" w:color="D2D2D2"/>
              <w:right w:val="single" w:sz="4" w:space="0" w:color="000000"/>
            </w:tcBorders>
          </w:tcPr>
          <w:p>
            <w:pPr/>
          </w:p>
        </w:tc>
        <w:tc>
          <w:tcPr>
            <w:tcW w:w="852" w:type="dxa"/>
            <w:vMerge/>
            <w:tcBorders>
              <w:left w:val="single" w:sz="4" w:space="0" w:color="000000"/>
              <w:right w:val="single" w:sz="4" w:space="0" w:color="000000"/>
            </w:tcBorders>
          </w:tcPr>
          <w:p>
            <w:pPr/>
          </w:p>
        </w:tc>
        <w:tc>
          <w:tcPr>
            <w:tcW w:w="10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r>
      <w:tr>
        <w:trPr>
          <w:trHeight w:val="163" w:hRule="exact"/>
        </w:trPr>
        <w:tc>
          <w:tcPr>
            <w:tcW w:w="2544" w:type="dxa"/>
            <w:tcBorders>
              <w:top w:val="nil" w:sz="6" w:space="0" w:color="auto"/>
              <w:left w:val="single" w:sz="4" w:space="0" w:color="000000"/>
              <w:bottom w:val="single" w:sz="4" w:space="0" w:color="000000"/>
              <w:right w:val="single" w:sz="4" w:space="0" w:color="000000"/>
            </w:tcBorders>
            <w:shd w:val="clear" w:color="auto" w:fill="D2D2D2"/>
          </w:tcPr>
          <w:p>
            <w:pPr/>
          </w:p>
        </w:tc>
        <w:tc>
          <w:tcPr>
            <w:tcW w:w="975" w:type="dxa"/>
            <w:vMerge/>
            <w:tcBorders>
              <w:left w:val="single" w:sz="10" w:space="0" w:color="D2D2D2"/>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0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58</w:t>
      </w:r>
      <w:r>
        <w:rPr/>
        <w:t>、专项储备</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ind w:right="1133"/>
        <w:jc w:val="left"/>
        <w:rPr>
          <w:b w:val="0"/>
          <w:bCs w:val="0"/>
        </w:rPr>
      </w:pPr>
      <w:r>
        <w:rPr>
          <w:rFonts w:ascii="Times New Roman" w:hAnsi="Times New Roman" w:cs="Times New Roman" w:eastAsia="Times New Roman" w:hint="default"/>
        </w:rPr>
        <w:t>59</w:t>
      </w:r>
      <w:r>
        <w:rPr/>
        <w:t>、盈余公积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34,853,865.73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357,642.98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35,211,508.71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34,853,865.73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357,642.98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35,211,508.71</w:t>
            </w:r>
          </w:p>
        </w:tc>
      </w:tr>
    </w:tbl>
    <w:p>
      <w:pPr>
        <w:pStyle w:val="BodyText"/>
        <w:spacing w:line="436" w:lineRule="auto" w:before="49"/>
        <w:ind w:right="5744"/>
        <w:jc w:val="left"/>
      </w:pPr>
      <w:r>
        <w:rPr/>
        <w:t>盈余公积说明，包括本期增减变动情况、变动原因说明： 本期增加：系根据母公司当期净利润的</w:t>
      </w:r>
      <w:r>
        <w:rPr>
          <w:rFonts w:ascii="Times New Roman" w:hAnsi="Times New Roman" w:cs="Times New Roman" w:eastAsia="Times New Roman" w:hint="default"/>
        </w:rPr>
        <w:t>10%</w:t>
      </w:r>
      <w:r>
        <w:rPr/>
        <w:t>计提法定盈余公积。</w:t>
      </w:r>
    </w:p>
    <w:p>
      <w:pPr>
        <w:spacing w:line="240" w:lineRule="auto" w:before="7"/>
        <w:rPr>
          <w:rFonts w:ascii="宋体" w:hAnsi="宋体" w:cs="宋体" w:eastAsia="宋体" w:hint="default"/>
          <w:sz w:val="19"/>
          <w:szCs w:val="19"/>
        </w:rPr>
      </w:pPr>
    </w:p>
    <w:p>
      <w:pPr>
        <w:pStyle w:val="Heading3"/>
        <w:spacing w:line="240" w:lineRule="auto" w:before="0"/>
        <w:ind w:right="1133"/>
        <w:jc w:val="left"/>
        <w:rPr>
          <w:b w:val="0"/>
          <w:bCs w:val="0"/>
        </w:rPr>
      </w:pPr>
      <w:r>
        <w:rPr>
          <w:rFonts w:ascii="Times New Roman" w:hAnsi="Times New Roman" w:cs="Times New Roman" w:eastAsia="Times New Roman" w:hint="default"/>
        </w:rPr>
        <w:t>60</w:t>
      </w:r>
      <w:r>
        <w:rPr/>
        <w:t>、未分配利润</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207,440,369.26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184,882,790.78</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2,604,815.56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210,045,184.82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184,882,790.78</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20,928,978.84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34,659,747.32</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357,642.98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2,502,168.84</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9,600,000.00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9,600,000.00</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非同一控制下企业合并调整</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2,426,339.07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218,590,181.61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207,440,369.26</w:t>
            </w:r>
          </w:p>
        </w:tc>
      </w:tr>
    </w:tbl>
    <w:p>
      <w:pPr>
        <w:pStyle w:val="BodyText"/>
        <w:spacing w:line="240" w:lineRule="auto" w:before="49"/>
        <w:ind w:right="1133"/>
        <w:jc w:val="left"/>
      </w:pPr>
      <w:r>
        <w:rPr/>
        <w:t>调整期初未分配利润明细：</w:t>
      </w:r>
    </w:p>
    <w:p>
      <w:pPr>
        <w:pStyle w:val="BodyText"/>
        <w:spacing w:line="240" w:lineRule="auto" w:before="115"/>
        <w:ind w:right="1133"/>
        <w:jc w:val="left"/>
      </w:pPr>
      <w:r>
        <w:rPr>
          <w:rFonts w:ascii="Times New Roman" w:hAnsi="Times New Roman" w:cs="Times New Roman" w:eastAsia="Times New Roman" w:hint="default"/>
        </w:rPr>
        <w:t>1)</w:t>
      </w:r>
      <w:r>
        <w:rPr/>
        <w:t>、由于《企业会计准则》及其相关新规定进行追溯调整，影响期初未分配利润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133"/>
        <w:jc w:val="left"/>
      </w:pPr>
      <w:r>
        <w:rPr>
          <w:rFonts w:ascii="Times New Roman" w:hAnsi="Times New Roman" w:cs="Times New Roman" w:eastAsia="Times New Roman" w:hint="default"/>
        </w:rPr>
        <w:t>2)</w:t>
      </w:r>
      <w:r>
        <w:rPr/>
        <w:t>、由于会计政策变更，影响期初未分配利润</w:t>
      </w:r>
      <w:r>
        <w:rPr>
          <w:spacing w:val="-47"/>
        </w:rPr>
        <w:t> </w:t>
      </w:r>
      <w:r>
        <w:rPr>
          <w:rFonts w:ascii="Times New Roman" w:hAnsi="Times New Roman" w:cs="Times New Roman" w:eastAsia="Times New Roman" w:hint="default"/>
        </w:rPr>
        <w:t>2,604,815.56</w:t>
      </w:r>
      <w:r>
        <w:rPr>
          <w:rFonts w:ascii="Times New Roman" w:hAnsi="Times New Roman" w:cs="Times New Roman" w:eastAsia="Times New Roman" w:hint="default"/>
          <w:spacing w:val="-3"/>
        </w:rPr>
        <w:t> </w:t>
      </w:r>
      <w:r>
        <w:rPr/>
        <w:t>元。</w:t>
      </w:r>
    </w:p>
    <w:p>
      <w:pPr>
        <w:pStyle w:val="BodyText"/>
        <w:spacing w:line="240" w:lineRule="auto" w:before="103"/>
        <w:ind w:right="1133"/>
        <w:jc w:val="left"/>
      </w:pPr>
      <w:r>
        <w:rPr>
          <w:rFonts w:ascii="Times New Roman" w:hAnsi="Times New Roman" w:cs="Times New Roman" w:eastAsia="Times New Roman" w:hint="default"/>
        </w:rPr>
        <w:t>3)</w:t>
      </w:r>
      <w:r>
        <w:rPr/>
        <w:t>、由于重大会计差错更正，影响期初未分配利润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1133"/>
        <w:jc w:val="left"/>
      </w:pPr>
      <w:r>
        <w:rPr>
          <w:rFonts w:ascii="Times New Roman" w:hAnsi="Times New Roman" w:cs="Times New Roman" w:eastAsia="Times New Roman" w:hint="default"/>
        </w:rPr>
        <w:t>4)</w:t>
      </w:r>
      <w:r>
        <w:rPr/>
        <w:t>、由于同一控制导致的合并范围变更，影响期初未分配利润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133"/>
        <w:jc w:val="left"/>
      </w:pPr>
      <w:r>
        <w:rPr>
          <w:rFonts w:ascii="Times New Roman" w:hAnsi="Times New Roman" w:cs="Times New Roman" w:eastAsia="Times New Roman" w:hint="default"/>
        </w:rPr>
        <w:t>5)</w:t>
      </w:r>
      <w:r>
        <w:rPr/>
        <w:t>、其他调整合计影响期初未分配利润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2"/>
        <w:rPr>
          <w:rFonts w:ascii="宋体" w:hAnsi="宋体" w:cs="宋体" w:eastAsia="宋体" w:hint="default"/>
          <w:sz w:val="26"/>
          <w:szCs w:val="26"/>
        </w:rPr>
      </w:pPr>
    </w:p>
    <w:p>
      <w:pPr>
        <w:pStyle w:val="Heading3"/>
        <w:spacing w:line="240" w:lineRule="auto" w:before="0"/>
        <w:ind w:right="1133"/>
        <w:jc w:val="left"/>
        <w:rPr>
          <w:b w:val="0"/>
          <w:bCs w:val="0"/>
        </w:rPr>
      </w:pPr>
      <w:r>
        <w:rPr>
          <w:rFonts w:ascii="Times New Roman" w:hAnsi="Times New Roman" w:cs="Times New Roman" w:eastAsia="Times New Roman" w:hint="default"/>
        </w:rPr>
        <w:t>61</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4"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316,379,060.65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238,635,126.06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318,813,645.89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255,016,244.18</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316,379,060.65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238,635,126.06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318,813,645.89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255,016,244.18</w:t>
            </w:r>
          </w:p>
        </w:tc>
      </w:tr>
    </w:tbl>
    <w:p>
      <w:pPr>
        <w:pStyle w:val="BodyText"/>
        <w:spacing w:line="240" w:lineRule="auto" w:before="49"/>
        <w:ind w:right="1133"/>
        <w:jc w:val="left"/>
      </w:pPr>
      <w:r>
        <w:rPr/>
        <w:t>是否已执行新收入准则</w:t>
      </w:r>
    </w:p>
    <w:p>
      <w:pPr>
        <w:pStyle w:val="BodyText"/>
        <w:spacing w:line="240" w:lineRule="auto" w:before="117"/>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ind w:right="1133"/>
        <w:jc w:val="left"/>
        <w:rPr>
          <w:b w:val="0"/>
          <w:bCs w:val="0"/>
        </w:rPr>
      </w:pPr>
      <w:r>
        <w:rPr>
          <w:rFonts w:ascii="Times New Roman" w:hAnsi="Times New Roman" w:cs="Times New Roman" w:eastAsia="Times New Roman" w:hint="default"/>
        </w:rPr>
        <w:t>62</w:t>
      </w:r>
      <w:r>
        <w:rPr/>
        <w:t>、税金及附加</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609,187.04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550,615.58</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475,414.00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392,942.55</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782,635.32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739,833.13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79,380.38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191,286.09</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144,492.93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142,256.17</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水利专项建设基金</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31,900.99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2,123,010.66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2,016,933.52</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63</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3,913,892.33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3,291,889.33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12,755.27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11,471.98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5,125,341.05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5,562,759.77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814,186.89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766,255.94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260,757.39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124,691.11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339,940.90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313,846.32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493,078.44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416,604.56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132,225.42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报关报检费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638,866.13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598,987.26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380,403.71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195,322.77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96,026.52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12,272,866.59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11,562,936.50</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64</w:t>
      </w:r>
      <w:r>
        <w:rPr/>
        <w:t>、管理费用</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4,692,852.82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4,614,274.86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473,651.79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175,243.71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各项摊销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587,880.17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476,514.02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25,294.19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162,106.58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176,583.04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795,821.25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716,846.57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145,500.34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82,950.74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劳务费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466,079.70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243,156.69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320,678.87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聘请中介机构费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381,337.16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诉讼费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63,106.80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1,454,102.26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810,897.45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9,568,411.93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7,646,467.08</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65</w:t>
      </w:r>
      <w:r>
        <w:rPr/>
        <w:t>、研发费用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6,535,980.28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4,732,166.00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873,882.49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251,589.82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各项摊销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16,827.64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12,907.98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28,604.45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材料费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5,929,073.65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6,197,676.12</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1,508.00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471.00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61,710.16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4,061.17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91,010.26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21,256.06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155,861.75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4,460.00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6,466.00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车辆费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1,434.26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3,655.00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劳务费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18,349.51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专家咨询费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14,659.91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机物料消耗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90,787.02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检验费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14,309.94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7,006.42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412,095.05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3,488,412.58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14,257,020.37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14,719,202.15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ind w:right="1133"/>
        <w:jc w:val="left"/>
        <w:rPr>
          <w:b w:val="0"/>
          <w:bCs w:val="0"/>
        </w:rPr>
      </w:pPr>
      <w:r>
        <w:rPr>
          <w:rFonts w:ascii="Times New Roman" w:hAnsi="Times New Roman" w:cs="Times New Roman" w:eastAsia="Times New Roman" w:hint="default"/>
        </w:rPr>
        <w:t>66</w:t>
      </w:r>
      <w:r>
        <w:rPr/>
        <w:t>、财务费用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3,607,932.73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1,337,670.91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5,536,216.94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3,714,807.25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-3,246,861.75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-8,920,696.26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446,014.14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150,695.27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-4,729,131.82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-11,147,137.33</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67</w:t>
      </w:r>
      <w:r>
        <w:rPr/>
        <w:t>、其他收益</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1,286,132.16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582,282.65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代扣个人所得税手续费返还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2,528.77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25,134.08</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68</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2"/>
        <w:gridCol w:w="3190"/>
        <w:gridCol w:w="2919"/>
      </w:tblGrid>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-13,526,824.68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4,912,260.28</w:t>
            </w:r>
          </w:p>
        </w:tc>
      </w:tr>
      <w:tr>
        <w:trPr>
          <w:trHeight w:val="404"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投资银行理财产品取得的投资收益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2,606,599.13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3,067,159.77</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处置衍生金融工具取得的投资收益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-148,770.00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-1,950,152.50</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-11,068,995.55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6,029,267.55</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69</w:t>
      </w:r>
      <w:r>
        <w:rPr/>
        <w:t>、净敞口套期收益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70</w:t>
      </w:r>
      <w:r>
        <w:rPr/>
        <w:t>、公允价值变动收益</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both"/>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益的金融资产（其中：衍生金融工具产 生的公允价值变动收益）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-74,812.50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751,287.50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-74,812.50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751,287.50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ind w:right="1133"/>
        <w:jc w:val="left"/>
        <w:rPr>
          <w:b w:val="0"/>
          <w:bCs w:val="0"/>
        </w:rPr>
      </w:pPr>
      <w:r>
        <w:rPr>
          <w:rFonts w:ascii="Times New Roman" w:hAnsi="Times New Roman" w:cs="Times New Roman" w:eastAsia="Times New Roman" w:hint="default"/>
        </w:rPr>
        <w:t>71</w:t>
      </w:r>
      <w:r>
        <w:rPr/>
        <w:t>、信用减值损失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-3,544,321.35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-3,544,321.35</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72</w:t>
      </w:r>
      <w:r>
        <w:rPr/>
        <w:t>、资产减值损失</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100" w:bottom="1160" w:left="98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-1,742,612.05</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-1,195,870.69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-3,375,429.90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-2,507,115.56</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-1,195,870.69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-7,625,157.51</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73</w:t>
      </w:r>
      <w:r>
        <w:rPr/>
        <w:t>、资产处置收益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4"/>
              <w:jc w:val="center"/>
              <w:rPr>
                <w:rFonts w:ascii="宋体" w:hAnsi="宋体" w:cs="宋体" w:eastAsia="宋体" w:hint="default"/>
                <w:sz w:val="18"/>
                <w:szCs w:val="18"/>
              </w:rPr>
            </w:pPr>
            <w:r>
              <w:rPr>
                <w:rFonts w:ascii="宋体" w:hAnsi="宋体" w:cs="宋体" w:eastAsia="宋体" w:hint="default"/>
                <w:sz w:val="18"/>
                <w:szCs w:val="18"/>
              </w:rPr>
              <w:t>非流动资产处置利得（损失以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67,080.00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1"/>
              <w:jc w:val="left"/>
              <w:rPr>
                <w:rFonts w:ascii="宋体" w:hAnsi="宋体" w:cs="宋体" w:eastAsia="宋体" w:hint="default"/>
                <w:sz w:val="18"/>
                <w:szCs w:val="18"/>
              </w:rPr>
            </w:pPr>
            <w:r>
              <w:rPr>
                <w:rFonts w:ascii="宋体" w:hAnsi="宋体" w:cs="宋体" w:eastAsia="宋体" w:hint="default"/>
                <w:sz w:val="18"/>
                <w:szCs w:val="18"/>
              </w:rPr>
              <w:t>其中：固定资产处置利得（损失以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填 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67,080.00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74</w:t>
      </w:r>
      <w:r>
        <w:rPr/>
        <w:t>、营业外收入</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715"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225.00</w:t>
            </w:r>
          </w:p>
        </w:tc>
      </w:tr>
    </w:tbl>
    <w:p>
      <w:pPr>
        <w:pStyle w:val="BodyText"/>
        <w:spacing w:line="240" w:lineRule="auto" w:before="49"/>
        <w:ind w:right="1133"/>
        <w:jc w:val="left"/>
      </w:pPr>
      <w:r>
        <w:rPr/>
        <w:t>计入当期损益的政府补助：</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3"/>
        <w:gridCol w:w="1064"/>
        <w:gridCol w:w="1063"/>
        <w:gridCol w:w="1061"/>
        <w:gridCol w:w="1063"/>
        <w:gridCol w:w="1063"/>
        <w:gridCol w:w="1065"/>
        <w:gridCol w:w="1051"/>
      </w:tblGrid>
      <w:tr>
        <w:trPr>
          <w:trHeight w:val="713"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6" w:hanging="361"/>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75" w:right="39"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spacing w:after="0" w:line="30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0"/>
          <w:szCs w:val="20"/>
        </w:rPr>
      </w:pPr>
    </w:p>
    <w:p>
      <w:pPr>
        <w:pStyle w:val="Heading3"/>
        <w:spacing w:line="240" w:lineRule="auto"/>
        <w:ind w:right="1133"/>
        <w:jc w:val="left"/>
        <w:rPr>
          <w:b w:val="0"/>
          <w:bCs w:val="0"/>
        </w:rPr>
      </w:pPr>
      <w:r>
        <w:rPr>
          <w:rFonts w:ascii="Times New Roman" w:hAnsi="Times New Roman" w:cs="Times New Roman" w:eastAsia="Times New Roman" w:hint="default"/>
        </w:rPr>
        <w:t>75</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7,286.35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15,716.40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7,286.35</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7,286.35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15,716.40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7,286.35</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8,179.53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8,179.53</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19,416.91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1,945.78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19,416.91</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234,882.79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24,662.18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234,882.79</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76</w:t>
      </w:r>
      <w:r>
        <w:rPr/>
        <w:t>、所得税费用</w:t>
      </w:r>
      <w:r>
        <w:rPr>
          <w:b w:val="0"/>
          <w:bCs w:val="0"/>
        </w:rPr>
      </w:r>
    </w:p>
    <w:p>
      <w:pPr>
        <w:spacing w:line="240" w:lineRule="auto" w:before="7"/>
        <w:rPr>
          <w:rFonts w:ascii="宋体" w:hAnsi="宋体" w:cs="宋体" w:eastAsia="宋体" w:hint="default"/>
          <w:b/>
          <w:bCs/>
          <w:sz w:val="24"/>
          <w:szCs w:val="24"/>
        </w:rPr>
      </w:pPr>
    </w:p>
    <w:p>
      <w:pPr>
        <w:pStyle w:val="Heading3"/>
        <w:spacing w:line="240" w:lineRule="auto" w:before="0"/>
        <w:ind w:right="1133"/>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5,586,294.84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4,105,632.48</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398,765.18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-28,048.92</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5,985,060.02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4,077,583.56</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29,488,839.91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4,423,325.99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898,504.54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43,481.23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2,096,137.44</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研发费加计扣除</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-1,476,389.18</w:t>
            </w:r>
          </w:p>
        </w:tc>
      </w:tr>
      <w:tr>
        <w:trPr>
          <w:trHeight w:val="40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5,985,060.02</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77</w:t>
      </w:r>
      <w:r>
        <w:rPr/>
        <w:t>、其他综合收益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详见附注</w:t>
      </w:r>
      <w:r>
        <w:rPr>
          <w:spacing w:val="-42"/>
        </w:rPr>
        <w:t> </w:t>
      </w:r>
      <w:r>
        <w:rPr>
          <w:rFonts w:ascii="Times New Roman" w:hAnsi="Times New Roman" w:cs="Times New Roman" w:eastAsia="Times New Roman" w:hint="default"/>
        </w:rPr>
        <w:t>57</w:t>
      </w:r>
      <w:r>
        <w:rPr/>
        <w:t>。</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ind w:right="1133"/>
        <w:jc w:val="left"/>
        <w:rPr>
          <w:b w:val="0"/>
          <w:bCs w:val="0"/>
        </w:rPr>
      </w:pPr>
      <w:r>
        <w:rPr>
          <w:rFonts w:ascii="Times New Roman" w:hAnsi="Times New Roman" w:cs="Times New Roman" w:eastAsia="Times New Roman" w:hint="default"/>
        </w:rPr>
        <w:t>78</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before="0"/>
        <w:ind w:right="1133"/>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4,878,937.64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3,065,294.47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1,238,646.06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557,416.73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2,904,826.97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580,885.21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收回保理款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78,784,500.00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29,740,000.00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收到经营性往来款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3,541,506.14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91,348,416.81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33,943,596.41</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付现费用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15,089,890.93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12,161,033.30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支付保理款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78,130,000.00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44,470,000.00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576,183.36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150,695.27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营业外支出等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208,179.53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38,562.40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支付经营性往来款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5,981,386.56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99,985,640.38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56,820,290.97</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收回预付股权投资款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3,896,160.00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3,896,160.00</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877" w:footer="980" w:top="1100" w:bottom="1160" w:left="980" w:right="0"/>
        </w:sectPr>
      </w:pPr>
    </w:p>
    <w:p>
      <w:pPr>
        <w:spacing w:line="240" w:lineRule="auto" w:before="8"/>
        <w:rPr>
          <w:rFonts w:ascii="宋体" w:hAnsi="宋体" w:cs="宋体" w:eastAsia="宋体" w:hint="default"/>
          <w:sz w:val="24"/>
          <w:szCs w:val="24"/>
        </w:rPr>
      </w:pPr>
      <w:r>
        <w:rPr/>
        <w:pict>
          <v:group style="position:absolute;margin-left:223.369995pt;margin-top:725.795959pt;width:151.25pt;height:20.8pt;mso-position-horizontal-relative:page;mso-position-vertical-relative:page;z-index:-1093936" coordorigin="4467,14516" coordsize="3025,416">
            <v:group style="position:absolute;left:4478;top:14527;width:2;height:394" coordorigin="4478,14527" coordsize="2,394">
              <v:shape style="position:absolute;left:4478;top:14527;width:2;height:394" coordorigin="4478,14527" coordsize="0,394" path="m4478,14527l4478,14920e" filled="false" stroked="true" strokeweight="1.08pt" strokecolor="#ffffff">
                <v:path arrowok="t"/>
              </v:shape>
            </v:group>
            <v:group style="position:absolute;left:4489;top:14527;width:3003;height:394" coordorigin="4489,14527" coordsize="3003,394">
              <v:shape style="position:absolute;left:4489;top:14527;width:3003;height:394" coordorigin="4489,14527" coordsize="3003,394" path="m4489,14920l7492,14920,7492,14527,4489,14527,4489,14920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收回外汇远期交易保证金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514,740.00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3,174,188.98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514,740.00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3,174,188.98</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支付外汇掉期交易保证金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1,309,115.00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1,309,115.00</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79</w:t>
      </w:r>
      <w:r>
        <w:rPr/>
        <w:t>、现金流量表补充资料</w:t>
      </w:r>
      <w:r>
        <w:rPr>
          <w:b w:val="0"/>
          <w:bCs w:val="0"/>
        </w:rPr>
      </w:r>
    </w:p>
    <w:p>
      <w:pPr>
        <w:spacing w:line="240" w:lineRule="auto" w:before="7"/>
        <w:rPr>
          <w:rFonts w:ascii="宋体" w:hAnsi="宋体" w:cs="宋体" w:eastAsia="宋体" w:hint="default"/>
          <w:b/>
          <w:bCs/>
          <w:sz w:val="24"/>
          <w:szCs w:val="24"/>
        </w:rPr>
      </w:pPr>
    </w:p>
    <w:p>
      <w:pPr>
        <w:pStyle w:val="Heading3"/>
        <w:spacing w:line="240" w:lineRule="auto" w:before="0"/>
        <w:ind w:right="1133"/>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1039"/>
        <w:gridCol w:w="2030"/>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23,503,779.89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34,659,747.32</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4,740,192.04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7,625,157.51</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固定资产折旧、油气资产折耗、 生产性生物资产折旧</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3" w:right="0"/>
              <w:jc w:val="left"/>
              <w:rPr>
                <w:rFonts w:ascii="Times New Roman" w:hAnsi="Times New Roman" w:cs="Times New Roman" w:eastAsia="Times New Roman" w:hint="default"/>
                <w:sz w:val="18"/>
                <w:szCs w:val="18"/>
              </w:rPr>
            </w:pPr>
            <w:r>
              <w:rPr>
                <w:rFonts w:ascii="Times New Roman"/>
                <w:sz w:val="18"/>
              </w:rPr>
              <w:t>10,963,512.10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10,937,630.74</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456,100.33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451,454.06</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96,396.47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196,998.23</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-66,327.50</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7,129.29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15,716.40</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74,812.50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-751,287.50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2"/>
              <w:jc w:val="right"/>
              <w:rPr>
                <w:rFonts w:ascii="宋体" w:hAnsi="宋体" w:cs="宋体" w:eastAsia="宋体" w:hint="default"/>
                <w:sz w:val="18"/>
                <w:szCs w:val="18"/>
              </w:rPr>
            </w:pPr>
            <w:r>
              <w:rPr>
                <w:rFonts w:ascii="宋体" w:hAnsi="宋体" w:cs="宋体" w:eastAsia="宋体" w:hint="default"/>
                <w:spacing w:val="-1"/>
                <w:sz w:val="18"/>
                <w:szCs w:val="18"/>
              </w:rPr>
              <w:t>财务费用（收益以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22" w:right="0"/>
              <w:jc w:val="left"/>
              <w:rPr>
                <w:rFonts w:ascii="Times New Roman" w:hAnsi="Times New Roman" w:cs="Times New Roman" w:eastAsia="Times New Roman" w:hint="default"/>
                <w:sz w:val="18"/>
                <w:szCs w:val="18"/>
              </w:rPr>
            </w:pPr>
            <w:r>
              <w:rPr>
                <w:rFonts w:ascii="Times New Roman"/>
                <w:sz w:val="18"/>
              </w:rPr>
              <w:t>-5,153,688.89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-6,272,882.42</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2"/>
              <w:jc w:val="right"/>
              <w:rPr>
                <w:rFonts w:ascii="宋体" w:hAnsi="宋体" w:cs="宋体" w:eastAsia="宋体" w:hint="default"/>
                <w:sz w:val="18"/>
                <w:szCs w:val="18"/>
              </w:rPr>
            </w:pPr>
            <w:r>
              <w:rPr>
                <w:rFonts w:ascii="宋体" w:hAnsi="宋体" w:cs="宋体" w:eastAsia="宋体" w:hint="default"/>
                <w:spacing w:val="-1"/>
                <w:sz w:val="18"/>
                <w:szCs w:val="18"/>
              </w:rPr>
              <w:t>投资损失（收益以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8" w:right="0"/>
              <w:jc w:val="left"/>
              <w:rPr>
                <w:rFonts w:ascii="Times New Roman" w:hAnsi="Times New Roman" w:cs="Times New Roman" w:eastAsia="Times New Roman" w:hint="default"/>
                <w:sz w:val="18"/>
                <w:szCs w:val="18"/>
              </w:rPr>
            </w:pPr>
            <w:r>
              <w:rPr>
                <w:rFonts w:ascii="Times New Roman"/>
                <w:sz w:val="18"/>
              </w:rPr>
              <w:t>11,075,827.75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-6,029,267.55</w:t>
            </w:r>
          </w:p>
        </w:tc>
      </w:tr>
      <w:tr>
        <w:trPr>
          <w:trHeight w:val="716"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-81,779.76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-836,150.00</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127,149.56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805,064.23</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0"/>
              <w:jc w:val="right"/>
              <w:rPr>
                <w:rFonts w:ascii="宋体" w:hAnsi="宋体" w:cs="宋体" w:eastAsia="宋体" w:hint="default"/>
                <w:sz w:val="18"/>
                <w:szCs w:val="18"/>
              </w:rPr>
            </w:pPr>
            <w:r>
              <w:rPr>
                <w:rFonts w:ascii="宋体" w:hAnsi="宋体" w:cs="宋体" w:eastAsia="宋体" w:hint="default"/>
                <w:spacing w:val="-3"/>
                <w:sz w:val="18"/>
                <w:szCs w:val="18"/>
              </w:rPr>
              <w:t>存货的减少（增加以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39"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20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66" w:right="0"/>
              <w:jc w:val="left"/>
              <w:rPr>
                <w:rFonts w:ascii="Times New Roman" w:hAnsi="Times New Roman" w:cs="Times New Roman" w:eastAsia="Times New Roman" w:hint="default"/>
                <w:sz w:val="18"/>
                <w:szCs w:val="18"/>
              </w:rPr>
            </w:pPr>
            <w:r>
              <w:rPr>
                <w:rFonts w:ascii="Times New Roman"/>
                <w:sz w:val="18"/>
              </w:rPr>
              <w:t>21,353,526.99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-16,085,403.87</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40"/>
              <w:jc w:val="right"/>
              <w:rPr>
                <w:rFonts w:ascii="宋体" w:hAnsi="宋体" w:cs="宋体" w:eastAsia="宋体" w:hint="default"/>
                <w:sz w:val="18"/>
                <w:szCs w:val="18"/>
              </w:rPr>
            </w:pPr>
            <w:r>
              <w:rPr>
                <w:rFonts w:ascii="宋体" w:hAnsi="宋体" w:cs="宋体" w:eastAsia="宋体" w:hint="default"/>
                <w:sz w:val="18"/>
                <w:szCs w:val="18"/>
              </w:rPr>
              <w:t>经营性应收项目的减少（增加以</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33" w:right="0"/>
              <w:jc w:val="left"/>
              <w:rPr>
                <w:rFonts w:ascii="Times New Roman" w:hAnsi="Times New Roman" w:cs="Times New Roman" w:eastAsia="Times New Roman" w:hint="default"/>
                <w:sz w:val="18"/>
                <w:szCs w:val="18"/>
              </w:rPr>
            </w:pPr>
            <w:r>
              <w:rPr>
                <w:rFonts w:ascii="Times New Roman"/>
                <w:sz w:val="18"/>
              </w:rPr>
              <w:t>-34,984,756.76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-46,486,089.94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36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21,268,862.05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-13,246,925.72</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53,380,736.06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-35,016,238.51</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74"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4"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188,725,949.70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159,901,798.74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159,901,798.74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200,145,420.67</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28,824,150.96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-40,243,621.93</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7"/>
        <w:gridCol w:w="4583"/>
      </w:tblGrid>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7"/>
        <w:gridCol w:w="4583"/>
      </w:tblGrid>
      <w:tr>
        <w:trPr>
          <w:trHeight w:val="404"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188,725,949.70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159,901,798.74</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160,625.46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147,539.49</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188,353,720.12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159,754,259.25</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211,604.12</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188,725,949.70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159,901,798.74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spacing w:line="544" w:lineRule="auto" w:before="36"/>
        <w:ind w:left="152" w:right="53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80</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r>
        <w:rPr>
          <w:rFonts w:ascii="Times New Roman" w:hAnsi="Times New Roman" w:cs="Times New Roman" w:eastAsia="Times New Roman" w:hint="default"/>
          <w:b/>
          <w:bCs/>
          <w:sz w:val="21"/>
          <w:szCs w:val="21"/>
        </w:rPr>
        <w:t>81</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49"/>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6"/>
        <w:gridCol w:w="3059"/>
        <w:gridCol w:w="3172"/>
      </w:tblGrid>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受限原因</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82</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before="0"/>
        <w:ind w:right="1133"/>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3"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21,189,100.72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147,819,404.44</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151,226.96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7.8155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1,181,914.31</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7,289.41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0.8958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6,529.71</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3,601,885.45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25,127,473.28</w:t>
            </w: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81,517.11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7.8155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637,096.97</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22,125.37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154,350.99</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261,813.71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1,826,464.80</w:t>
            </w:r>
          </w:p>
        </w:tc>
      </w:tr>
    </w:tbl>
    <w:p>
      <w:pPr>
        <w:spacing w:line="240" w:lineRule="auto" w:before="3"/>
        <w:rPr>
          <w:rFonts w:ascii="宋体" w:hAnsi="宋体" w:cs="宋体" w:eastAsia="宋体" w:hint="default"/>
          <w:sz w:val="19"/>
          <w:szCs w:val="19"/>
        </w:rPr>
      </w:pPr>
    </w:p>
    <w:p>
      <w:pPr>
        <w:pStyle w:val="Heading3"/>
        <w:spacing w:line="256" w:lineRule="auto"/>
        <w:ind w:right="1133"/>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tbl>
      <w:tblPr>
        <w:tblW w:w="0" w:type="auto"/>
        <w:jc w:val="left"/>
        <w:tblInd w:w="702" w:type="dxa"/>
        <w:tblLayout w:type="fixed"/>
        <w:tblCellMar>
          <w:top w:w="0" w:type="dxa"/>
          <w:left w:w="0" w:type="dxa"/>
          <w:bottom w:w="0" w:type="dxa"/>
          <w:right w:w="0" w:type="dxa"/>
        </w:tblCellMar>
        <w:tblLook w:val="01E0"/>
      </w:tblPr>
      <w:tblGrid>
        <w:gridCol w:w="1958"/>
        <w:gridCol w:w="788"/>
        <w:gridCol w:w="732"/>
        <w:gridCol w:w="1481"/>
        <w:gridCol w:w="854"/>
        <w:gridCol w:w="814"/>
        <w:gridCol w:w="903"/>
        <w:gridCol w:w="1001"/>
      </w:tblGrid>
      <w:tr>
        <w:trPr>
          <w:trHeight w:val="341" w:hRule="exact"/>
        </w:trPr>
        <w:tc>
          <w:tcPr>
            <w:tcW w:w="1958" w:type="dxa"/>
            <w:vMerge w:val="restart"/>
            <w:tcBorders>
              <w:top w:val="single" w:sz="4" w:space="0" w:color="000000"/>
              <w:left w:val="single" w:sz="4" w:space="0" w:color="000000"/>
              <w:right w:val="single" w:sz="4" w:space="0" w:color="000000"/>
            </w:tcBorders>
          </w:tcPr>
          <w:p>
            <w:pPr>
              <w:pStyle w:val="TableParagraph"/>
              <w:spacing w:line="240" w:lineRule="auto" w:before="18"/>
              <w:ind w:left="523"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788" w:type="dxa"/>
            <w:vMerge w:val="restart"/>
            <w:tcBorders>
              <w:top w:val="single" w:sz="4" w:space="0" w:color="000000"/>
              <w:left w:val="single" w:sz="4" w:space="0" w:color="000000"/>
              <w:right w:val="single" w:sz="4" w:space="0" w:color="000000"/>
            </w:tcBorders>
          </w:tcPr>
          <w:p>
            <w:pPr>
              <w:pStyle w:val="TableParagraph"/>
              <w:spacing w:line="316" w:lineRule="auto" w:before="18"/>
              <w:ind w:left="300" w:right="25" w:hanging="272"/>
              <w:jc w:val="left"/>
              <w:rPr>
                <w:rFonts w:ascii="宋体" w:hAnsi="宋体" w:cs="宋体" w:eastAsia="宋体" w:hint="default"/>
                <w:sz w:val="18"/>
                <w:szCs w:val="18"/>
              </w:rPr>
            </w:pPr>
            <w:r>
              <w:rPr>
                <w:rFonts w:ascii="宋体" w:hAnsi="宋体" w:cs="宋体" w:eastAsia="宋体" w:hint="default"/>
                <w:b/>
                <w:bCs/>
                <w:sz w:val="18"/>
                <w:szCs w:val="18"/>
              </w:rPr>
              <w:t>主要经营</w:t>
            </w:r>
            <w:r>
              <w:rPr>
                <w:rFonts w:ascii="宋体" w:hAnsi="宋体" w:cs="宋体" w:eastAsia="宋体" w:hint="default"/>
                <w:b/>
                <w:bCs/>
                <w:w w:val="99"/>
                <w:sz w:val="18"/>
                <w:szCs w:val="18"/>
              </w:rPr>
              <w:t> </w:t>
            </w:r>
            <w:r>
              <w:rPr>
                <w:rFonts w:ascii="宋体" w:hAnsi="宋体" w:cs="宋体" w:eastAsia="宋体" w:hint="default"/>
                <w:b/>
                <w:bCs/>
                <w:sz w:val="18"/>
                <w:szCs w:val="18"/>
              </w:rPr>
              <w:t>地</w:t>
            </w:r>
            <w:r>
              <w:rPr>
                <w:rFonts w:ascii="宋体" w:hAnsi="宋体" w:cs="宋体" w:eastAsia="宋体" w:hint="default"/>
                <w:sz w:val="18"/>
                <w:szCs w:val="18"/>
              </w:rPr>
            </w:r>
          </w:p>
        </w:tc>
        <w:tc>
          <w:tcPr>
            <w:tcW w:w="732" w:type="dxa"/>
            <w:vMerge w:val="restart"/>
            <w:tcBorders>
              <w:top w:val="single" w:sz="4" w:space="0" w:color="000000"/>
              <w:left w:val="single" w:sz="4" w:space="0" w:color="000000"/>
              <w:right w:val="single" w:sz="4" w:space="0" w:color="000000"/>
            </w:tcBorders>
          </w:tcPr>
          <w:p>
            <w:pPr>
              <w:pStyle w:val="TableParagraph"/>
              <w:spacing w:line="240" w:lineRule="auto" w:before="18"/>
              <w:ind w:left="91" w:right="0"/>
              <w:jc w:val="lef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481" w:type="dxa"/>
            <w:vMerge w:val="restart"/>
            <w:tcBorders>
              <w:top w:val="single" w:sz="4" w:space="0" w:color="000000"/>
              <w:left w:val="single" w:sz="4" w:space="0" w:color="000000"/>
              <w:right w:val="single" w:sz="4" w:space="0" w:color="000000"/>
            </w:tcBorders>
          </w:tcPr>
          <w:p>
            <w:pPr>
              <w:pStyle w:val="TableParagraph"/>
              <w:spacing w:line="240" w:lineRule="auto" w:before="18"/>
              <w:ind w:left="374"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854" w:type="dxa"/>
            <w:vMerge w:val="restart"/>
            <w:tcBorders>
              <w:top w:val="single" w:sz="4" w:space="0" w:color="000000"/>
              <w:left w:val="single" w:sz="4" w:space="0" w:color="000000"/>
              <w:right w:val="single" w:sz="4" w:space="0" w:color="000000"/>
            </w:tcBorders>
          </w:tcPr>
          <w:p>
            <w:pPr>
              <w:pStyle w:val="TableParagraph"/>
              <w:spacing w:line="316" w:lineRule="auto" w:before="18"/>
              <w:ind w:left="151" w:right="149" w:firstLine="88"/>
              <w:jc w:val="left"/>
              <w:rPr>
                <w:rFonts w:ascii="宋体" w:hAnsi="宋体" w:cs="宋体" w:eastAsia="宋体" w:hint="default"/>
                <w:sz w:val="18"/>
                <w:szCs w:val="18"/>
              </w:rPr>
            </w:pPr>
            <w:r>
              <w:rPr>
                <w:rFonts w:ascii="宋体" w:hAnsi="宋体" w:cs="宋体" w:eastAsia="宋体" w:hint="default"/>
                <w:b/>
                <w:bCs/>
                <w:sz w:val="18"/>
                <w:szCs w:val="18"/>
              </w:rPr>
              <w:t>记账</w:t>
            </w:r>
            <w:r>
              <w:rPr>
                <w:rFonts w:ascii="宋体" w:hAnsi="宋体" w:cs="宋体" w:eastAsia="宋体" w:hint="default"/>
                <w:b/>
                <w:bCs/>
                <w:spacing w:val="2"/>
                <w:w w:val="99"/>
                <w:sz w:val="18"/>
                <w:szCs w:val="18"/>
              </w:rPr>
              <w:t> </w:t>
            </w:r>
            <w:r>
              <w:rPr>
                <w:rFonts w:ascii="宋体" w:hAnsi="宋体" w:cs="宋体" w:eastAsia="宋体" w:hint="default"/>
                <w:b/>
                <w:bCs/>
                <w:sz w:val="18"/>
                <w:szCs w:val="18"/>
              </w:rPr>
              <w:t>本位币</w:t>
            </w:r>
            <w:r>
              <w:rPr>
                <w:rFonts w:ascii="宋体" w:hAnsi="宋体" w:cs="宋体" w:eastAsia="宋体" w:hint="default"/>
                <w:sz w:val="18"/>
                <w:szCs w:val="18"/>
              </w:rPr>
            </w:r>
          </w:p>
        </w:tc>
        <w:tc>
          <w:tcPr>
            <w:tcW w:w="17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43"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持股比例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001" w:type="dxa"/>
            <w:vMerge w:val="restart"/>
            <w:tcBorders>
              <w:top w:val="single" w:sz="4" w:space="0" w:color="000000"/>
              <w:left w:val="single" w:sz="4" w:space="0" w:color="000000"/>
              <w:right w:val="single" w:sz="4" w:space="0" w:color="000000"/>
            </w:tcBorders>
          </w:tcPr>
          <w:p>
            <w:pPr>
              <w:pStyle w:val="TableParagraph"/>
              <w:spacing w:line="240" w:lineRule="auto" w:before="18"/>
              <w:ind w:left="134" w:right="0"/>
              <w:jc w:val="left"/>
              <w:rPr>
                <w:rFonts w:ascii="宋体" w:hAnsi="宋体" w:cs="宋体" w:eastAsia="宋体" w:hint="default"/>
                <w:sz w:val="18"/>
                <w:szCs w:val="18"/>
              </w:rPr>
            </w:pPr>
            <w:r>
              <w:rPr>
                <w:rFonts w:ascii="宋体" w:hAnsi="宋体" w:cs="宋体" w:eastAsia="宋体" w:hint="default"/>
                <w:b/>
                <w:bCs/>
                <w:sz w:val="18"/>
                <w:szCs w:val="18"/>
              </w:rPr>
              <w:t>取得方式</w:t>
            </w:r>
            <w:r>
              <w:rPr>
                <w:rFonts w:ascii="宋体" w:hAnsi="宋体" w:cs="宋体" w:eastAsia="宋体" w:hint="default"/>
                <w:sz w:val="18"/>
                <w:szCs w:val="18"/>
              </w:rPr>
            </w:r>
          </w:p>
        </w:tc>
      </w:tr>
      <w:tr>
        <w:trPr>
          <w:trHeight w:val="343" w:hRule="exact"/>
        </w:trPr>
        <w:tc>
          <w:tcPr>
            <w:tcW w:w="1958"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732" w:type="dxa"/>
            <w:vMerge/>
            <w:tcBorders>
              <w:left w:val="single" w:sz="4" w:space="0" w:color="000000"/>
              <w:bottom w:val="single" w:sz="4" w:space="0" w:color="000000"/>
              <w:right w:val="single" w:sz="4" w:space="0" w:color="000000"/>
            </w:tcBorders>
          </w:tcPr>
          <w:p>
            <w:pPr/>
          </w:p>
        </w:tc>
        <w:tc>
          <w:tcPr>
            <w:tcW w:w="1481" w:type="dxa"/>
            <w:vMerge/>
            <w:tcBorders>
              <w:left w:val="single" w:sz="4" w:space="0" w:color="000000"/>
              <w:bottom w:val="single" w:sz="4" w:space="0" w:color="000000"/>
              <w:right w:val="single" w:sz="4" w:space="0" w:color="000000"/>
            </w:tcBorders>
          </w:tcPr>
          <w:p>
            <w:pPr/>
          </w:p>
        </w:tc>
        <w:tc>
          <w:tcPr>
            <w:tcW w:w="854" w:type="dxa"/>
            <w:vMerge/>
            <w:tcBorders>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20" w:right="0"/>
              <w:jc w:val="left"/>
              <w:rPr>
                <w:rFonts w:ascii="宋体" w:hAnsi="宋体" w:cs="宋体" w:eastAsia="宋体" w:hint="default"/>
                <w:sz w:val="18"/>
                <w:szCs w:val="18"/>
              </w:rPr>
            </w:pPr>
            <w:r>
              <w:rPr>
                <w:rFonts w:ascii="宋体" w:hAnsi="宋体" w:cs="宋体" w:eastAsia="宋体" w:hint="default"/>
                <w:b/>
                <w:bCs/>
                <w:sz w:val="18"/>
                <w:szCs w:val="18"/>
              </w:rPr>
              <w:t>直接</w:t>
            </w:r>
            <w:r>
              <w:rPr>
                <w:rFonts w:ascii="宋体" w:hAnsi="宋体" w:cs="宋体" w:eastAsia="宋体" w:hint="default"/>
                <w:sz w:val="18"/>
                <w:szCs w:val="18"/>
              </w:rPr>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63" w:right="0"/>
              <w:jc w:val="left"/>
              <w:rPr>
                <w:rFonts w:ascii="宋体" w:hAnsi="宋体" w:cs="宋体" w:eastAsia="宋体" w:hint="default"/>
                <w:sz w:val="18"/>
                <w:szCs w:val="18"/>
              </w:rPr>
            </w:pPr>
            <w:r>
              <w:rPr>
                <w:rFonts w:ascii="宋体" w:hAnsi="宋体" w:cs="宋体" w:eastAsia="宋体" w:hint="default"/>
                <w:b/>
                <w:bCs/>
                <w:sz w:val="18"/>
                <w:szCs w:val="18"/>
              </w:rPr>
              <w:t>间接</w:t>
            </w:r>
            <w:r>
              <w:rPr>
                <w:rFonts w:ascii="宋体" w:hAnsi="宋体" w:cs="宋体" w:eastAsia="宋体" w:hint="default"/>
                <w:sz w:val="18"/>
                <w:szCs w:val="18"/>
              </w:rPr>
            </w:r>
          </w:p>
        </w:tc>
        <w:tc>
          <w:tcPr>
            <w:tcW w:w="1001" w:type="dxa"/>
            <w:vMerge/>
            <w:tcBorders>
              <w:left w:val="single" w:sz="4" w:space="0" w:color="000000"/>
              <w:bottom w:val="single" w:sz="4" w:space="0" w:color="000000"/>
              <w:right w:val="single" w:sz="4" w:space="0" w:color="000000"/>
            </w:tcBorders>
          </w:tcPr>
          <w:p>
            <w:pPr/>
          </w:p>
        </w:tc>
      </w:tr>
      <w:tr>
        <w:trPr>
          <w:trHeight w:val="965"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60"/>
              <w:ind w:left="4" w:right="289"/>
              <w:jc w:val="left"/>
              <w:rPr>
                <w:rFonts w:ascii="Times New Roman" w:hAnsi="Times New Roman" w:cs="Times New Roman" w:eastAsia="Times New Roman" w:hint="default"/>
                <w:sz w:val="18"/>
                <w:szCs w:val="18"/>
              </w:rPr>
            </w:pPr>
            <w:r>
              <w:rPr>
                <w:rFonts w:ascii="Times New Roman"/>
                <w:sz w:val="18"/>
              </w:rPr>
              <w:t>GOLDENGREEN</w:t>
            </w:r>
            <w:r>
              <w:rPr>
                <w:rFonts w:ascii="Times New Roman"/>
                <w:w w:val="99"/>
                <w:sz w:val="18"/>
              </w:rPr>
              <w:t> </w:t>
            </w:r>
            <w:r>
              <w:rPr>
                <w:rFonts w:ascii="Times New Roman"/>
                <w:sz w:val="18"/>
              </w:rPr>
              <w:t>TECHNOLOGIES</w:t>
            </w:r>
            <w:r>
              <w:rPr>
                <w:rFonts w:ascii="Times New Roman"/>
                <w:spacing w:val="-3"/>
                <w:sz w:val="18"/>
              </w:rPr>
              <w:t> </w:t>
            </w:r>
            <w:r>
              <w:rPr>
                <w:rFonts w:ascii="Times New Roman"/>
                <w:sz w:val="18"/>
              </w:rPr>
              <w:t>EU</w:t>
            </w:r>
            <w:r>
              <w:rPr>
                <w:rFonts w:ascii="Times New Roman"/>
                <w:w w:val="99"/>
                <w:sz w:val="18"/>
              </w:rPr>
              <w:t> </w:t>
            </w:r>
            <w:r>
              <w:rPr>
                <w:rFonts w:ascii="Times New Roman"/>
                <w:sz w:val="18"/>
              </w:rPr>
              <w:t>LIMITED</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英国</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英国</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22"/>
              <w:jc w:val="left"/>
              <w:rPr>
                <w:rFonts w:ascii="宋体" w:hAnsi="宋体" w:cs="宋体" w:eastAsia="宋体" w:hint="default"/>
                <w:sz w:val="18"/>
                <w:szCs w:val="18"/>
              </w:rPr>
            </w:pPr>
            <w:r>
              <w:rPr>
                <w:rFonts w:ascii="宋体" w:hAnsi="宋体" w:cs="宋体" w:eastAsia="宋体" w:hint="default"/>
                <w:sz w:val="18"/>
                <w:szCs w:val="18"/>
              </w:rPr>
              <w:t>办公设备、部件、 耗材的进出口业务</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100.00</w:t>
            </w:r>
          </w:p>
        </w:tc>
        <w:tc>
          <w:tcPr>
            <w:tcW w:w="90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1279"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62"/>
              <w:ind w:left="4" w:right="483"/>
              <w:jc w:val="both"/>
              <w:rPr>
                <w:rFonts w:ascii="Times New Roman" w:hAnsi="Times New Roman" w:cs="Times New Roman" w:eastAsia="Times New Roman" w:hint="default"/>
                <w:sz w:val="18"/>
                <w:szCs w:val="18"/>
              </w:rPr>
            </w:pPr>
            <w:r>
              <w:rPr>
                <w:rFonts w:ascii="Times New Roman"/>
                <w:sz w:val="18"/>
              </w:rPr>
              <w:t>GOLDENGREEN</w:t>
            </w:r>
            <w:r>
              <w:rPr>
                <w:rFonts w:ascii="Times New Roman"/>
                <w:w w:val="99"/>
                <w:sz w:val="18"/>
              </w:rPr>
              <w:t> </w:t>
            </w:r>
            <w:r>
              <w:rPr>
                <w:rFonts w:ascii="Times New Roman"/>
                <w:sz w:val="18"/>
              </w:rPr>
              <w:t>TECHNOLOGIES</w:t>
            </w:r>
            <w:r>
              <w:rPr>
                <w:rFonts w:ascii="Times New Roman"/>
                <w:w w:val="99"/>
                <w:sz w:val="18"/>
              </w:rPr>
              <w:t> </w:t>
            </w:r>
            <w:r>
              <w:rPr>
                <w:rFonts w:ascii="Times New Roman"/>
                <w:sz w:val="18"/>
              </w:rPr>
              <w:t>INTERNATIONAL</w:t>
            </w:r>
          </w:p>
          <w:p>
            <w:pPr>
              <w:pStyle w:val="TableParagraph"/>
              <w:spacing w:line="210" w:lineRule="exact"/>
              <w:ind w:left="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LIMITED</w:t>
            </w:r>
            <w:r>
              <w:rPr>
                <w:rFonts w:ascii="宋体" w:hAnsi="宋体" w:cs="宋体" w:eastAsia="宋体" w:hint="default"/>
                <w:sz w:val="18"/>
                <w:szCs w:val="18"/>
              </w:rPr>
              <w:t>（注</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英国</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英国</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22"/>
              <w:jc w:val="left"/>
              <w:rPr>
                <w:rFonts w:ascii="宋体" w:hAnsi="宋体" w:cs="宋体" w:eastAsia="宋体" w:hint="default"/>
                <w:sz w:val="18"/>
                <w:szCs w:val="18"/>
              </w:rPr>
            </w:pPr>
            <w:r>
              <w:rPr>
                <w:rFonts w:ascii="宋体" w:hAnsi="宋体" w:cs="宋体" w:eastAsia="宋体" w:hint="default"/>
                <w:sz w:val="18"/>
                <w:szCs w:val="18"/>
              </w:rPr>
              <w:t>办公设备、部件、 耗材的进出口业务</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814"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93" w:right="0"/>
              <w:jc w:val="left"/>
              <w:rPr>
                <w:rFonts w:ascii="Times New Roman" w:hAnsi="Times New Roman" w:cs="Times New Roman" w:eastAsia="Times New Roman" w:hint="default"/>
                <w:sz w:val="18"/>
                <w:szCs w:val="18"/>
              </w:rPr>
            </w:pPr>
            <w:r>
              <w:rPr>
                <w:rFonts w:ascii="Times New Roman"/>
                <w:sz w:val="18"/>
              </w:rPr>
              <w:t>100.00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655"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60"/>
              <w:ind w:left="4" w:right="367"/>
              <w:jc w:val="left"/>
              <w:rPr>
                <w:rFonts w:ascii="Times New Roman" w:hAnsi="Times New Roman" w:cs="Times New Roman" w:eastAsia="Times New Roman" w:hint="default"/>
                <w:sz w:val="18"/>
                <w:szCs w:val="18"/>
              </w:rPr>
            </w:pPr>
            <w:r>
              <w:rPr>
                <w:rFonts w:ascii="Times New Roman"/>
                <w:sz w:val="18"/>
              </w:rPr>
              <w:t>GLOBAL</w:t>
            </w:r>
            <w:r>
              <w:rPr>
                <w:rFonts w:ascii="Times New Roman"/>
                <w:spacing w:val="-4"/>
                <w:sz w:val="18"/>
              </w:rPr>
              <w:t> </w:t>
            </w:r>
            <w:r>
              <w:rPr>
                <w:rFonts w:ascii="Times New Roman"/>
                <w:sz w:val="18"/>
              </w:rPr>
              <w:t>IMAGING</w:t>
            </w:r>
            <w:r>
              <w:rPr>
                <w:rFonts w:ascii="Times New Roman"/>
                <w:w w:val="99"/>
                <w:sz w:val="18"/>
              </w:rPr>
              <w:t> </w:t>
            </w:r>
            <w:r>
              <w:rPr>
                <w:rFonts w:ascii="Times New Roman"/>
                <w:sz w:val="18"/>
              </w:rPr>
              <w:t>SYSTEM</w:t>
            </w:r>
            <w:r>
              <w:rPr>
                <w:rFonts w:ascii="Times New Roman"/>
                <w:spacing w:val="-6"/>
                <w:sz w:val="18"/>
              </w:rPr>
              <w:t> </w:t>
            </w:r>
            <w:r>
              <w:rPr>
                <w:rFonts w:ascii="Times New Roman"/>
                <w:sz w:val="18"/>
              </w:rPr>
              <w:t>LIMITED</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22"/>
              <w:jc w:val="left"/>
              <w:rPr>
                <w:rFonts w:ascii="宋体" w:hAnsi="宋体" w:cs="宋体" w:eastAsia="宋体" w:hint="default"/>
                <w:sz w:val="18"/>
                <w:szCs w:val="18"/>
              </w:rPr>
            </w:pPr>
            <w:r>
              <w:rPr>
                <w:rFonts w:ascii="宋体" w:hAnsi="宋体" w:cs="宋体" w:eastAsia="宋体" w:hint="default"/>
                <w:sz w:val="18"/>
                <w:szCs w:val="18"/>
              </w:rPr>
              <w:t>办公设备、部件、 耗材的进出口业务</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100.00</w:t>
            </w:r>
          </w:p>
        </w:tc>
        <w:tc>
          <w:tcPr>
            <w:tcW w:w="90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240" w:lineRule="auto" w:before="87"/>
        <w:ind w:left="513" w:right="1133"/>
        <w:jc w:val="left"/>
        <w:rPr>
          <w:rFonts w:ascii="Times New Roman" w:hAnsi="Times New Roman" w:cs="Times New Roman" w:eastAsia="Times New Roman" w:hint="default"/>
        </w:rPr>
      </w:pPr>
      <w:r>
        <w:rPr/>
        <w:t>注</w:t>
      </w:r>
      <w:r>
        <w:rPr>
          <w:rFonts w:ascii="Times New Roman" w:hAnsi="Times New Roman" w:cs="Times New Roman" w:eastAsia="Times New Roman" w:hint="default"/>
        </w:rPr>
        <w:t>1</w:t>
      </w:r>
      <w:r>
        <w:rPr/>
        <w:t>：</w:t>
      </w:r>
      <w:r>
        <w:rPr>
          <w:rFonts w:ascii="Times New Roman" w:hAnsi="Times New Roman" w:cs="Times New Roman" w:eastAsia="Times New Roman" w:hint="default"/>
        </w:rPr>
        <w:t>GOLDENGREEN TECHNOLOGIES INTERNATIONAL LIMITED</w:t>
      </w:r>
      <w:r>
        <w:rPr/>
        <w:t>为</w:t>
      </w:r>
      <w:r>
        <w:rPr>
          <w:rFonts w:ascii="Times New Roman" w:hAnsi="Times New Roman" w:cs="Times New Roman" w:eastAsia="Times New Roman" w:hint="default"/>
        </w:rPr>
        <w:t>GOLDENGREEN TECHNOLOGIES</w:t>
      </w:r>
      <w:r>
        <w:rPr>
          <w:rFonts w:ascii="Times New Roman" w:hAnsi="Times New Roman" w:cs="Times New Roman" w:eastAsia="Times New Roman" w:hint="default"/>
          <w:spacing w:val="-13"/>
        </w:rPr>
        <w:t> </w:t>
      </w:r>
      <w:r>
        <w:rPr>
          <w:rFonts w:ascii="Times New Roman" w:hAnsi="Times New Roman" w:cs="Times New Roman" w:eastAsia="Times New Roman" w:hint="default"/>
        </w:rPr>
        <w:t>EU</w:t>
      </w:r>
    </w:p>
    <w:p>
      <w:pPr>
        <w:spacing w:line="240" w:lineRule="auto" w:before="1"/>
        <w:rPr>
          <w:rFonts w:ascii="Times New Roman" w:hAnsi="Times New Roman" w:cs="Times New Roman" w:eastAsia="Times New Roman" w:hint="default"/>
          <w:sz w:val="19"/>
          <w:szCs w:val="19"/>
        </w:rPr>
      </w:pPr>
    </w:p>
    <w:p>
      <w:pPr>
        <w:pStyle w:val="BodyText"/>
        <w:spacing w:line="240" w:lineRule="auto"/>
        <w:ind w:right="1133"/>
        <w:jc w:val="left"/>
      </w:pPr>
      <w:r>
        <w:rPr>
          <w:rFonts w:ascii="Times New Roman" w:hAnsi="Times New Roman" w:cs="Times New Roman" w:eastAsia="Times New Roman" w:hint="default"/>
        </w:rPr>
        <w:t>LIMITED</w:t>
      </w:r>
      <w:r>
        <w:rPr/>
        <w:t>的全资子公司</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pStyle w:val="Heading3"/>
        <w:spacing w:line="240" w:lineRule="auto" w:before="0"/>
        <w:ind w:right="1133"/>
        <w:jc w:val="left"/>
        <w:rPr>
          <w:b w:val="0"/>
          <w:bCs w:val="0"/>
        </w:rPr>
      </w:pPr>
      <w:r>
        <w:rPr>
          <w:rFonts w:ascii="Times New Roman" w:hAnsi="Times New Roman" w:cs="Times New Roman" w:eastAsia="Times New Roman" w:hint="default"/>
        </w:rPr>
        <w:t>83</w:t>
      </w:r>
      <w:r>
        <w:rPr/>
        <w:t>、套期</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4634"/>
        <w:jc w:val="left"/>
      </w:pPr>
      <w:r>
        <w:rPr/>
        <w:t>按照套期类别披露套期项目及相关套期工具、被套期风险的定性和定量信息： 不适用。</w:t>
      </w:r>
    </w:p>
    <w:p>
      <w:pPr>
        <w:spacing w:line="240" w:lineRule="auto" w:before="4"/>
        <w:rPr>
          <w:rFonts w:ascii="宋体" w:hAnsi="宋体" w:cs="宋体" w:eastAsia="宋体" w:hint="default"/>
          <w:sz w:val="20"/>
          <w:szCs w:val="20"/>
        </w:rPr>
      </w:pPr>
    </w:p>
    <w:p>
      <w:pPr>
        <w:pStyle w:val="Heading3"/>
        <w:spacing w:line="240" w:lineRule="auto" w:before="0"/>
        <w:ind w:right="1133"/>
        <w:jc w:val="left"/>
        <w:rPr>
          <w:b w:val="0"/>
          <w:bCs w:val="0"/>
        </w:rPr>
      </w:pPr>
      <w:r>
        <w:rPr>
          <w:rFonts w:ascii="Times New Roman" w:hAnsi="Times New Roman" w:cs="Times New Roman" w:eastAsia="Times New Roman" w:hint="default"/>
        </w:rPr>
        <w:t>84</w:t>
      </w:r>
      <w:r>
        <w:rPr/>
        <w:t>、政府补助</w:t>
      </w:r>
      <w:r>
        <w:rPr>
          <w:b w:val="0"/>
          <w:bCs w:val="0"/>
        </w:rPr>
      </w:r>
    </w:p>
    <w:p>
      <w:pPr>
        <w:spacing w:line="240" w:lineRule="auto" w:before="7"/>
        <w:rPr>
          <w:rFonts w:ascii="宋体" w:hAnsi="宋体" w:cs="宋体" w:eastAsia="宋体" w:hint="default"/>
          <w:b/>
          <w:bCs/>
          <w:sz w:val="24"/>
          <w:szCs w:val="24"/>
        </w:rPr>
      </w:pPr>
    </w:p>
    <w:p>
      <w:pPr>
        <w:pStyle w:val="Heading3"/>
        <w:spacing w:line="240" w:lineRule="auto" w:before="0"/>
        <w:ind w:right="1133"/>
        <w:jc w:val="left"/>
        <w:rPr>
          <w:b w:val="0"/>
          <w:bCs w:val="0"/>
        </w:rPr>
      </w:pPr>
      <w:r>
        <w:rPr/>
        <w:t>（</w:t>
      </w:r>
      <w:r>
        <w:rPr>
          <w:rFonts w:ascii="Times New Roman" w:hAnsi="Times New Roman" w:cs="Times New Roman" w:eastAsia="Times New Roman" w:hint="default"/>
        </w:rPr>
        <w:t>1</w:t>
      </w:r>
      <w:r>
        <w:rPr/>
        <w:t>）政府补助基本情况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长寿命激光光导鼓的研制与 产业化</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社会贡献奖</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年度知识产权先进单位 奖励经费</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国家级人才赞助经费</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获批市级工程技术研究中心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年获批科技项目奖励</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经济中心奖励</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技术标准资助发放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贷款贴息发放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74,400.00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74,400.00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专利资助发放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1,800.00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1,800.00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个税手续费</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2,513.90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2,528.77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07"/>
              <w:jc w:val="left"/>
              <w:rPr>
                <w:rFonts w:ascii="宋体" w:hAnsi="宋体" w:cs="宋体" w:eastAsia="宋体" w:hint="default"/>
                <w:sz w:val="18"/>
                <w:szCs w:val="18"/>
              </w:rPr>
            </w:pPr>
            <w:r>
              <w:rPr>
                <w:rFonts w:ascii="宋体" w:hAnsi="宋体" w:cs="宋体" w:eastAsia="宋体" w:hint="default"/>
                <w:sz w:val="18"/>
                <w:szCs w:val="18"/>
              </w:rPr>
              <w:t>狮山街道办事处</w:t>
            </w:r>
            <w:r>
              <w:rPr>
                <w:rFonts w:ascii="宋体" w:hAnsi="宋体" w:cs="宋体" w:eastAsia="宋体" w:hint="default"/>
                <w:spacing w:val="1"/>
                <w:sz w:val="18"/>
                <w:szCs w:val="18"/>
              </w:rPr>
              <w:t> </w:t>
            </w:r>
            <w:r>
              <w:rPr>
                <w:rFonts w:ascii="宋体" w:hAnsi="宋体" w:cs="宋体" w:eastAsia="宋体" w:hint="default"/>
                <w:sz w:val="18"/>
                <w:szCs w:val="18"/>
              </w:rPr>
              <w:t>科技创新奖</w:t>
            </w:r>
            <w:r>
              <w:rPr>
                <w:rFonts w:ascii="宋体" w:hAnsi="宋体" w:cs="宋体" w:eastAsia="宋体" w:hint="default"/>
                <w:sz w:val="18"/>
                <w:szCs w:val="18"/>
              </w:rPr>
              <w:t> 励</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216,400.00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商务发展专项资金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30,369.20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研发费用专项补助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316,400.00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高新技术产品政策性奖励经 费</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展会补贴收款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3,000.00</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）政府补助退回情况</w:t>
      </w:r>
      <w:r>
        <w:rPr>
          <w:b w:val="0"/>
          <w:bCs w:val="0"/>
        </w:rPr>
      </w:r>
    </w:p>
    <w:p>
      <w:pPr>
        <w:spacing w:line="240" w:lineRule="auto" w:before="4"/>
        <w:rPr>
          <w:rFonts w:ascii="宋体" w:hAnsi="宋体" w:cs="宋体" w:eastAsia="宋体" w:hint="default"/>
          <w:b/>
          <w:bCs/>
          <w:sz w:val="26"/>
          <w:szCs w:val="26"/>
        </w:rPr>
      </w:pPr>
    </w:p>
    <w:p>
      <w:pPr>
        <w:spacing w:line="547" w:lineRule="auto" w:before="0"/>
        <w:ind w:left="152" w:right="933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z w:val="21"/>
          <w:szCs w:val="21"/>
        </w:rPr>
        <w:t>85</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sz w:val="18"/>
          <w:szCs w:val="18"/>
        </w:rPr>
        <w:t>不适用。</w:t>
      </w:r>
    </w:p>
    <w:p>
      <w:pPr>
        <w:pStyle w:val="Heading2"/>
        <w:spacing w:line="240" w:lineRule="auto" w:before="100"/>
        <w:ind w:right="1133"/>
        <w:jc w:val="left"/>
        <w:rPr>
          <w:b w:val="0"/>
          <w:bCs w:val="0"/>
        </w:rPr>
      </w:pPr>
      <w:r>
        <w:rPr/>
        <w:t>八、合并范围的变更</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before="0"/>
        <w:ind w:right="1133"/>
        <w:jc w:val="left"/>
        <w:rPr>
          <w:b w:val="0"/>
          <w:bCs w:val="0"/>
        </w:rPr>
      </w:pPr>
      <w:r>
        <w:rPr>
          <w:rFonts w:ascii="Times New Roman" w:hAnsi="Times New Roman" w:cs="Times New Roman" w:eastAsia="Times New Roman" w:hint="default"/>
        </w:rPr>
        <w:t>1</w:t>
      </w:r>
      <w:r>
        <w:rPr/>
        <w:t>、非同一控制下企业合并</w:t>
      </w:r>
      <w:r>
        <w:rPr>
          <w:b w:val="0"/>
          <w:bCs w:val="0"/>
        </w:rPr>
      </w:r>
    </w:p>
    <w:p>
      <w:pPr>
        <w:spacing w:line="240" w:lineRule="auto" w:before="7"/>
        <w:rPr>
          <w:rFonts w:ascii="宋体" w:hAnsi="宋体" w:cs="宋体" w:eastAsia="宋体" w:hint="default"/>
          <w:b/>
          <w:bCs/>
          <w:sz w:val="24"/>
          <w:szCs w:val="24"/>
        </w:rPr>
      </w:pPr>
    </w:p>
    <w:p>
      <w:pPr>
        <w:pStyle w:val="Heading3"/>
        <w:spacing w:line="240" w:lineRule="auto" w:before="0"/>
        <w:ind w:right="1133"/>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6"/>
        <w:gridCol w:w="1063"/>
        <w:gridCol w:w="1064"/>
        <w:gridCol w:w="1066"/>
        <w:gridCol w:w="1061"/>
        <w:gridCol w:w="1064"/>
        <w:gridCol w:w="1061"/>
      </w:tblGrid>
      <w:tr>
        <w:trPr>
          <w:trHeight w:val="102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37" w:right="75" w:hanging="361"/>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56"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02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福建省闽保 信息技术有 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139,664,517.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71.26%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29"/>
              <w:jc w:val="left"/>
              <w:rPr>
                <w:rFonts w:ascii="宋体" w:hAnsi="宋体" w:cs="宋体" w:eastAsia="宋体" w:hint="default"/>
                <w:sz w:val="18"/>
                <w:szCs w:val="18"/>
              </w:rPr>
            </w:pPr>
            <w:r>
              <w:rPr>
                <w:rFonts w:ascii="宋体" w:hAnsi="宋体" w:cs="宋体" w:eastAsia="宋体" w:hint="default"/>
                <w:sz w:val="18"/>
                <w:szCs w:val="18"/>
              </w:rPr>
              <w:t>非同一控制 下企业合并</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5"/>
              <w:jc w:val="both"/>
              <w:rPr>
                <w:rFonts w:ascii="宋体" w:hAnsi="宋体" w:cs="宋体" w:eastAsia="宋体" w:hint="default"/>
                <w:sz w:val="18"/>
                <w:szCs w:val="18"/>
              </w:rPr>
            </w:pPr>
            <w:r>
              <w:rPr>
                <w:rFonts w:ascii="宋体" w:hAnsi="宋体" w:cs="宋体" w:eastAsia="宋体" w:hint="default"/>
                <w:sz w:val="18"/>
                <w:szCs w:val="18"/>
              </w:rPr>
              <w:t>支付大部分 款项取得控 制</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18,272,085.4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9,554,604.48</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139,664,517.25</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139,664,517.25</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33,883,477.39</w:t>
            </w:r>
          </w:p>
        </w:tc>
      </w:tr>
      <w:tr>
        <w:trPr>
          <w:trHeight w:val="715"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6"/>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105,781,039.86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3"/>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93"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7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9"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72,667,603.81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57,871,051.52</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6,676,924.33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6,676,924.33</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24,135,310.75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24,135,310.75</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4,407,846.61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3,890,924.09</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16,490,460.89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6,519,372.34</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4,248,097.59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180,004.50</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2,344,636.54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2,104,188.41</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10,038,126.97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10,038,126.97</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2,579,972.68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2,579,972.68</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33,995.44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33,995.44</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1,712,232.01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1,712,232.01</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26,002,590.59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26,002,590.59</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6,694,193.09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6,694,193.09</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10,894,835.16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10,894,835.16</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961,260.60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961,260.60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1,085,715.73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1,085,715.73</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4,265,202.11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4,265,202.11</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2,101,383.90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2,101,383.90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46,665,013.22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31,868,460.93</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46,665,013.22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31,868,460.93</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是否存在通过多次交易分步实现企业合并且在报告期内取得控制权的交易</w:t>
      </w:r>
    </w:p>
    <w:p>
      <w:pPr>
        <w:pStyle w:val="BodyText"/>
        <w:spacing w:line="240" w:lineRule="auto" w:before="117"/>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ind w:right="1133"/>
        <w:jc w:val="left"/>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before="0"/>
        <w:ind w:right="1133"/>
        <w:jc w:val="left"/>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before="0"/>
        <w:ind w:right="1133"/>
        <w:jc w:val="left"/>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before="0"/>
        <w:ind w:right="1133"/>
        <w:jc w:val="left"/>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3"/>
        <w:gridCol w:w="1063"/>
        <w:gridCol w:w="1066"/>
        <w:gridCol w:w="1063"/>
      </w:tblGrid>
      <w:tr>
        <w:trPr>
          <w:trHeight w:val="1337" w:hRule="exact"/>
        </w:trPr>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6" w:right="72" w:hanging="361"/>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2"/>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5"/>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59" w:right="75"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5"/>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20"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pt;mso-position-horizontal-relative:char;mso-position-vertical-relative:line" coordorigin="0,0" coordsize="9581,420">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4775;top:14;width:2;height:392" coordorigin="4775,14" coordsize="2,392">
              <v:shape style="position:absolute;left:4775;top:14;width:2;height:392" coordorigin="4775,14" coordsize="0,392" path="m4775,14l4775,406e" filled="false" stroked="true" strokeweight="1.2pt" strokecolor="#d2d2d2">
                <v:path arrowok="t"/>
              </v:shape>
            </v:group>
            <v:group style="position:absolute;left:34;top:14;width:4729;height:392" coordorigin="34,14" coordsize="4729,392">
              <v:shape style="position:absolute;left:34;top:14;width:4729;height:392" coordorigin="34,14" coordsize="4729,392" path="m34,406l4763,406,4763,14,34,14,34,406xe" filled="true" fillcolor="#d2d2d2" stroked="false">
                <v:path arrowok="t"/>
                <v:fill type="solid"/>
              </v:shape>
            </v:group>
            <v:group style="position:absolute;left:4807;top:14;width:2;height:392" coordorigin="4807,14" coordsize="2,392">
              <v:shape style="position:absolute;left:4807;top:14;width:2;height:392" coordorigin="4807,14" coordsize="0,392" path="m4807,14l4807,406e" filled="false" stroked="true" strokeweight="1.08pt" strokecolor="#d2d2d2">
                <v:path arrowok="t"/>
              </v:shape>
            </v:group>
            <v:group style="position:absolute;left:9559;top:14;width:2;height:392" coordorigin="9559,14" coordsize="2,392">
              <v:shape style="position:absolute;left:9559;top:14;width:2;height:392" coordorigin="9559,14" coordsize="0,392" path="m9559,14l9559,406e" filled="false" stroked="true" strokeweight="1.2pt" strokecolor="#d2d2d2">
                <v:path arrowok="t"/>
              </v:shape>
            </v:group>
            <v:group style="position:absolute;left:4818;top:14;width:4729;height:392" coordorigin="4818,14" coordsize="4729,392">
              <v:shape style="position:absolute;left:4818;top:14;width:4729;height:392" coordorigin="4818,14" coordsize="4729,392" path="m4818,406l9547,406,9547,14,4818,14,4818,406xe" filled="true" fillcolor="#d2d2d2"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8001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8001pt" strokecolor="#000000">
                <v:path arrowok="t"/>
              </v:shape>
            </v:group>
            <v:group style="position:absolute;left:5;top:5;width:2;height:411" coordorigin="5,5" coordsize="2,411">
              <v:shape style="position:absolute;left:5;top:5;width:2;height:411" coordorigin="5,5" coordsize="0,411" path="m5,5l5,415e" filled="false" stroked="true" strokeweight=".48pt" strokecolor="#000000">
                <v:path arrowok="t"/>
              </v:shape>
            </v:group>
            <v:group style="position:absolute;left:10;top:410;width:4775;height:2" coordorigin="10,410" coordsize="4775,2">
              <v:shape style="position:absolute;left:10;top:410;width:4775;height:2" coordorigin="10,410" coordsize="4775,0" path="m10,410l4784,410e" filled="false" stroked="true" strokeweight=".48001pt" strokecolor="#000000">
                <v:path arrowok="t"/>
              </v:shape>
            </v:group>
            <v:group style="position:absolute;left:4789;top:5;width:2;height:411" coordorigin="4789,5" coordsize="2,411">
              <v:shape style="position:absolute;left:4789;top:5;width:2;height:411" coordorigin="4789,5" coordsize="0,411" path="m4789,5l4789,415e" filled="false" stroked="true" strokeweight=".48001pt" strokecolor="#000000">
                <v:path arrowok="t"/>
              </v:shape>
            </v:group>
            <v:group style="position:absolute;left:4794;top:410;width:4777;height:2" coordorigin="4794,410" coordsize="4777,2">
              <v:shape style="position:absolute;left:4794;top:410;width:4777;height:2" coordorigin="4794,410" coordsize="4777,0" path="m4794,410l9571,410e" filled="false" stroked="true" strokeweight=".48001pt" strokecolor="#000000">
                <v:path arrowok="t"/>
              </v:shape>
            </v:group>
            <v:group style="position:absolute;left:9576;top:5;width:2;height:411" coordorigin="9576,5" coordsize="2,411">
              <v:shape style="position:absolute;left:9576;top:5;width:2;height:411" coordorigin="9576,5" coordsize="0,411" path="m9576,5l9576,415e" filled="false" stroked="true" strokeweight=".47998pt" strokecolor="#000000">
                <v:path arrowok="t"/>
              </v:shape>
              <v:shape style="position:absolute;left:6;top:10;width:4783;height:401"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8"/>
          <w:szCs w:val="18"/>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823" w:lineRule="exact"/>
        <w:ind w:left="148"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15pt;height:41.2pt;mso-position-horizontal-relative:char;mso-position-vertical-relative:line" coordorigin="0,0" coordsize="9583,824">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3181;top:14;width:2;height:392" coordorigin="3181,14" coordsize="2,392">
              <v:shape style="position:absolute;left:3181;top:14;width:2;height:392" coordorigin="3181,14" coordsize="0,392" path="m3181,14l3181,406e" filled="false" stroked="true" strokeweight="1.2pt" strokecolor="#d2d2d2">
                <v:path arrowok="t"/>
              </v:shape>
            </v:group>
            <v:group style="position:absolute;left:34;top:14;width:3136;height:392" coordorigin="34,14" coordsize="3136,392">
              <v:shape style="position:absolute;left:34;top:14;width:3136;height:392" coordorigin="34,14" coordsize="3136,392" path="m34,406l3169,406,3169,14,34,14,34,406xe" filled="true" fillcolor="#d2d2d2" stroked="false">
                <v:path arrowok="t"/>
                <v:fill type="solid"/>
              </v:shape>
            </v:group>
            <v:group style="position:absolute;left:3213;top:14;width:2;height:392" coordorigin="3213,14" coordsize="2,392">
              <v:shape style="position:absolute;left:3213;top:14;width:2;height:392" coordorigin="3213,14" coordsize="0,392" path="m3213,14l3213,406e" filled="false" stroked="true" strokeweight="1.08pt" strokecolor="#d2d2d2">
                <v:path arrowok="t"/>
              </v:shape>
            </v:group>
            <v:group style="position:absolute;left:9561;top:14;width:2;height:392" coordorigin="9561,14" coordsize="2,392">
              <v:shape style="position:absolute;left:9561;top:14;width:2;height:392" coordorigin="9561,14" coordsize="0,392" path="m9561,14l9561,406e" filled="false" stroked="true" strokeweight="1.2pt" strokecolor="#d2d2d2">
                <v:path arrowok="t"/>
              </v:shape>
            </v:group>
            <v:group style="position:absolute;left:3224;top:14;width:6325;height:392" coordorigin="3224,14" coordsize="6325,392">
              <v:shape style="position:absolute;left:3224;top:14;width:6325;height:392" coordorigin="3224,14" coordsize="6325,392" path="m3224,406l9549,406,9549,14,3224,14,3224,406xe" filled="true" fillcolor="#d2d2d2" stroked="false">
                <v:path arrowok="t"/>
                <v:fill type="solid"/>
              </v:shape>
            </v:group>
            <v:group style="position:absolute;left:10;top:10;width:3181;height:2" coordorigin="10,10" coordsize="3181,2">
              <v:shape style="position:absolute;left:10;top:10;width:3181;height:2" coordorigin="10,10" coordsize="3181,0" path="m10,10l3191,10e" filled="false" stroked="true" strokeweight=".48001pt" strokecolor="#000000">
                <v:path arrowok="t"/>
              </v:shape>
            </v:group>
            <v:group style="position:absolute;left:3200;top:10;width:6373;height:2" coordorigin="3200,10" coordsize="6373,2">
              <v:shape style="position:absolute;left:3200;top:10;width:6373;height:2" coordorigin="3200,10" coordsize="6373,0" path="m3200,10l9573,10e" filled="false" stroked="true" strokeweight=".48001pt" strokecolor="#000000">
                <v:path arrowok="t"/>
              </v:shape>
            </v:group>
            <v:group style="position:absolute;left:23;top:415;width:2;height:394" coordorigin="23,415" coordsize="2,394">
              <v:shape style="position:absolute;left:23;top:415;width:2;height:394" coordorigin="23,415" coordsize="0,394" path="m23,415l23,809e" filled="false" stroked="true" strokeweight="1.08pt" strokecolor="#d2d2d2">
                <v:path arrowok="t"/>
              </v:shape>
            </v:group>
            <v:group style="position:absolute;left:3181;top:415;width:2;height:394" coordorigin="3181,415" coordsize="2,394">
              <v:shape style="position:absolute;left:3181;top:415;width:2;height:394" coordorigin="3181,415" coordsize="0,394" path="m3181,415l3181,809e" filled="false" stroked="true" strokeweight="1.2pt" strokecolor="#d2d2d2">
                <v:path arrowok="t"/>
              </v:shape>
            </v:group>
            <v:group style="position:absolute;left:34;top:415;width:3136;height:394" coordorigin="34,415" coordsize="3136,394">
              <v:shape style="position:absolute;left:34;top:415;width:3136;height:394" coordorigin="34,415" coordsize="3136,394" path="m34,809l3169,809,3169,415,34,415,34,809xe" filled="true" fillcolor="#d2d2d2" stroked="false">
                <v:path arrowok="t"/>
                <v:fill type="solid"/>
              </v:shape>
            </v:group>
            <v:group style="position:absolute;left:3213;top:415;width:2;height:394" coordorigin="3213,415" coordsize="2,394">
              <v:shape style="position:absolute;left:3213;top:415;width:2;height:394" coordorigin="3213,415" coordsize="0,394" path="m3213,415l3213,809e" filled="false" stroked="true" strokeweight="1.08pt" strokecolor="#d2d2d2">
                <v:path arrowok="t"/>
              </v:shape>
            </v:group>
            <v:group style="position:absolute;left:6371;top:415;width:2;height:394" coordorigin="6371,415" coordsize="2,394">
              <v:shape style="position:absolute;left:6371;top:415;width:2;height:394" coordorigin="6371,415" coordsize="0,394" path="m6371,415l6371,809e" filled="false" stroked="true" strokeweight="1.2pt" strokecolor="#d2d2d2">
                <v:path arrowok="t"/>
              </v:shape>
            </v:group>
            <v:group style="position:absolute;left:3224;top:415;width:3135;height:394" coordorigin="3224,415" coordsize="3135,394">
              <v:shape style="position:absolute;left:3224;top:415;width:3135;height:394" coordorigin="3224,415" coordsize="3135,394" path="m3224,809l6359,809,6359,415,3224,415,3224,809xe" filled="true" fillcolor="#d2d2d2" stroked="false">
                <v:path arrowok="t"/>
                <v:fill type="solid"/>
              </v:shape>
            </v:group>
            <v:group style="position:absolute;left:6403;top:415;width:2;height:394" coordorigin="6403,415" coordsize="2,394">
              <v:shape style="position:absolute;left:6403;top:415;width:2;height:394" coordorigin="6403,415" coordsize="0,394" path="m6403,415l6403,809e" filled="false" stroked="true" strokeweight="1.08pt" strokecolor="#d2d2d2">
                <v:path arrowok="t"/>
              </v:shape>
            </v:group>
            <v:group style="position:absolute;left:9561;top:415;width:2;height:394" coordorigin="9561,415" coordsize="2,394">
              <v:shape style="position:absolute;left:9561;top:415;width:2;height:394" coordorigin="9561,415" coordsize="0,394" path="m9561,415l9561,809e" filled="false" stroked="true" strokeweight="1.2pt" strokecolor="#d2d2d2">
                <v:path arrowok="t"/>
              </v:shape>
            </v:group>
            <v:group style="position:absolute;left:6414;top:415;width:3135;height:394" coordorigin="6414,415" coordsize="3135,394">
              <v:shape style="position:absolute;left:6414;top:415;width:3135;height:394" coordorigin="6414,415" coordsize="3135,394" path="m6414,809l9549,809,9549,415,6414,415,6414,809xe" filled="true" fillcolor="#d2d2d2" stroked="false">
                <v:path arrowok="t"/>
                <v:fill type="solid"/>
              </v:shape>
            </v:group>
            <v:group style="position:absolute;left:10;top:410;width:3181;height:2" coordorigin="10,410" coordsize="3181,2">
              <v:shape style="position:absolute;left:10;top:410;width:3181;height:2" coordorigin="10,410" coordsize="3181,0" path="m10,410l3191,410e" filled="false" stroked="true" strokeweight=".47998pt" strokecolor="#000000">
                <v:path arrowok="t"/>
              </v:shape>
            </v:group>
            <v:group style="position:absolute;left:3200;top:410;width:3181;height:2" coordorigin="3200,410" coordsize="3181,2">
              <v:shape style="position:absolute;left:3200;top:410;width:3181;height:2" coordorigin="3200,410" coordsize="3181,0" path="m3200,410l6381,410e" filled="false" stroked="true" strokeweight=".47998pt" strokecolor="#000000">
                <v:path arrowok="t"/>
              </v:shape>
            </v:group>
            <v:group style="position:absolute;left:6390;top:410;width:3183;height:2" coordorigin="6390,410" coordsize="3183,2">
              <v:shape style="position:absolute;left:6390;top:410;width:3183;height:2" coordorigin="6390,410" coordsize="3183,0" path="m6390,410l9573,410e" filled="false" stroked="true" strokeweight=".47998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1,814e" filled="false" stroked="true" strokeweight=".47998pt" strokecolor="#000000">
                <v:path arrowok="t"/>
              </v:shape>
            </v:group>
            <v:group style="position:absolute;left:3195;top:5;width:2;height:814" coordorigin="3195,5" coordsize="2,814">
              <v:shape style="position:absolute;left:3195;top:5;width:2;height:814" coordorigin="3195,5" coordsize="0,814" path="m3195,5l3195,818e" filled="false" stroked="true" strokeweight=".48pt" strokecolor="#000000">
                <v:path arrowok="t"/>
              </v:shape>
            </v:group>
            <v:group style="position:absolute;left:3200;top:814;width:3181;height:2" coordorigin="3200,814" coordsize="3181,2">
              <v:shape style="position:absolute;left:3200;top:814;width:3181;height:2" coordorigin="3200,814" coordsize="3181,0" path="m3200,814l6381,814e" filled="false" stroked="true" strokeweight=".47998pt" strokecolor="#000000">
                <v:path arrowok="t"/>
              </v:shape>
            </v:group>
            <v:group style="position:absolute;left:6385;top:406;width:2;height:413" coordorigin="6385,406" coordsize="2,413">
              <v:shape style="position:absolute;left:6385;top:406;width:2;height:413" coordorigin="6385,406" coordsize="0,413" path="m6385,406l6385,818e" filled="false" stroked="true" strokeweight=".48001pt" strokecolor="#000000">
                <v:path arrowok="t"/>
              </v:shape>
            </v:group>
            <v:group style="position:absolute;left:6390;top:814;width:3183;height:2" coordorigin="6390,814" coordsize="3183,2">
              <v:shape style="position:absolute;left:6390;top:814;width:3183;height:2" coordorigin="6390,814" coordsize="3183,0" path="m6390,814l9573,814e" filled="false" stroked="true" strokeweight=".47998pt" strokecolor="#000000">
                <v:path arrowok="t"/>
              </v:shape>
            </v:group>
            <v:group style="position:absolute;left:9578;top:5;width:2;height:814" coordorigin="9578,5" coordsize="2,814">
              <v:shape style="position:absolute;left:9578;top:5;width:2;height:814" coordorigin="9578,5" coordsize="0,814" path="m9578,5l9578,818e" filled="false" stroked="true" strokeweight=".47998pt" strokecolor="#000000">
                <v:path arrowok="t"/>
              </v:shape>
              <v:shape style="position:absolute;left:3195;top:410;width:3190;height:404"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0;width:3193;height:404"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spacing w:line="240" w:lineRule="auto" w:before="12"/>
        <w:rPr>
          <w:rFonts w:ascii="宋体" w:hAnsi="宋体" w:cs="宋体" w:eastAsia="宋体" w:hint="default"/>
          <w:sz w:val="18"/>
          <w:szCs w:val="18"/>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3"/>
        <w:jc w:val="left"/>
      </w:pPr>
      <w:r>
        <w:rPr>
          <w:spacing w:val="-2"/>
        </w:rPr>
        <w:t>交易基本信息、交易构成反向购买的依据、上市公司保留的资产、负债是否构成业务及其依据、合并成本的确定、按照权益</w:t>
      </w:r>
      <w:r>
        <w:rPr>
          <w:spacing w:val="-67"/>
        </w:rPr>
        <w:t> </w:t>
      </w:r>
      <w:r>
        <w:rPr>
          <w:spacing w:val="-67"/>
        </w:rPr>
      </w:r>
      <w:r>
        <w:rPr/>
        <w:t>性交易处理时调整权益的金额及其计算：</w:t>
      </w:r>
    </w:p>
    <w:p>
      <w:pPr>
        <w:spacing w:line="240" w:lineRule="auto" w:before="10"/>
        <w:rPr>
          <w:rFonts w:ascii="宋体" w:hAnsi="宋体" w:cs="宋体" w:eastAsia="宋体" w:hint="default"/>
          <w:sz w:val="22"/>
          <w:szCs w:val="22"/>
        </w:rPr>
      </w:pPr>
    </w:p>
    <w:p>
      <w:pPr>
        <w:pStyle w:val="Heading3"/>
        <w:spacing w:line="240" w:lineRule="auto" w:before="0"/>
        <w:ind w:right="1133"/>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是否存在单次处置对子公司投资即丧失控制权的情形</w:t>
      </w:r>
    </w:p>
    <w:p>
      <w:pPr>
        <w:pStyle w:val="BodyText"/>
        <w:spacing w:line="340" w:lineRule="auto" w:before="115"/>
        <w:ind w:right="49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是否存在通过多次交易分步处置对子公司投资且在本期丧失控制权的情形</w:t>
      </w:r>
    </w:p>
    <w:p>
      <w:pPr>
        <w:pStyle w:val="BodyText"/>
        <w:spacing w:line="240" w:lineRule="auto" w:before="41"/>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26"/>
          <w:szCs w:val="26"/>
        </w:rPr>
      </w:pPr>
    </w:p>
    <w:p>
      <w:pPr>
        <w:pStyle w:val="Heading3"/>
        <w:spacing w:line="240" w:lineRule="auto" w:before="0"/>
        <w:ind w:right="1133"/>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说明其他原因导致的合并范围变动（如，新设子公司、清算子公司等）及其相关情况：</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r>
        <w:rPr/>
        <w:pict>
          <v:shape style="position:absolute;margin-left:306.53299pt;margin-top:286.72998pt;width:91.95pt;height:23.4pt;mso-position-horizontal-relative:page;mso-position-vertical-relative:page;z-index:-1093768" type="#_x0000_t202" filled="false" stroked="false">
            <v:textbox inset="0,0,0,0">
              <w:txbxContent>
                <w:p>
                  <w:pPr>
                    <w:spacing w:line="240" w:lineRule="auto" w:before="9"/>
                    <w:rPr>
                      <w:rFonts w:ascii="宋体" w:hAnsi="宋体" w:cs="宋体" w:eastAsia="宋体" w:hint="default"/>
                      <w:b/>
                      <w:bCs/>
                      <w:sz w:val="15"/>
                      <w:szCs w:val="15"/>
                    </w:rPr>
                  </w:pPr>
                </w:p>
                <w:p>
                  <w:pPr>
                    <w:pStyle w:val="BodyText"/>
                    <w:spacing w:line="240" w:lineRule="auto"/>
                    <w:ind w:left="0" w:right="0"/>
                    <w:jc w:val="left"/>
                  </w:pPr>
                  <w:r>
                    <w:rPr/>
                    <w:t>部件、</w:t>
                  </w:r>
                </w:p>
              </w:txbxContent>
            </v:textbox>
            <w10:wrap type="none"/>
          </v:shape>
        </w:pict>
      </w:r>
      <w:r>
        <w:rPr/>
        <w:pict>
          <v:shape style="position:absolute;margin-left:306.53299pt;margin-top:353.569977pt;width:91.95pt;height:39pt;mso-position-horizontal-relative:page;mso-position-vertical-relative:page;z-index:-1093744"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21"/>
                      <w:szCs w:val="21"/>
                    </w:rPr>
                  </w:pPr>
                </w:p>
                <w:p>
                  <w:pPr>
                    <w:pStyle w:val="BodyText"/>
                    <w:spacing w:line="240" w:lineRule="auto"/>
                    <w:ind w:left="0" w:right="0"/>
                    <w:jc w:val="left"/>
                  </w:pPr>
                  <w:r>
                    <w:rPr/>
                    <w:t>部件、</w:t>
                  </w:r>
                </w:p>
              </w:txbxContent>
            </v:textbox>
            <w10:wrap type="none"/>
          </v:shape>
        </w:pict>
      </w:r>
      <w:r>
        <w:rPr/>
        <w:pict>
          <v:shape style="position:absolute;margin-left:306.53299pt;margin-top:451.725983pt;width:91.95pt;height:23.45pt;mso-position-horizontal-relative:page;mso-position-vertical-relative:page;z-index:-1093720" type="#_x0000_t202" filled="false" stroked="false">
            <v:textbox inset="0,0,0,0">
              <w:txbxContent>
                <w:p>
                  <w:pPr>
                    <w:spacing w:line="240" w:lineRule="auto" w:before="9"/>
                    <w:rPr>
                      <w:rFonts w:ascii="宋体" w:hAnsi="宋体" w:cs="宋体" w:eastAsia="宋体" w:hint="default"/>
                      <w:b/>
                      <w:bCs/>
                      <w:sz w:val="15"/>
                      <w:szCs w:val="15"/>
                    </w:rPr>
                  </w:pPr>
                </w:p>
                <w:p>
                  <w:pPr>
                    <w:pStyle w:val="BodyText"/>
                    <w:spacing w:line="240" w:lineRule="auto"/>
                    <w:ind w:left="0" w:right="0"/>
                    <w:jc w:val="left"/>
                  </w:pPr>
                  <w:r>
                    <w:rPr/>
                    <w:t>部件、</w:t>
                  </w:r>
                </w:p>
              </w:txbxContent>
            </v:textbox>
            <w10:wrap type="none"/>
          </v:shape>
        </w:pict>
      </w:r>
      <w:r>
        <w:rPr/>
        <w:pict>
          <v:group style="position:absolute;margin-left:330.670013pt;margin-top:286.72998pt;width:67.8pt;height:23.4pt;mso-position-horizontal-relative:page;mso-position-vertical-relative:page;z-index:-1093696" coordorigin="6613,5735" coordsize="1356,468">
            <v:shape style="position:absolute;left:6613;top:5735;width:1356;height:468" coordorigin="6613,5735" coordsize="1356,468" path="m6613,6203l7969,6203,7969,5735,6613,5735,6613,6203xe" filled="true" fillcolor="#ffffff" stroked="false">
              <v:path arrowok="t"/>
              <v:fill type="solid"/>
            </v:shape>
            <w10:wrap type="none"/>
          </v:group>
        </w:pict>
      </w:r>
      <w:r>
        <w:rPr/>
        <w:pict>
          <v:group style="position:absolute;margin-left:330.670013pt;margin-top:451.725983pt;width:67.8pt;height:23.45pt;mso-position-horizontal-relative:page;mso-position-vertical-relative:page;z-index:-1093672" coordorigin="6613,9035" coordsize="1356,469">
            <v:shape style="position:absolute;left:6613;top:9035;width:1356;height:469" coordorigin="6613,9035" coordsize="1356,469" path="m6613,9503l7969,9503,7969,9035,6613,9035,6613,9503xe" filled="true" fillcolor="#ffffff" stroked="false">
              <v:path arrowok="t"/>
              <v:fill type="solid"/>
            </v:shape>
            <w10:wrap type="none"/>
          </v:group>
        </w:pict>
      </w:r>
      <w:r>
        <w:rPr/>
        <w:pict>
          <v:group style="position:absolute;margin-left:330.670013pt;margin-top:518.589966pt;width:67.8pt;height:28.05pt;mso-position-horizontal-relative:page;mso-position-vertical-relative:page;z-index:-1093648" coordorigin="6613,10372" coordsize="1356,561">
            <v:group style="position:absolute;left:6613;top:10372;width:1356;height:156" coordorigin="6613,10372" coordsize="1356,156">
              <v:shape style="position:absolute;left:6613;top:10372;width:1356;height:156" coordorigin="6613,10372" coordsize="1356,156" path="m6613,10528l7969,10528,7969,10372,6613,10372,6613,10528xe" filled="true" fillcolor="#ffffff" stroked="false">
                <v:path arrowok="t"/>
                <v:fill type="solid"/>
              </v:shape>
            </v:group>
            <v:group style="position:absolute;left:6624;top:10528;width:2;height:394" coordorigin="6624,10528" coordsize="2,394">
              <v:shape style="position:absolute;left:6624;top:10528;width:2;height:394" coordorigin="6624,10528" coordsize="0,394" path="m6624,10528l6624,10921e" filled="false" stroked="true" strokeweight="1.08pt" strokecolor="#ffffff">
                <v:path arrowok="t"/>
              </v:shape>
            </v:group>
            <v:group style="position:absolute;left:6635;top:10528;width:1311;height:394" coordorigin="6635,10528" coordsize="1311,394">
              <v:shape style="position:absolute;left:6635;top:10528;width:1311;height:394" coordorigin="6635,10528" coordsize="1311,394" path="m6635,10921l7945,10921,7945,10528,6635,10528,6635,10921xe" filled="true" fillcolor="#ffffff" stroked="false">
                <v:path arrowok="t"/>
                <v:fill type="solid"/>
              </v:shape>
            </v:group>
            <w10:wrap type="none"/>
          </v:group>
        </w:pict>
      </w:r>
    </w:p>
    <w:p>
      <w:pPr>
        <w:spacing w:line="487" w:lineRule="auto" w:before="36"/>
        <w:ind w:left="152" w:right="8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4"/>
        <w:ind w:right="1133"/>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379"/>
        <w:gridCol w:w="989"/>
        <w:gridCol w:w="1366"/>
        <w:gridCol w:w="1366"/>
      </w:tblGrid>
      <w:tr>
        <w:trPr>
          <w:trHeight w:val="403"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355" w:hRule="exact"/>
        </w:trPr>
        <w:tc>
          <w:tcPr>
            <w:tcW w:w="13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苏州吴中恒久光</w:t>
            </w:r>
          </w:p>
        </w:tc>
        <w:tc>
          <w:tcPr>
            <w:tcW w:w="1369"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有机光导鼓系列</w:t>
            </w:r>
          </w:p>
        </w:tc>
        <w:tc>
          <w:tcPr>
            <w:tcW w:w="1368" w:type="dxa"/>
            <w:gridSpan w:val="2"/>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电子科技有限公</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江苏苏州</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江苏苏州</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产品的生产、销</w:t>
            </w:r>
          </w:p>
        </w:tc>
        <w:tc>
          <w:tcPr>
            <w:tcW w:w="1368"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56" w:hRule="exact"/>
        </w:trPr>
        <w:tc>
          <w:tcPr>
            <w:tcW w:w="13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69"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售</w:t>
            </w:r>
          </w:p>
        </w:tc>
        <w:tc>
          <w:tcPr>
            <w:tcW w:w="1368" w:type="dxa"/>
            <w:gridSpan w:val="2"/>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24" w:right="68"/>
              <w:jc w:val="left"/>
              <w:rPr>
                <w:rFonts w:ascii="Times New Roman" w:hAnsi="Times New Roman" w:cs="Times New Roman" w:eastAsia="Times New Roman" w:hint="default"/>
                <w:sz w:val="18"/>
                <w:szCs w:val="18"/>
              </w:rPr>
            </w:pPr>
            <w:r>
              <w:rPr>
                <w:rFonts w:ascii="Times New Roman"/>
                <w:sz w:val="18"/>
              </w:rPr>
              <w:t>GOLDENGREE N</w:t>
            </w:r>
            <w:r>
              <w:rPr>
                <w:rFonts w:ascii="Times New Roman"/>
                <w:w w:val="99"/>
                <w:sz w:val="18"/>
              </w:rPr>
              <w:t> </w:t>
            </w:r>
            <w:r>
              <w:rPr>
                <w:rFonts w:ascii="Times New Roman"/>
                <w:sz w:val="18"/>
              </w:rPr>
              <w:t>TECHNOLOGIE</w:t>
            </w:r>
            <w:r>
              <w:rPr>
                <w:rFonts w:ascii="Times New Roman"/>
                <w:w w:val="99"/>
                <w:sz w:val="18"/>
              </w:rPr>
              <w:t> </w:t>
            </w:r>
            <w:r>
              <w:rPr>
                <w:rFonts w:ascii="Times New Roman"/>
                <w:sz w:val="18"/>
              </w:rPr>
              <w:t>S EU</w:t>
            </w:r>
            <w:r>
              <w:rPr>
                <w:rFonts w:ascii="Times New Roman"/>
                <w:spacing w:val="-5"/>
                <w:sz w:val="18"/>
              </w:rPr>
              <w:t> </w:t>
            </w:r>
            <w:r>
              <w:rPr>
                <w:rFonts w:ascii="Times New Roman"/>
                <w:sz w:val="18"/>
              </w:rPr>
              <w:t>LIMITED</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英国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英国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6" w:right="70"/>
              <w:jc w:val="left"/>
              <w:rPr>
                <w:rFonts w:ascii="宋体" w:hAnsi="宋体" w:cs="宋体" w:eastAsia="宋体" w:hint="default"/>
                <w:sz w:val="18"/>
                <w:szCs w:val="18"/>
              </w:rPr>
            </w:pPr>
            <w:r>
              <w:rPr>
                <w:rFonts w:ascii="宋体" w:hAnsi="宋体" w:cs="宋体" w:eastAsia="宋体" w:hint="default"/>
                <w:sz w:val="18"/>
                <w:szCs w:val="18"/>
              </w:rPr>
              <w:t>办公设备、 耗材的进出口业 务</w:t>
            </w:r>
          </w:p>
        </w:tc>
        <w:tc>
          <w:tcPr>
            <w:tcW w:w="379" w:type="dxa"/>
            <w:tcBorders>
              <w:top w:val="single" w:sz="4" w:space="0" w:color="000000"/>
              <w:left w:val="single" w:sz="4" w:space="0" w:color="000000"/>
              <w:bottom w:val="single" w:sz="4" w:space="0" w:color="000000"/>
              <w:right w:val="nil" w:sz="6" w:space="0" w:color="auto"/>
            </w:tcBorders>
          </w:tcPr>
          <w:p>
            <w:pPr/>
          </w:p>
        </w:tc>
        <w:tc>
          <w:tcPr>
            <w:tcW w:w="9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65" w:hRule="exact"/>
        </w:trPr>
        <w:tc>
          <w:tcPr>
            <w:tcW w:w="13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GOLDENGREE</w:t>
            </w:r>
          </w:p>
        </w:tc>
        <w:tc>
          <w:tcPr>
            <w:tcW w:w="1369"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8" w:type="dxa"/>
            <w:gridSpan w:val="2"/>
            <w:vMerge w:val="restart"/>
            <w:tcBorders>
              <w:top w:val="single" w:sz="4" w:space="0" w:color="000000"/>
              <w:left w:val="single" w:sz="4" w:space="0" w:color="000000"/>
              <w:right w:val="single" w:sz="4" w:space="0" w:color="000000"/>
            </w:tcBorders>
          </w:tcPr>
          <w:p>
            <w:pPr>
              <w:pStyle w:val="TableParagraph"/>
              <w:spacing w:line="780" w:lineRule="exact"/>
              <w:ind w:left="2" w:right="-50"/>
              <w:jc w:val="left"/>
              <w:rPr>
                <w:rFonts w:ascii="宋体" w:hAnsi="宋体" w:cs="宋体" w:eastAsia="宋体" w:hint="default"/>
                <w:sz w:val="20"/>
                <w:szCs w:val="20"/>
              </w:rPr>
            </w:pPr>
            <w:r>
              <w:rPr>
                <w:rFonts w:ascii="宋体" w:hAnsi="宋体" w:cs="宋体" w:eastAsia="宋体" w:hint="default"/>
                <w:position w:val="-15"/>
                <w:sz w:val="20"/>
                <w:szCs w:val="20"/>
              </w:rPr>
              <w:pict>
                <v:group style="width:67.8pt;height:39pt;mso-position-horizontal-relative:char;mso-position-vertical-relative:line" coordorigin="0,0" coordsize="1356,780">
                  <v:group style="position:absolute;left:0;top:0;width:1356;height:780" coordorigin="0,0" coordsize="1356,780">
                    <v:shape style="position:absolute;left:0;top:0;width:1356;height:780" coordorigin="0,0" coordsize="1356,780" path="m0,780l1356,780,1356,0,0,0,0,780xe" filled="true" fillcolor="#ffffff" stroked="false">
                      <v:path arrowok="t"/>
                      <v:fill type="solid"/>
                    </v:shape>
                  </v:group>
                </v:group>
              </w:pict>
            </w:r>
            <w:r>
              <w:rPr>
                <w:rFonts w:ascii="宋体" w:hAnsi="宋体" w:cs="宋体" w:eastAsia="宋体" w:hint="default"/>
                <w:position w:val="-15"/>
                <w:sz w:val="20"/>
                <w:szCs w:val="20"/>
              </w:rPr>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9"/>
                <w:szCs w:val="29"/>
              </w:rPr>
            </w:pPr>
          </w:p>
        </w:tc>
        <w:tc>
          <w:tcPr>
            <w:tcW w:w="1366"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1248"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362" w:lineRule="auto" w:before="42"/>
              <w:ind w:left="24" w:right="68"/>
              <w:jc w:val="left"/>
              <w:rPr>
                <w:rFonts w:ascii="Times New Roman" w:hAnsi="Times New Roman" w:cs="Times New Roman" w:eastAsia="Times New Roman" w:hint="default"/>
                <w:sz w:val="18"/>
                <w:szCs w:val="18"/>
              </w:rPr>
            </w:pPr>
            <w:r>
              <w:rPr>
                <w:rFonts w:ascii="Times New Roman"/>
                <w:sz w:val="18"/>
              </w:rPr>
              <w:t>N</w:t>
            </w:r>
            <w:r>
              <w:rPr>
                <w:rFonts w:ascii="Times New Roman"/>
                <w:w w:val="99"/>
                <w:sz w:val="18"/>
              </w:rPr>
              <w:t> </w:t>
            </w:r>
            <w:r>
              <w:rPr>
                <w:rFonts w:ascii="Times New Roman"/>
                <w:sz w:val="18"/>
              </w:rPr>
              <w:t>TECHNOLOGIE</w:t>
            </w:r>
            <w:r>
              <w:rPr>
                <w:rFonts w:ascii="Times New Roman"/>
                <w:w w:val="99"/>
                <w:sz w:val="18"/>
              </w:rPr>
              <w:t> </w:t>
            </w:r>
            <w:r>
              <w:rPr>
                <w:rFonts w:ascii="Times New Roman"/>
                <w:sz w:val="18"/>
              </w:rPr>
              <w:t>S</w:t>
            </w:r>
            <w:r>
              <w:rPr>
                <w:rFonts w:ascii="Times New Roman"/>
                <w:w w:val="99"/>
                <w:sz w:val="18"/>
              </w:rPr>
              <w:t> </w:t>
            </w:r>
            <w:r>
              <w:rPr>
                <w:rFonts w:ascii="Times New Roman"/>
                <w:spacing w:val="-3"/>
                <w:sz w:val="18"/>
              </w:rPr>
              <w:t>INTERNATION</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英国</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英国</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316" w:lineRule="auto" w:before="156"/>
              <w:ind w:left="26" w:right="70"/>
              <w:jc w:val="left"/>
              <w:rPr>
                <w:rFonts w:ascii="宋体" w:hAnsi="宋体" w:cs="宋体" w:eastAsia="宋体" w:hint="default"/>
                <w:sz w:val="18"/>
                <w:szCs w:val="18"/>
              </w:rPr>
            </w:pPr>
            <w:r>
              <w:rPr>
                <w:rFonts w:ascii="宋体" w:hAnsi="宋体" w:cs="宋体" w:eastAsia="宋体" w:hint="default"/>
                <w:sz w:val="18"/>
                <w:szCs w:val="18"/>
              </w:rPr>
              <w:t>办公设备、 耗材的进出口业 务</w:t>
            </w:r>
          </w:p>
        </w:tc>
        <w:tc>
          <w:tcPr>
            <w:tcW w:w="1368" w:type="dxa"/>
            <w:gridSpan w:val="2"/>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1"/>
                <w:szCs w:val="21"/>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50" w:hRule="exact"/>
        </w:trPr>
        <w:tc>
          <w:tcPr>
            <w:tcW w:w="13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left="24" w:right="0"/>
              <w:jc w:val="left"/>
              <w:rPr>
                <w:rFonts w:ascii="Times New Roman" w:hAnsi="Times New Roman" w:cs="Times New Roman" w:eastAsia="Times New Roman" w:hint="default"/>
                <w:sz w:val="18"/>
                <w:szCs w:val="18"/>
              </w:rPr>
            </w:pPr>
            <w:r>
              <w:rPr>
                <w:rFonts w:ascii="Times New Roman"/>
                <w:sz w:val="18"/>
              </w:rPr>
              <w:t>AL</w:t>
            </w:r>
            <w:r>
              <w:rPr>
                <w:rFonts w:ascii="Times New Roman"/>
                <w:spacing w:val="-12"/>
                <w:sz w:val="18"/>
              </w:rPr>
              <w:t> </w:t>
            </w:r>
            <w:r>
              <w:rPr>
                <w:rFonts w:ascii="Times New Roman"/>
                <w:sz w:val="18"/>
              </w:rPr>
              <w:t>LIMITED</w:t>
            </w:r>
          </w:p>
        </w:tc>
        <w:tc>
          <w:tcPr>
            <w:tcW w:w="1369"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8" w:type="dxa"/>
            <w:gridSpan w:val="2"/>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24" w:right="535"/>
              <w:jc w:val="left"/>
              <w:rPr>
                <w:rFonts w:ascii="Times New Roman" w:hAnsi="Times New Roman" w:cs="Times New Roman" w:eastAsia="Times New Roman" w:hint="default"/>
                <w:sz w:val="18"/>
                <w:szCs w:val="18"/>
              </w:rPr>
            </w:pPr>
            <w:r>
              <w:rPr>
                <w:rFonts w:ascii="Times New Roman"/>
                <w:sz w:val="18"/>
              </w:rPr>
              <w:t>GLOBAL</w:t>
            </w:r>
            <w:r>
              <w:rPr>
                <w:rFonts w:ascii="Times New Roman"/>
                <w:w w:val="99"/>
                <w:sz w:val="18"/>
              </w:rPr>
              <w:t> </w:t>
            </w:r>
            <w:r>
              <w:rPr>
                <w:rFonts w:ascii="Times New Roman"/>
                <w:sz w:val="18"/>
              </w:rPr>
              <w:t>IMAGING</w:t>
            </w:r>
            <w:r>
              <w:rPr>
                <w:rFonts w:ascii="Times New Roman"/>
                <w:w w:val="99"/>
                <w:sz w:val="18"/>
              </w:rPr>
              <w:t> </w:t>
            </w:r>
            <w:r>
              <w:rPr>
                <w:rFonts w:ascii="Times New Roman"/>
                <w:sz w:val="18"/>
              </w:rPr>
              <w:t>SYSTEM</w:t>
            </w:r>
            <w:r>
              <w:rPr>
                <w:rFonts w:ascii="Times New Roman"/>
                <w:w w:val="99"/>
                <w:sz w:val="18"/>
              </w:rPr>
              <w:t> </w:t>
            </w:r>
            <w:r>
              <w:rPr>
                <w:rFonts w:ascii="Times New Roman"/>
                <w:sz w:val="18"/>
              </w:rPr>
              <w:t>LIMITED</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6" w:right="70"/>
              <w:jc w:val="left"/>
              <w:rPr>
                <w:rFonts w:ascii="宋体" w:hAnsi="宋体" w:cs="宋体" w:eastAsia="宋体" w:hint="default"/>
                <w:sz w:val="18"/>
                <w:szCs w:val="18"/>
              </w:rPr>
            </w:pPr>
            <w:r>
              <w:rPr>
                <w:rFonts w:ascii="宋体" w:hAnsi="宋体" w:cs="宋体" w:eastAsia="宋体" w:hint="default"/>
                <w:sz w:val="18"/>
                <w:szCs w:val="18"/>
              </w:rPr>
              <w:t>办公设备、 耗材的进出口业 务</w:t>
            </w:r>
          </w:p>
        </w:tc>
        <w:tc>
          <w:tcPr>
            <w:tcW w:w="379" w:type="dxa"/>
            <w:tcBorders>
              <w:top w:val="single" w:sz="4" w:space="0" w:color="000000"/>
              <w:left w:val="single" w:sz="4" w:space="0" w:color="000000"/>
              <w:bottom w:val="single" w:sz="4" w:space="0" w:color="000000"/>
              <w:right w:val="nil" w:sz="6" w:space="0" w:color="auto"/>
            </w:tcBorders>
          </w:tcPr>
          <w:p>
            <w:pPr/>
          </w:p>
        </w:tc>
        <w:tc>
          <w:tcPr>
            <w:tcW w:w="9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苏州恒久数码科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江苏苏州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江苏苏州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08"/>
              <w:jc w:val="left"/>
              <w:rPr>
                <w:rFonts w:ascii="宋体" w:hAnsi="宋体" w:cs="宋体" w:eastAsia="宋体" w:hint="default"/>
                <w:sz w:val="18"/>
                <w:szCs w:val="18"/>
              </w:rPr>
            </w:pPr>
            <w:r>
              <w:rPr>
                <w:rFonts w:ascii="宋体" w:hAnsi="宋体" w:cs="宋体" w:eastAsia="宋体" w:hint="default"/>
                <w:spacing w:val="-6"/>
                <w:sz w:val="18"/>
                <w:szCs w:val="18"/>
              </w:rPr>
              <w:t>办公设备、部件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耗材的销售</w:t>
            </w:r>
          </w:p>
        </w:tc>
        <w:tc>
          <w:tcPr>
            <w:tcW w:w="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121" w:right="0"/>
              <w:jc w:val="left"/>
              <w:rPr>
                <w:rFonts w:ascii="宋体" w:hAnsi="宋体" w:cs="宋体" w:eastAsia="宋体" w:hint="default"/>
                <w:sz w:val="18"/>
                <w:szCs w:val="18"/>
              </w:rPr>
            </w:pPr>
            <w:r>
              <w:rPr>
                <w:rFonts w:ascii="宋体" w:hAnsi="宋体" w:cs="宋体" w:eastAsia="宋体" w:hint="default"/>
                <w:sz w:val="18"/>
                <w:szCs w:val="18"/>
              </w:rPr>
              <w:t>、</w:t>
            </w:r>
          </w:p>
        </w:tc>
        <w:tc>
          <w:tcPr>
            <w:tcW w:w="9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4" w:right="75"/>
              <w:jc w:val="left"/>
              <w:rPr>
                <w:rFonts w:ascii="宋体" w:hAnsi="宋体" w:cs="宋体" w:eastAsia="宋体" w:hint="default"/>
                <w:sz w:val="18"/>
                <w:szCs w:val="18"/>
              </w:rPr>
            </w:pPr>
            <w:r>
              <w:rPr>
                <w:rFonts w:ascii="宋体" w:hAnsi="宋体" w:cs="宋体" w:eastAsia="宋体" w:hint="default"/>
                <w:sz w:val="18"/>
                <w:szCs w:val="18"/>
              </w:rPr>
              <w:t>苏州恒久商业保 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江苏苏州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江苏苏州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以受让应收账款 的方式提供贸易 融资等</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55" w:hRule="exact"/>
        </w:trPr>
        <w:tc>
          <w:tcPr>
            <w:tcW w:w="1371"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对高新技术产业</w:t>
            </w:r>
          </w:p>
        </w:tc>
        <w:tc>
          <w:tcPr>
            <w:tcW w:w="1368" w:type="dxa"/>
            <w:gridSpan w:val="2"/>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937"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苏州恒久高新产 业发展有限公司</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江苏苏州</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江苏苏州</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6" w:right="70"/>
              <w:jc w:val="left"/>
              <w:rPr>
                <w:rFonts w:ascii="宋体" w:hAnsi="宋体" w:cs="宋体" w:eastAsia="宋体" w:hint="default"/>
                <w:sz w:val="18"/>
                <w:szCs w:val="18"/>
              </w:rPr>
            </w:pPr>
            <w:r>
              <w:rPr>
                <w:rFonts w:ascii="宋体" w:hAnsi="宋体" w:cs="宋体" w:eastAsia="宋体" w:hint="default"/>
                <w:sz w:val="18"/>
                <w:szCs w:val="18"/>
              </w:rPr>
              <w:t>和战略新兴产业 进行投资与管 理、实业投资、</w:t>
            </w:r>
          </w:p>
        </w:tc>
        <w:tc>
          <w:tcPr>
            <w:tcW w:w="1368"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60" w:hRule="exact"/>
        </w:trPr>
        <w:tc>
          <w:tcPr>
            <w:tcW w:w="1371"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股权投资</w:t>
            </w:r>
          </w:p>
        </w:tc>
        <w:tc>
          <w:tcPr>
            <w:tcW w:w="1368" w:type="dxa"/>
            <w:gridSpan w:val="2"/>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4" w:hRule="exact"/>
        </w:trPr>
        <w:tc>
          <w:tcPr>
            <w:tcW w:w="1371"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影像科技、互联</w:t>
            </w:r>
          </w:p>
        </w:tc>
        <w:tc>
          <w:tcPr>
            <w:tcW w:w="1368" w:type="dxa"/>
            <w:gridSpan w:val="2"/>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935"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316" w:lineRule="auto" w:before="146"/>
              <w:ind w:left="24" w:right="75"/>
              <w:jc w:val="left"/>
              <w:rPr>
                <w:rFonts w:ascii="宋体" w:hAnsi="宋体" w:cs="宋体" w:eastAsia="宋体" w:hint="default"/>
                <w:sz w:val="18"/>
                <w:szCs w:val="18"/>
              </w:rPr>
            </w:pPr>
            <w:r>
              <w:rPr>
                <w:rFonts w:ascii="宋体" w:hAnsi="宋体" w:cs="宋体" w:eastAsia="宋体" w:hint="default"/>
                <w:sz w:val="18"/>
                <w:szCs w:val="18"/>
              </w:rPr>
              <w:t>苏州恒久影像科 技有限公司</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江苏苏州</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江苏苏州</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6" w:right="70"/>
              <w:jc w:val="both"/>
              <w:rPr>
                <w:rFonts w:ascii="宋体" w:hAnsi="宋体" w:cs="宋体" w:eastAsia="宋体" w:hint="default"/>
                <w:sz w:val="18"/>
                <w:szCs w:val="18"/>
              </w:rPr>
            </w:pPr>
            <w:r>
              <w:rPr>
                <w:rFonts w:ascii="宋体" w:hAnsi="宋体" w:cs="宋体" w:eastAsia="宋体" w:hint="default"/>
                <w:sz w:val="18"/>
                <w:szCs w:val="18"/>
              </w:rPr>
              <w:t>网科技、信息科 技、计算机软硬 件科技领域内的</w:t>
            </w:r>
          </w:p>
        </w:tc>
        <w:tc>
          <w:tcPr>
            <w:tcW w:w="1368"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1" w:hRule="exact"/>
        </w:trPr>
        <w:tc>
          <w:tcPr>
            <w:tcW w:w="1371"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技术开发、技术</w:t>
            </w:r>
          </w:p>
        </w:tc>
        <w:tc>
          <w:tcPr>
            <w:tcW w:w="1368" w:type="dxa"/>
            <w:gridSpan w:val="2"/>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8"/>
        <w:rPr>
          <w:rFonts w:ascii="宋体" w:hAnsi="宋体" w:cs="宋体" w:eastAsia="宋体" w:hint="default"/>
          <w:b/>
          <w:bCs/>
          <w:sz w:val="24"/>
          <w:szCs w:val="24"/>
        </w:rPr>
      </w:pPr>
      <w:r>
        <w:rPr/>
        <w:pict>
          <v:shape style="position:absolute;margin-left:288.53299pt;margin-top:72.475983pt;width:109.95pt;height:33.3pt;mso-position-horizontal-relative:page;mso-position-vertical-relative:page;z-index:-1093600" type="#_x0000_t202" filled="false" stroked="false">
            <v:textbox inset="0,0,0,0">
              <w:txbxContent>
                <w:p>
                  <w:pPr>
                    <w:pStyle w:val="BodyText"/>
                    <w:spacing w:line="240" w:lineRule="auto" w:before="8"/>
                    <w:ind w:left="0" w:right="0"/>
                    <w:jc w:val="left"/>
                  </w:pPr>
                  <w:r>
                    <w:rPr/>
                    <w:t>技术转让、</w:t>
                  </w:r>
                </w:p>
              </w:txbxContent>
            </v:textbox>
            <w10:wrap type="none"/>
          </v:shape>
        </w:pict>
      </w:r>
      <w:r>
        <w:rPr/>
        <w:pict>
          <v:group style="position:absolute;margin-left:330.670013pt;margin-top:487.509979pt;width:67.8pt;height:43.65pt;mso-position-horizontal-relative:page;mso-position-vertical-relative:page;z-index:-1093576" coordorigin="6613,9750" coordsize="1356,873">
            <v:group style="position:absolute;left:6613;top:9750;width:1356;height:468" coordorigin="6613,9750" coordsize="1356,468">
              <v:shape style="position:absolute;left:6613;top:9750;width:1356;height:468" coordorigin="6613,9750" coordsize="1356,468" path="m6613,10218l7969,10218,7969,9750,6613,9750,6613,10218xe" filled="true" fillcolor="#ffffff" stroked="false">
                <v:path arrowok="t"/>
                <v:fill type="solid"/>
              </v:shape>
            </v:group>
            <v:group style="position:absolute;left:6624;top:10218;width:2;height:394" coordorigin="6624,10218" coordsize="2,394">
              <v:shape style="position:absolute;left:6624;top:10218;width:2;height:394" coordorigin="6624,10218" coordsize="0,394" path="m6624,10218l6624,10612e" filled="false" stroked="true" strokeweight="1.08pt" strokecolor="#ffffff">
                <v:path arrowok="t"/>
              </v:shape>
            </v:group>
            <v:group style="position:absolute;left:6635;top:10218;width:1311;height:394" coordorigin="6635,10218" coordsize="1311,394">
              <v:shape style="position:absolute;left:6635;top:10218;width:1311;height:394" coordorigin="6635,10218" coordsize="1311,394" path="m6635,10612l7945,10612,7945,10218,6635,10218,6635,10612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675" w:hRule="exact"/>
        </w:trPr>
        <w:tc>
          <w:tcPr>
            <w:tcW w:w="137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6" w:right="610"/>
              <w:jc w:val="left"/>
              <w:rPr>
                <w:rFonts w:ascii="宋体" w:hAnsi="宋体" w:cs="宋体" w:eastAsia="宋体" w:hint="default"/>
                <w:sz w:val="18"/>
                <w:szCs w:val="18"/>
              </w:rPr>
            </w:pPr>
            <w:r>
              <w:rPr>
                <w:rFonts w:ascii="宋体" w:hAnsi="宋体" w:cs="宋体" w:eastAsia="宋体" w:hint="default"/>
                <w:sz w:val="18"/>
                <w:szCs w:val="18"/>
              </w:rPr>
              <w:t>咨询、 技术服务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665" w:lineRule="exact"/>
              <w:ind w:left="2" w:right="-50"/>
              <w:jc w:val="left"/>
              <w:rPr>
                <w:rFonts w:ascii="宋体" w:hAnsi="宋体" w:cs="宋体" w:eastAsia="宋体" w:hint="default"/>
                <w:sz w:val="20"/>
                <w:szCs w:val="20"/>
              </w:rPr>
            </w:pPr>
            <w:r>
              <w:rPr>
                <w:rFonts w:ascii="宋体" w:hAnsi="宋体" w:cs="宋体" w:eastAsia="宋体" w:hint="default"/>
                <w:position w:val="-12"/>
                <w:sz w:val="20"/>
                <w:szCs w:val="20"/>
              </w:rPr>
              <w:pict>
                <v:group style="width:67.8pt;height:33.3pt;mso-position-horizontal-relative:char;mso-position-vertical-relative:line" coordorigin="0,0" coordsize="1356,666">
                  <v:group style="position:absolute;left:0;top:0;width:1356;height:666" coordorigin="0,0" coordsize="1356,666">
                    <v:shape style="position:absolute;left:0;top:0;width:1356;height:666" coordorigin="0,0" coordsize="1356,666" path="m0,665l1356,665,1356,0,0,0,0,665xe" filled="true" fillcolor="#ffffff" stroked="false">
                      <v:path arrowok="t"/>
                      <v:fill type="solid"/>
                    </v:shape>
                  </v:group>
                </v:group>
              </w:pict>
            </w:r>
            <w:r>
              <w:rPr>
                <w:rFonts w:ascii="宋体" w:hAnsi="宋体" w:cs="宋体" w:eastAsia="宋体" w:hint="default"/>
                <w:position w:val="-12"/>
                <w:sz w:val="20"/>
                <w:szCs w:val="20"/>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苏州恒久丰德新 能源技术有限公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江苏苏州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江苏苏州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6" w:right="70"/>
              <w:jc w:val="left"/>
              <w:rPr>
                <w:rFonts w:ascii="宋体" w:hAnsi="宋体" w:cs="宋体" w:eastAsia="宋体" w:hint="default"/>
                <w:sz w:val="18"/>
                <w:szCs w:val="18"/>
              </w:rPr>
            </w:pPr>
            <w:r>
              <w:rPr>
                <w:rFonts w:ascii="宋体" w:hAnsi="宋体" w:cs="宋体" w:eastAsia="宋体" w:hint="default"/>
                <w:sz w:val="18"/>
                <w:szCs w:val="18"/>
              </w:rPr>
              <w:t>新能源的技术研 发、技术咨询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52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1"/>
                <w:szCs w:val="21"/>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福建省闽保信息 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福建福州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福建福州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计算机软硬件开 发、设计及安装 施工；电子与智 能化工程的设计 与施工；在线数 据处理与交易处 理业务；安防工 程的设计与施 工；计算机系统 集成服务；档案 数字化服务等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71.26%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福建闽保信安信 息技术有限公司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福建福州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福建福州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计算机信息技术 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71.26%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165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福建闽保军安电 子科技有限公司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福建龙岩</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福建龙岩</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电子通信、电子 仪器设备、机电 设备、通信设备 研发生产加工制 造等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71.26%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北京宏图金信信 息技术有限公司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技术推广服务等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71.26%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133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4" w:right="75"/>
              <w:jc w:val="left"/>
              <w:rPr>
                <w:rFonts w:ascii="宋体" w:hAnsi="宋体" w:cs="宋体" w:eastAsia="宋体" w:hint="default"/>
                <w:sz w:val="18"/>
                <w:szCs w:val="18"/>
              </w:rPr>
            </w:pPr>
            <w:r>
              <w:rPr>
                <w:rFonts w:ascii="宋体" w:hAnsi="宋体" w:cs="宋体" w:eastAsia="宋体" w:hint="default"/>
                <w:sz w:val="18"/>
                <w:szCs w:val="18"/>
              </w:rPr>
              <w:t>北京中安嘉盛信 息技术有限公司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技术开发、技术 </w:t>
            </w:r>
            <w:r>
              <w:rPr>
                <w:rFonts w:ascii="宋体" w:hAnsi="宋体" w:cs="宋体" w:eastAsia="宋体" w:hint="default"/>
                <w:spacing w:val="-6"/>
                <w:sz w:val="18"/>
                <w:szCs w:val="18"/>
              </w:rPr>
              <w:t>转让、技术咨询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技术服务、技术 推广等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21" w:right="0"/>
              <w:jc w:val="left"/>
              <w:rPr>
                <w:rFonts w:ascii="宋体" w:hAnsi="宋体" w:cs="宋体" w:eastAsia="宋体" w:hint="default"/>
                <w:sz w:val="18"/>
                <w:szCs w:val="18"/>
              </w:rPr>
            </w:pPr>
            <w:r>
              <w:rPr>
                <w:rFonts w:ascii="宋体" w:hAnsi="宋体" w:cs="宋体" w:eastAsia="宋体"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71.26%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164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湖南超互信息技 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湖南长沙</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湖南长沙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信息系统集成、 计算机硬件开 发、网络技术的 研发、信息技术 咨询服务等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71.26%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r>
    </w:tbl>
    <w:p>
      <w:pPr>
        <w:pStyle w:val="BodyText"/>
        <w:spacing w:line="360" w:lineRule="auto" w:before="49"/>
        <w:ind w:right="6974"/>
        <w:jc w:val="left"/>
      </w:pPr>
      <w:r>
        <w:rPr/>
        <w:t>在子公司的持股比例不同于表决权比例的说明： 不适用。</w:t>
      </w:r>
    </w:p>
    <w:p>
      <w:pPr>
        <w:pStyle w:val="BodyText"/>
        <w:spacing w:line="357" w:lineRule="auto" w:before="27"/>
        <w:ind w:right="2834"/>
        <w:jc w:val="left"/>
      </w:pPr>
      <w:r>
        <w:rPr/>
        <w:t>持有半数或以下表决权但仍控制被投资单位、以及持有半数以上表决权但不控制被投资单位的依据： 不适用。</w:t>
      </w:r>
    </w:p>
    <w:p>
      <w:pPr>
        <w:pStyle w:val="BodyText"/>
        <w:spacing w:line="357" w:lineRule="auto" w:before="29"/>
        <w:ind w:right="6434"/>
        <w:jc w:val="left"/>
      </w:pPr>
      <w:r>
        <w:rPr/>
        <w:t>对于纳入合并范围的重要的结构化主体，控制的依据： 不适用。</w:t>
      </w:r>
    </w:p>
    <w:p>
      <w:pPr>
        <w:pStyle w:val="BodyText"/>
        <w:spacing w:line="240" w:lineRule="auto" w:before="29"/>
        <w:ind w:right="1133"/>
        <w:jc w:val="left"/>
      </w:pPr>
      <w:r>
        <w:rPr/>
        <w:t>确定公司是代理人还是委托人的依据：</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360" w:lineRule="auto" w:before="44"/>
        <w:ind w:right="9854"/>
        <w:jc w:val="left"/>
      </w:pPr>
      <w:r>
        <w:rPr/>
        <w:t>不适用。 其他说明：</w:t>
      </w:r>
    </w:p>
    <w:p>
      <w:pPr>
        <w:pStyle w:val="BodyText"/>
        <w:spacing w:line="451" w:lineRule="auto" w:before="104"/>
        <w:ind w:left="513" w:right="1131" w:hanging="361"/>
        <w:jc w:val="left"/>
      </w:pPr>
      <w:r>
        <w:rPr>
          <w:rFonts w:ascii="Times New Roman" w:hAnsi="Times New Roman" w:cs="Times New Roman" w:eastAsia="Times New Roman" w:hint="default"/>
        </w:rPr>
        <w:t>1</w:t>
      </w:r>
      <w:r>
        <w:rPr/>
        <w:t>、</w:t>
      </w:r>
      <w:r>
        <w:rPr>
          <w:spacing w:val="-12"/>
        </w:rPr>
        <w:t> </w:t>
      </w:r>
      <w:r>
        <w:rPr/>
        <w:t>本公司直接持有</w:t>
      </w:r>
      <w:r>
        <w:rPr>
          <w:rFonts w:ascii="Times New Roman" w:hAnsi="Times New Roman" w:cs="Times New Roman" w:eastAsia="Times New Roman" w:hint="default"/>
        </w:rPr>
        <w:t>GOLDENGREEN</w:t>
      </w:r>
      <w:r>
        <w:rPr>
          <w:rFonts w:ascii="Times New Roman" w:hAnsi="Times New Roman" w:cs="Times New Roman" w:eastAsia="Times New Roman" w:hint="default"/>
          <w:spacing w:val="-6"/>
        </w:rPr>
        <w:t> </w:t>
      </w:r>
      <w:r>
        <w:rPr>
          <w:rFonts w:ascii="Times New Roman" w:hAnsi="Times New Roman" w:cs="Times New Roman" w:eastAsia="Times New Roman" w:hint="default"/>
        </w:rPr>
        <w:t>TECHNOLOGIES</w:t>
      </w:r>
      <w:r>
        <w:rPr>
          <w:rFonts w:ascii="Times New Roman" w:hAnsi="Times New Roman" w:cs="Times New Roman" w:eastAsia="Times New Roman" w:hint="default"/>
          <w:spacing w:val="-5"/>
        </w:rPr>
        <w:t> </w:t>
      </w:r>
      <w:r>
        <w:rPr>
          <w:rFonts w:ascii="Times New Roman" w:hAnsi="Times New Roman" w:cs="Times New Roman" w:eastAsia="Times New Roman" w:hint="default"/>
        </w:rPr>
        <w:t>EU</w:t>
      </w:r>
      <w:r>
        <w:rPr>
          <w:rFonts w:ascii="Times New Roman" w:hAnsi="Times New Roman" w:cs="Times New Roman" w:eastAsia="Times New Roman" w:hint="default"/>
          <w:spacing w:val="-6"/>
        </w:rPr>
        <w:t> </w:t>
      </w:r>
      <w:r>
        <w:rPr>
          <w:rFonts w:ascii="Times New Roman" w:hAnsi="Times New Roman" w:cs="Times New Roman" w:eastAsia="Times New Roman" w:hint="default"/>
        </w:rPr>
        <w:t>LIMITED</w:t>
      </w:r>
      <w:r>
        <w:rPr>
          <w:rFonts w:ascii="Times New Roman" w:hAnsi="Times New Roman" w:cs="Times New Roman" w:eastAsia="Times New Roman" w:hint="default"/>
          <w:spacing w:val="-6"/>
        </w:rPr>
        <w:t> </w:t>
      </w:r>
      <w:r>
        <w:rPr>
          <w:rFonts w:ascii="Times New Roman" w:hAnsi="Times New Roman" w:cs="Times New Roman" w:eastAsia="Times New Roman" w:hint="default"/>
        </w:rPr>
        <w:t>100%</w:t>
      </w:r>
      <w:r>
        <w:rPr/>
        <w:t>的股权，</w:t>
      </w:r>
      <w:r>
        <w:rPr>
          <w:rFonts w:ascii="Times New Roman" w:hAnsi="Times New Roman" w:cs="Times New Roman" w:eastAsia="Times New Roman" w:hint="default"/>
        </w:rPr>
        <w:t>GOLDENGREEN</w:t>
      </w:r>
      <w:r>
        <w:rPr>
          <w:rFonts w:ascii="Times New Roman" w:hAnsi="Times New Roman" w:cs="Times New Roman" w:eastAsia="Times New Roman" w:hint="default"/>
          <w:spacing w:val="-6"/>
        </w:rPr>
        <w:t> </w:t>
      </w:r>
      <w:r>
        <w:rPr>
          <w:rFonts w:ascii="Times New Roman" w:hAnsi="Times New Roman" w:cs="Times New Roman" w:eastAsia="Times New Roman" w:hint="default"/>
        </w:rPr>
        <w:t>TECHNOLOGIES</w:t>
      </w:r>
      <w:r>
        <w:rPr>
          <w:rFonts w:ascii="Times New Roman" w:hAnsi="Times New Roman" w:cs="Times New Roman" w:eastAsia="Times New Roman" w:hint="default"/>
          <w:spacing w:val="-5"/>
        </w:rPr>
        <w:t> </w:t>
      </w:r>
      <w:r>
        <w:rPr>
          <w:rFonts w:ascii="Times New Roman" w:hAnsi="Times New Roman" w:cs="Times New Roman" w:eastAsia="Times New Roman" w:hint="default"/>
        </w:rPr>
        <w:t>EU</w:t>
      </w:r>
      <w:r>
        <w:rPr>
          <w:rFonts w:ascii="Times New Roman" w:hAnsi="Times New Roman" w:cs="Times New Roman" w:eastAsia="Times New Roman" w:hint="default"/>
          <w:w w:val="99"/>
        </w:rPr>
        <w:t> </w:t>
      </w:r>
      <w:r>
        <w:rPr>
          <w:rFonts w:ascii="Times New Roman" w:hAnsi="Times New Roman" w:cs="Times New Roman" w:eastAsia="Times New Roman" w:hint="default"/>
        </w:rPr>
        <w:t>LIMITED</w:t>
      </w:r>
      <w:r>
        <w:rPr/>
        <w:t>直接持有</w:t>
      </w:r>
      <w:r>
        <w:rPr>
          <w:rFonts w:ascii="Times New Roman" w:hAnsi="Times New Roman" w:cs="Times New Roman" w:eastAsia="Times New Roman" w:hint="default"/>
        </w:rPr>
        <w:t>GOLDENGREEN TECHNOLOGIES INTERNATIONAL LIMITED</w:t>
      </w:r>
      <w:r>
        <w:rPr>
          <w:rFonts w:ascii="Times New Roman" w:hAnsi="Times New Roman" w:cs="Times New Roman" w:eastAsia="Times New Roman" w:hint="default"/>
          <w:spacing w:val="-5"/>
        </w:rPr>
        <w:t> </w:t>
      </w:r>
      <w:r>
        <w:rPr>
          <w:rFonts w:ascii="Times New Roman" w:hAnsi="Times New Roman" w:cs="Times New Roman" w:eastAsia="Times New Roman" w:hint="default"/>
        </w:rPr>
        <w:t>100%</w:t>
      </w:r>
      <w:r>
        <w:rPr/>
        <w:t>的股权，故本公司间接持有 </w:t>
      </w:r>
      <w:r>
        <w:rPr>
          <w:rFonts w:ascii="Times New Roman" w:hAnsi="Times New Roman" w:cs="Times New Roman" w:eastAsia="Times New Roman" w:hint="default"/>
        </w:rPr>
        <w:t>GOLDENGREEN TECHNOLOGIES INTERNATIONAL LIMITED</w:t>
      </w:r>
      <w:r>
        <w:rPr>
          <w:rFonts w:ascii="Times New Roman" w:hAnsi="Times New Roman" w:cs="Times New Roman" w:eastAsia="Times New Roman" w:hint="default"/>
          <w:spacing w:val="-9"/>
        </w:rPr>
        <w:t> </w:t>
      </w:r>
      <w:r>
        <w:rPr>
          <w:rFonts w:ascii="Times New Roman" w:hAnsi="Times New Roman" w:cs="Times New Roman" w:eastAsia="Times New Roman" w:hint="default"/>
        </w:rPr>
        <w:t>100%</w:t>
      </w:r>
      <w:r>
        <w:rPr/>
        <w:t>的股权。</w:t>
      </w:r>
    </w:p>
    <w:p>
      <w:pPr>
        <w:pStyle w:val="BodyText"/>
        <w:spacing w:line="458" w:lineRule="auto" w:before="43"/>
        <w:ind w:left="513" w:right="1032" w:hanging="361"/>
        <w:jc w:val="left"/>
      </w:pPr>
      <w:r>
        <w:rPr>
          <w:rFonts w:ascii="Times New Roman" w:hAnsi="Times New Roman" w:cs="Times New Roman" w:eastAsia="Times New Roman" w:hint="default"/>
        </w:rPr>
        <w:t>2</w:t>
      </w:r>
      <w:r>
        <w:rPr/>
        <w:t>、</w:t>
      </w:r>
      <w:r>
        <w:rPr>
          <w:spacing w:val="-2"/>
        </w:rPr>
        <w:t> </w:t>
      </w:r>
      <w:r>
        <w:rPr/>
        <w:t>本公司直接持有福建省闽保信息技术有限公司</w:t>
      </w:r>
      <w:r>
        <w:rPr>
          <w:rFonts w:ascii="Times New Roman" w:hAnsi="Times New Roman" w:cs="Times New Roman" w:eastAsia="Times New Roman" w:hint="default"/>
        </w:rPr>
        <w:t>71.26%</w:t>
      </w:r>
      <w:r>
        <w:rPr/>
        <w:t>的股权，福建省闽保信息技术有限公司直接持有福建闽保信安信 </w:t>
      </w:r>
      <w:r>
        <w:rPr>
          <w:spacing w:val="-4"/>
        </w:rPr>
        <w:t>息技术有限公司、福建闽保军安电子科技有限公司、北京宏图金信信息技术有限公司、北京中安嘉盛信息技术有限公司、</w:t>
      </w:r>
      <w:r>
        <w:rPr/>
        <w:t> 湖南超互信息技术有限公司</w:t>
      </w:r>
      <w:r>
        <w:rPr>
          <w:rFonts w:ascii="Times New Roman" w:hAnsi="Times New Roman" w:cs="Times New Roman" w:eastAsia="Times New Roman" w:hint="default"/>
        </w:rPr>
        <w:t>100%</w:t>
      </w:r>
      <w:r>
        <w:rPr/>
        <w:t>的股权，故本公司间接持有福建闽保信安信息技术有限公司、福建闽保军安电子科技 有限公司、北京宏图金信信息技术有限公司、北京中安嘉盛信息技术有限公司、湖南超互信息技术有限公司</w:t>
      </w:r>
      <w:r>
        <w:rPr>
          <w:rFonts w:ascii="Times New Roman" w:hAnsi="Times New Roman" w:cs="Times New Roman" w:eastAsia="Times New Roman" w:hint="default"/>
        </w:rPr>
        <w:t>71.26%</w:t>
      </w:r>
      <w:r>
        <w:rPr/>
        <w:t>的 股权。</w:t>
      </w:r>
    </w:p>
    <w:p>
      <w:pPr>
        <w:pStyle w:val="BodyText"/>
        <w:spacing w:line="240" w:lineRule="auto" w:before="68"/>
        <w:ind w:right="1133"/>
        <w:jc w:val="left"/>
      </w:pPr>
      <w:r>
        <w:rPr>
          <w:rFonts w:ascii="Times New Roman" w:hAnsi="Times New Roman" w:cs="Times New Roman" w:eastAsia="Times New Roman" w:hint="default"/>
        </w:rPr>
        <w:t>3</w:t>
      </w:r>
      <w:r>
        <w:rPr/>
        <w:t>、</w:t>
      </w:r>
      <w:r>
        <w:rPr>
          <w:spacing w:val="2"/>
        </w:rPr>
        <w:t> </w:t>
      </w:r>
      <w:r>
        <w:rPr/>
        <w:t>北京中安嘉盛信息技术有限公司于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月注销。</w:t>
      </w:r>
    </w:p>
    <w:p>
      <w:pPr>
        <w:spacing w:line="240" w:lineRule="auto" w:before="9"/>
        <w:rPr>
          <w:rFonts w:ascii="宋体" w:hAnsi="宋体" w:cs="宋体" w:eastAsia="宋体" w:hint="default"/>
          <w:sz w:val="16"/>
          <w:szCs w:val="16"/>
        </w:rPr>
      </w:pPr>
    </w:p>
    <w:p>
      <w:pPr>
        <w:pStyle w:val="BodyText"/>
        <w:spacing w:line="240" w:lineRule="auto"/>
        <w:ind w:right="1133"/>
        <w:jc w:val="left"/>
      </w:pPr>
      <w:r>
        <w:rPr>
          <w:rFonts w:ascii="Times New Roman" w:hAnsi="Times New Roman" w:cs="Times New Roman" w:eastAsia="Times New Roman" w:hint="default"/>
        </w:rPr>
        <w:t>4</w:t>
      </w:r>
      <w:r>
        <w:rPr/>
        <w:t>、</w:t>
      </w:r>
      <w:r>
        <w:rPr>
          <w:spacing w:val="-5"/>
        </w:rPr>
        <w:t> </w:t>
      </w:r>
      <w:r>
        <w:rPr/>
        <w:t>福建省闽保信息技术有限公司广州分公司于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日注销。</w:t>
      </w:r>
    </w:p>
    <w:p>
      <w:pPr>
        <w:spacing w:line="240" w:lineRule="auto" w:before="9"/>
        <w:rPr>
          <w:rFonts w:ascii="宋体" w:hAnsi="宋体" w:cs="宋体" w:eastAsia="宋体" w:hint="default"/>
          <w:sz w:val="16"/>
          <w:szCs w:val="16"/>
        </w:rPr>
      </w:pPr>
    </w:p>
    <w:p>
      <w:pPr>
        <w:pStyle w:val="BodyText"/>
        <w:spacing w:line="240" w:lineRule="auto"/>
        <w:ind w:right="1133"/>
        <w:jc w:val="left"/>
      </w:pPr>
      <w:r>
        <w:rPr>
          <w:rFonts w:ascii="Times New Roman" w:hAnsi="Times New Roman" w:cs="Times New Roman" w:eastAsia="Times New Roman" w:hint="default"/>
        </w:rPr>
        <w:t>5</w:t>
      </w:r>
      <w:r>
        <w:rPr/>
        <w:t>、 北京宏图金信信息技术有限公司正在办理注销手续。</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pStyle w:val="Heading3"/>
        <w:spacing w:line="240" w:lineRule="auto" w:before="0"/>
        <w:ind w:right="1133"/>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3"/>
        <w:gridCol w:w="1913"/>
        <w:gridCol w:w="1916"/>
      </w:tblGrid>
      <w:tr>
        <w:trPr>
          <w:trHeight w:val="76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福建省闽保信息技术有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2,574,801.05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15,358,812.20</w:t>
            </w:r>
          </w:p>
        </w:tc>
      </w:tr>
    </w:tbl>
    <w:p>
      <w:pPr>
        <w:pStyle w:val="BodyText"/>
        <w:spacing w:line="357" w:lineRule="auto" w:before="49"/>
        <w:ind w:right="6434"/>
        <w:jc w:val="left"/>
      </w:pPr>
      <w:r>
        <w:rPr/>
        <w:t>子公司少数股东的持股比例不同于表决权比例的说明： 不适用。</w:t>
      </w:r>
    </w:p>
    <w:p>
      <w:pPr>
        <w:spacing w:line="240" w:lineRule="auto" w:before="6"/>
        <w:rPr>
          <w:rFonts w:ascii="宋体" w:hAnsi="宋体" w:cs="宋体" w:eastAsia="宋体" w:hint="default"/>
          <w:sz w:val="20"/>
          <w:szCs w:val="20"/>
        </w:rPr>
      </w:pPr>
    </w:p>
    <w:p>
      <w:pPr>
        <w:pStyle w:val="Heading3"/>
        <w:spacing w:line="240" w:lineRule="auto" w:before="0"/>
        <w:ind w:right="1133"/>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5"/>
        <w:gridCol w:w="734"/>
        <w:gridCol w:w="737"/>
        <w:gridCol w:w="737"/>
        <w:gridCol w:w="734"/>
        <w:gridCol w:w="737"/>
      </w:tblGrid>
      <w:tr>
        <w:trPr>
          <w:trHeight w:val="403" w:hRule="exact"/>
        </w:trPr>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82" w:right="92"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737"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4"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52"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福建省 闽保信 息技术 有限公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63,150,6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22.65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10,129,0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61.52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73,279,6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84.17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31,833,5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56.80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31,833,5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56.80</w:t>
            </w: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left="0" w:right="1131"/>
        <w:jc w:val="right"/>
      </w:pPr>
      <w:r>
        <w:rPr/>
        <w:t>单位：</w:t>
      </w:r>
      <w:r>
        <w:rPr>
          <w:spacing w:val="1"/>
        </w:rPr>
        <w:t> </w:t>
      </w:r>
      <w:r>
        <w:rPr/>
        <w:t>元</w:t>
      </w:r>
    </w:p>
    <w:p>
      <w:pPr>
        <w:spacing w:after="0" w:line="240" w:lineRule="auto"/>
        <w:jc w:val="right"/>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3"/>
        <w:gridCol w:w="1063"/>
        <w:gridCol w:w="1064"/>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7" w:right="75"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福建省闽保 信息技术有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18,272,085.4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9,554,604.48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9,554,604.48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5,116,173.49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7"/>
        <w:rPr>
          <w:rFonts w:ascii="宋体" w:hAnsi="宋体" w:cs="宋体" w:eastAsia="宋体" w:hint="default"/>
          <w:b/>
          <w:bCs/>
          <w:sz w:val="24"/>
          <w:szCs w:val="24"/>
        </w:rPr>
      </w:pPr>
    </w:p>
    <w:p>
      <w:pPr>
        <w:pStyle w:val="Heading3"/>
        <w:spacing w:line="240" w:lineRule="auto" w:before="0"/>
        <w:ind w:right="1133"/>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before="0"/>
        <w:ind w:right="1133"/>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23;top:14;width:2;height:394" coordorigin="23,14" coordsize="2,394">
              <v:shape style="position:absolute;left:23;top:14;width:2;height:394" coordorigin="23,14" coordsize="0,394" path="m23,14l23,408e" filled="false" stroked="true" strokeweight="1.08pt" strokecolor="#d2d2d2">
                <v:path arrowok="t"/>
              </v:shape>
            </v:group>
            <v:group style="position:absolute;left:4775;top:14;width:2;height:394" coordorigin="4775,14" coordsize="2,394">
              <v:shape style="position:absolute;left:4775;top:14;width:2;height:394" coordorigin="4775,14" coordsize="0,394" path="m4775,14l4775,408e" filled="false" stroked="true" strokeweight="1.2pt" strokecolor="#d2d2d2">
                <v:path arrowok="t"/>
              </v:shape>
            </v:group>
            <v:group style="position:absolute;left:34;top:14;width:4729;height:394" coordorigin="34,14" coordsize="4729,394">
              <v:shape style="position:absolute;left:34;top:14;width:4729;height:394" coordorigin="34,14" coordsize="4729,394" path="m34,408l4763,408,4763,14,34,14,34,408xe" filled="true" fillcolor="#d2d2d2" stroked="false">
                <v:path arrowok="t"/>
                <v:fill type="solid"/>
              </v:shape>
            </v:group>
            <v:group style="position:absolute;left:4807;top:14;width:2;height:394" coordorigin="4807,14" coordsize="2,394">
              <v:shape style="position:absolute;left:4807;top:14;width:2;height:394" coordorigin="4807,14" coordsize="0,394" path="m4807,14l4807,408e" filled="false" stroked="true" strokeweight="1.08pt" strokecolor="#d2d2d2">
                <v:path arrowok="t"/>
              </v:shape>
            </v:group>
            <v:group style="position:absolute;left:9559;top:14;width:2;height:394" coordorigin="9559,14" coordsize="2,394">
              <v:shape style="position:absolute;left:9559;top:14;width:2;height:394" coordorigin="9559,14" coordsize="0,394" path="m9559,14l9559,408e" filled="false" stroked="true" strokeweight="1.2pt" strokecolor="#d2d2d2">
                <v:path arrowok="t"/>
              </v:shape>
            </v:group>
            <v:group style="position:absolute;left:4818;top:14;width:4729;height:394" coordorigin="4818,14" coordsize="4729,394">
              <v:shape style="position:absolute;left:4818;top:14;width:4729;height:394" coordorigin="4818,14" coordsize="4729,394" path="m4818,408l9547,408,9547,14,4818,14,4818,408xe" filled="true" fillcolor="#d2d2d2"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8001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8001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7998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7998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group>
          </v:group>
        </w:pict>
      </w:r>
      <w:r>
        <w:rPr>
          <w:rFonts w:ascii="宋体" w:hAnsi="宋体" w:cs="宋体" w:eastAsia="宋体" w:hint="default"/>
          <w:position w:val="-7"/>
          <w:sz w:val="20"/>
          <w:szCs w:val="20"/>
        </w:rPr>
      </w:r>
    </w:p>
    <w:p>
      <w:pPr>
        <w:spacing w:line="240" w:lineRule="auto" w:before="12"/>
        <w:rPr>
          <w:rFonts w:ascii="宋体" w:hAnsi="宋体" w:cs="宋体" w:eastAsia="宋体" w:hint="default"/>
          <w:sz w:val="18"/>
          <w:szCs w:val="18"/>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before="0"/>
        <w:ind w:right="1133"/>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1"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22"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珠海宝利通耗材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广东珠海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广东珠海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打印机耗材的生 产、批发、零售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27.50%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深圳市壹办公科 技股份有限公司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打印机耗材的生 产、批发、零售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27.50%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bl>
    <w:p>
      <w:pPr>
        <w:spacing w:line="240" w:lineRule="auto" w:before="3"/>
        <w:rPr>
          <w:rFonts w:ascii="宋体" w:hAnsi="宋体" w:cs="宋体" w:eastAsia="宋体" w:hint="default"/>
          <w:b/>
          <w:bCs/>
          <w:sz w:val="19"/>
          <w:szCs w:val="19"/>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8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2"/>
        <w:gridCol w:w="1925"/>
        <w:gridCol w:w="1916"/>
        <w:gridCol w:w="1913"/>
        <w:gridCol w:w="1916"/>
      </w:tblGrid>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4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8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161" w:hRule="exact"/>
        </w:trPr>
        <w:tc>
          <w:tcPr>
            <w:tcW w:w="18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74" w:right="50" w:hanging="810"/>
              <w:jc w:val="left"/>
              <w:rPr>
                <w:rFonts w:ascii="宋体" w:hAnsi="宋体" w:cs="宋体" w:eastAsia="宋体" w:hint="default"/>
                <w:sz w:val="18"/>
                <w:szCs w:val="18"/>
              </w:rPr>
            </w:pPr>
            <w:r>
              <w:rPr>
                <w:rFonts w:ascii="宋体" w:hAnsi="宋体" w:cs="宋体" w:eastAsia="宋体" w:hint="default"/>
                <w:sz w:val="18"/>
                <w:szCs w:val="18"/>
              </w:rPr>
              <w:t>珠海宝利通耗材有限公 司</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592" w:right="51" w:hanging="540"/>
              <w:jc w:val="left"/>
              <w:rPr>
                <w:rFonts w:ascii="宋体" w:hAnsi="宋体" w:cs="宋体" w:eastAsia="宋体" w:hint="default"/>
                <w:sz w:val="18"/>
                <w:szCs w:val="18"/>
              </w:rPr>
            </w:pPr>
            <w:r>
              <w:rPr>
                <w:rFonts w:ascii="宋体" w:hAnsi="宋体" w:cs="宋体" w:eastAsia="宋体" w:hint="default"/>
                <w:sz w:val="18"/>
                <w:szCs w:val="18"/>
              </w:rPr>
              <w:t>深圳市壹办公科技股份 有限公司</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61" w:right="48" w:hanging="809"/>
              <w:jc w:val="left"/>
              <w:rPr>
                <w:rFonts w:ascii="宋体" w:hAnsi="宋体" w:cs="宋体" w:eastAsia="宋体" w:hint="default"/>
                <w:sz w:val="18"/>
                <w:szCs w:val="18"/>
              </w:rPr>
            </w:pPr>
            <w:r>
              <w:rPr>
                <w:rFonts w:ascii="宋体" w:hAnsi="宋体" w:cs="宋体" w:eastAsia="宋体" w:hint="default"/>
                <w:sz w:val="18"/>
                <w:szCs w:val="18"/>
              </w:rPr>
              <w:t>珠海宝利通耗材有限公 司</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593" w:right="51" w:hanging="541"/>
              <w:jc w:val="left"/>
              <w:rPr>
                <w:rFonts w:ascii="宋体" w:hAnsi="宋体" w:cs="宋体" w:eastAsia="宋体" w:hint="default"/>
                <w:sz w:val="18"/>
                <w:szCs w:val="18"/>
              </w:rPr>
            </w:pPr>
            <w:r>
              <w:rPr>
                <w:rFonts w:ascii="宋体" w:hAnsi="宋体" w:cs="宋体" w:eastAsia="宋体" w:hint="default"/>
                <w:sz w:val="18"/>
                <w:szCs w:val="18"/>
              </w:rPr>
              <w:t>深圳市壹办公科技股份 有限公司</w:t>
            </w:r>
          </w:p>
        </w:tc>
      </w:tr>
      <w:tr>
        <w:trPr>
          <w:trHeight w:val="391" w:hRule="exact"/>
        </w:trPr>
        <w:tc>
          <w:tcPr>
            <w:tcW w:w="1892" w:type="dxa"/>
            <w:tcBorders>
              <w:top w:val="nil" w:sz="6" w:space="0" w:color="auto"/>
              <w:left w:val="single" w:sz="4" w:space="0" w:color="000000"/>
              <w:bottom w:val="nil" w:sz="6" w:space="0" w:color="auto"/>
              <w:right w:val="single" w:sz="4" w:space="0" w:color="000000"/>
            </w:tcBorders>
            <w:shd w:val="clear" w:color="auto" w:fill="D2D2D2"/>
          </w:tcPr>
          <w:p>
            <w:pPr/>
          </w:p>
        </w:tc>
        <w:tc>
          <w:tcPr>
            <w:tcW w:w="1925"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r>
      <w:tr>
        <w:trPr>
          <w:trHeight w:val="161" w:hRule="exact"/>
        </w:trPr>
        <w:tc>
          <w:tcPr>
            <w:tcW w:w="18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84,275,291.70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148,090,255.88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100,960,231.34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153,940,337.31</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7,002,274.23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6,095,216.71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3,899,022.07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5,099,862.93</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91,277,565.93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154,185,472.59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104,859,253.41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159,040,200.24</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51,971,704.47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132,883,997.90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57,627,814.16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98,787,261.81</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3,555,213.94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63,971,704.47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136,439,211.84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69,627,814.16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98,787,261.81</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27,305,861.46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17,746,260.75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35,231,439.25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60,252,938.43</w:t>
            </w:r>
          </w:p>
        </w:tc>
      </w:tr>
      <w:tr>
        <w:trPr>
          <w:trHeight w:val="71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9"/>
              <w:jc w:val="left"/>
              <w:rPr>
                <w:rFonts w:ascii="宋体" w:hAnsi="宋体" w:cs="宋体" w:eastAsia="宋体" w:hint="default"/>
                <w:sz w:val="18"/>
                <w:szCs w:val="18"/>
              </w:rPr>
            </w:pPr>
            <w:r>
              <w:rPr>
                <w:rFonts w:ascii="宋体" w:hAnsi="宋体" w:cs="宋体" w:eastAsia="宋体" w:hint="default"/>
                <w:sz w:val="18"/>
                <w:szCs w:val="18"/>
              </w:rPr>
              <w:t>按持股比例计算的净资 产份额</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7,509,111.90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4,880,221.71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9,688,645.79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16,569,558.07</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192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11,231,428.57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-591,612.97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11,480,995.97</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192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11,480,995.97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11,480,995.97</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192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-249,567.40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-591,612.97</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9"/>
              <w:jc w:val="left"/>
              <w:rPr>
                <w:rFonts w:ascii="宋体" w:hAnsi="宋体" w:cs="宋体" w:eastAsia="宋体" w:hint="default"/>
                <w:sz w:val="18"/>
                <w:szCs w:val="18"/>
              </w:rPr>
            </w:pPr>
            <w:r>
              <w:rPr>
                <w:rFonts w:ascii="宋体" w:hAnsi="宋体" w:cs="宋体" w:eastAsia="宋体" w:hint="default"/>
                <w:sz w:val="18"/>
                <w:szCs w:val="18"/>
              </w:rPr>
              <w:t>对联营企业权益投资的 账面价值</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7,509,111.90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16,111,650.28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9,097,032.82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28,050,554.04</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104,976,788.41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410,682,780.11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157,383,007.45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399,982,553.26</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-7,927,117.14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-43,414,195.49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749,418.22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16,476,091.68</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-7,927,117.14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-43,414,195.49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749,418.22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16,476,091.68</w:t>
            </w:r>
          </w:p>
        </w:tc>
      </w:tr>
    </w:tbl>
    <w:p>
      <w:pPr>
        <w:pStyle w:val="BodyText"/>
        <w:spacing w:line="240" w:lineRule="auto" w:before="49"/>
        <w:ind w:right="1133"/>
        <w:jc w:val="left"/>
      </w:pPr>
      <w:r>
        <w:rPr/>
        <w:t>注释：深圳市壹办公科技股份有限公司前期差错更正，系根据</w:t>
      </w:r>
      <w:r>
        <w:rPr>
          <w:spacing w:val="-46"/>
        </w:rPr>
        <w:t> </w:t>
      </w:r>
      <w:r>
        <w:rPr>
          <w:rFonts w:ascii="Times New Roman" w:hAnsi="Times New Roman" w:cs="Times New Roman" w:eastAsia="Times New Roman" w:hint="default"/>
        </w:rPr>
        <w:t>2018 </w:t>
      </w:r>
      <w:r>
        <w:rPr/>
        <w:t>年度所得税汇算清缴进行调整。</w:t>
      </w:r>
    </w:p>
    <w:p>
      <w:pPr>
        <w:spacing w:line="240" w:lineRule="auto" w:before="13"/>
        <w:rPr>
          <w:rFonts w:ascii="宋体" w:hAnsi="宋体" w:cs="宋体" w:eastAsia="宋体" w:hint="default"/>
          <w:sz w:val="25"/>
          <w:szCs w:val="25"/>
        </w:rPr>
      </w:pPr>
    </w:p>
    <w:p>
      <w:pPr>
        <w:pStyle w:val="Heading3"/>
        <w:spacing w:line="240" w:lineRule="auto" w:before="0"/>
        <w:ind w:right="1133"/>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74"/>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ind w:right="1133"/>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before="0"/>
        <w:ind w:right="1133"/>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1"/>
        <w:gridCol w:w="2396"/>
      </w:tblGrid>
      <w:tr>
        <w:trPr>
          <w:trHeight w:val="71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50" w:right="20" w:hanging="627"/>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before="0"/>
        <w:ind w:right="1133"/>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before="0"/>
        <w:ind w:right="1133"/>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4"/>
        <w:gridCol w:w="1594"/>
        <w:gridCol w:w="1594"/>
        <w:gridCol w:w="1594"/>
      </w:tblGrid>
      <w:tr>
        <w:trPr>
          <w:trHeight w:val="403"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spacing w:line="240" w:lineRule="auto" w:before="3"/>
        <w:rPr>
          <w:rFonts w:ascii="宋体" w:hAnsi="宋体" w:cs="宋体" w:eastAsia="宋体" w:hint="default"/>
          <w:b/>
          <w:bCs/>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before="0"/>
        <w:ind w:right="1133"/>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8"/>
        <w:rPr>
          <w:rFonts w:ascii="宋体" w:hAnsi="宋体" w:cs="宋体" w:eastAsia="宋体" w:hint="default"/>
          <w:b/>
          <w:bCs/>
          <w:sz w:val="22"/>
          <w:szCs w:val="22"/>
        </w:rPr>
      </w:pPr>
    </w:p>
    <w:p>
      <w:pPr>
        <w:pStyle w:val="Heading2"/>
        <w:spacing w:line="240" w:lineRule="auto"/>
        <w:ind w:right="1133"/>
        <w:jc w:val="left"/>
        <w:rPr>
          <w:b w:val="0"/>
          <w:bCs w:val="0"/>
        </w:rPr>
      </w:pPr>
      <w:r>
        <w:rPr/>
        <w:t>十、与金融工具相关的风险</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right="1131" w:firstLine="360"/>
        <w:jc w:val="both"/>
      </w:pPr>
      <w:r>
        <w:rPr>
          <w:spacing w:val="-2"/>
        </w:rPr>
        <w:t>本公司在经营过程中面临各种金融风险：信用风险、市场风险和流动性风险。公司董事会全面负责风险管理目标和政策</w:t>
      </w:r>
      <w:r>
        <w:rPr/>
        <w:t> </w:t>
      </w:r>
      <w:r>
        <w:rPr>
          <w:spacing w:val="-2"/>
        </w:rPr>
        <w:t>的确定，并对风险管理目标和政策承担最终责任，但是董事会已授权本公司财务部门设计和实施能确保风险管理目标和政策</w:t>
      </w:r>
      <w:r>
        <w:rPr>
          <w:spacing w:val="-64"/>
        </w:rPr>
        <w:t> </w:t>
      </w:r>
      <w:r>
        <w:rPr>
          <w:spacing w:val="-64"/>
        </w:rPr>
      </w:r>
      <w:r>
        <w:rPr>
          <w:spacing w:val="-2"/>
        </w:rPr>
        <w:t>得以有效执行的程序。董事会通过财务主管递交的报告来审查已执行程序的有效性以及风险管理目标和政策的合理性。本公</w:t>
      </w:r>
      <w:r>
        <w:rPr>
          <w:spacing w:val="-62"/>
        </w:rPr>
        <w:t> </w:t>
      </w:r>
      <w:r>
        <w:rPr>
          <w:spacing w:val="-62"/>
        </w:rPr>
      </w:r>
      <w:r>
        <w:rPr/>
        <w:t>司的内部审计师也会审计风险管理的政策和程序，并且将有关发现汇报给审计委员会。</w:t>
      </w:r>
    </w:p>
    <w:p>
      <w:pPr>
        <w:pStyle w:val="BodyText"/>
        <w:spacing w:line="240" w:lineRule="auto" w:before="54"/>
        <w:ind w:left="513" w:right="1133"/>
        <w:jc w:val="left"/>
      </w:pPr>
      <w:r>
        <w:rPr/>
        <w:t>本公司风险管理的总体目标是在不过度影响公司竞争力和应变力的情况下，制定尽可能降低风险的风险管理政策。</w:t>
      </w:r>
    </w:p>
    <w:p>
      <w:pPr>
        <w:spacing w:line="240" w:lineRule="auto" w:before="10"/>
        <w:rPr>
          <w:rFonts w:ascii="宋体" w:hAnsi="宋体" w:cs="宋体" w:eastAsia="宋体" w:hint="default"/>
          <w:sz w:val="17"/>
          <w:szCs w:val="17"/>
        </w:rPr>
      </w:pPr>
    </w:p>
    <w:p>
      <w:pPr>
        <w:pStyle w:val="BodyText"/>
        <w:spacing w:line="240" w:lineRule="auto"/>
        <w:ind w:right="1133"/>
        <w:jc w:val="left"/>
      </w:pPr>
      <w:r>
        <w:rPr>
          <w:rFonts w:ascii="Times New Roman" w:hAnsi="Times New Roman" w:cs="Times New Roman" w:eastAsia="Times New Roman" w:hint="default"/>
        </w:rPr>
        <w:t>1</w:t>
      </w:r>
      <w:r>
        <w:rPr/>
        <w:t>、信用风险</w:t>
      </w:r>
    </w:p>
    <w:p>
      <w:pPr>
        <w:spacing w:line="240" w:lineRule="auto" w:before="9"/>
        <w:rPr>
          <w:rFonts w:ascii="宋体" w:hAnsi="宋体" w:cs="宋体" w:eastAsia="宋体" w:hint="default"/>
          <w:sz w:val="16"/>
          <w:szCs w:val="16"/>
        </w:rPr>
      </w:pPr>
    </w:p>
    <w:p>
      <w:pPr>
        <w:pStyle w:val="BodyText"/>
        <w:spacing w:line="477" w:lineRule="auto"/>
        <w:ind w:right="0" w:firstLine="360"/>
        <w:jc w:val="left"/>
      </w:pPr>
      <w:r>
        <w:rPr>
          <w:spacing w:val="-4"/>
        </w:rPr>
        <w:t>信用风险是指金融工具的一方不履行义务，造成另一方发生财务损失的风险。本公司主要面临赊销导致的客户信用风险。</w:t>
      </w:r>
      <w:r>
        <w:rPr/>
        <w:t> </w:t>
      </w:r>
      <w:r>
        <w:rPr>
          <w:spacing w:val="-2"/>
        </w:rPr>
        <w:t>在签订新合同之前，本公司会对新客户的信用风险进行评估，包括外部信用评级和在某些情况下的银行资信证明（当此信息</w:t>
      </w:r>
      <w:r>
        <w:rPr>
          <w:spacing w:val="-63"/>
        </w:rPr>
        <w:t> </w:t>
      </w:r>
      <w:r>
        <w:rPr>
          <w:spacing w:val="-63"/>
        </w:rPr>
      </w:r>
      <w:r>
        <w:rPr/>
        <w:t>可获取时）。公司对每一客户均设置了赊销限额，该限额为无需获得额外批准的最大额度。</w:t>
      </w:r>
    </w:p>
    <w:p>
      <w:pPr>
        <w:pStyle w:val="BodyText"/>
        <w:spacing w:line="463" w:lineRule="auto" w:before="55"/>
        <w:ind w:right="1132" w:firstLine="360"/>
        <w:jc w:val="both"/>
      </w:pPr>
      <w:r>
        <w:rPr>
          <w:spacing w:val="-2"/>
        </w:rPr>
        <w:t>公司通过对已有客户信用评级的季度监控以及应收账款账龄分析审核来确保公司的整体信用风险在可控的范围内。在监</w:t>
      </w:r>
      <w:r>
        <w:rPr/>
        <w:t> </w:t>
      </w:r>
      <w:r>
        <w:rPr>
          <w:spacing w:val="-2"/>
        </w:rPr>
        <w:t>控客户的信用风险时，按照客户的信用特征对其分组。被评为</w:t>
      </w:r>
      <w:r>
        <w:rPr>
          <w:rFonts w:ascii="Times New Roman" w:hAnsi="Times New Roman" w:cs="Times New Roman" w:eastAsia="Times New Roman" w:hint="default"/>
          <w:spacing w:val="-2"/>
        </w:rPr>
        <w:t>“</w:t>
      </w:r>
      <w:r>
        <w:rPr>
          <w:spacing w:val="-2"/>
        </w:rPr>
        <w:t>高风险</w:t>
      </w:r>
      <w:r>
        <w:rPr>
          <w:rFonts w:ascii="Times New Roman" w:hAnsi="Times New Roman" w:cs="Times New Roman" w:eastAsia="Times New Roman" w:hint="default"/>
          <w:spacing w:val="-2"/>
        </w:rPr>
        <w:t>”</w:t>
      </w:r>
      <w:r>
        <w:rPr>
          <w:spacing w:val="-2"/>
        </w:rPr>
        <w:t>级别的客户会放在受限制客户名单里，并且只有在额</w:t>
      </w:r>
      <w:r>
        <w:rPr>
          <w:spacing w:val="-45"/>
        </w:rPr>
        <w:t> </w:t>
      </w:r>
      <w:r>
        <w:rPr>
          <w:spacing w:val="-45"/>
        </w:rPr>
      </w:r>
      <w:r>
        <w:rPr/>
        <w:t>外批准的前提下，公司才可在未来期间内对其赊销，否则必须要求其提前支付相应款项。</w:t>
      </w:r>
    </w:p>
    <w:p>
      <w:pPr>
        <w:pStyle w:val="BodyText"/>
        <w:spacing w:line="240" w:lineRule="auto" w:before="65"/>
        <w:ind w:right="1133"/>
        <w:jc w:val="left"/>
      </w:pPr>
      <w:r>
        <w:rPr>
          <w:rFonts w:ascii="Times New Roman" w:hAnsi="Times New Roman" w:cs="Times New Roman" w:eastAsia="Times New Roman" w:hint="default"/>
        </w:rPr>
        <w:t>2</w:t>
      </w:r>
      <w:r>
        <w:rPr/>
        <w:t>、市场风险</w:t>
      </w:r>
    </w:p>
    <w:p>
      <w:pPr>
        <w:spacing w:line="240" w:lineRule="auto" w:before="9"/>
        <w:rPr>
          <w:rFonts w:ascii="宋体" w:hAnsi="宋体" w:cs="宋体" w:eastAsia="宋体" w:hint="default"/>
          <w:sz w:val="16"/>
          <w:szCs w:val="16"/>
        </w:rPr>
      </w:pPr>
    </w:p>
    <w:p>
      <w:pPr>
        <w:pStyle w:val="BodyText"/>
        <w:spacing w:line="240" w:lineRule="auto"/>
        <w:ind w:left="513" w:right="0"/>
        <w:jc w:val="left"/>
      </w:pPr>
      <w:r>
        <w:rPr/>
        <w:t>金融工具的市场风险，是指金融工具的公允价值或未来现金流量因市场价格变动而发生波动的风险，包括汇率风险、利</w:t>
      </w:r>
    </w:p>
    <w:p>
      <w:pPr>
        <w:spacing w:after="0" w:line="240" w:lineRule="auto"/>
        <w:jc w:val="left"/>
        <w:sectPr>
          <w:footerReference w:type="default" r:id="rId24"/>
          <w:pgSz w:w="11910" w:h="16840"/>
          <w:pgMar w:footer="980" w:header="877" w:top="1100" w:bottom="1160" w:left="980" w:right="0"/>
        </w:sectPr>
      </w:pPr>
    </w:p>
    <w:p>
      <w:pPr>
        <w:spacing w:line="240" w:lineRule="auto" w:before="11"/>
        <w:rPr>
          <w:rFonts w:ascii="宋体" w:hAnsi="宋体" w:cs="宋体" w:eastAsia="宋体" w:hint="default"/>
          <w:sz w:val="27"/>
          <w:szCs w:val="27"/>
        </w:rPr>
      </w:pPr>
    </w:p>
    <w:p>
      <w:pPr>
        <w:pStyle w:val="BodyText"/>
        <w:spacing w:line="240" w:lineRule="auto" w:before="44"/>
        <w:ind w:right="1133"/>
        <w:jc w:val="left"/>
      </w:pPr>
      <w:r>
        <w:rPr/>
        <w:t>率风险和其他价格风险。</w:t>
      </w:r>
    </w:p>
    <w:p>
      <w:pPr>
        <w:spacing w:line="240" w:lineRule="auto" w:before="10"/>
        <w:rPr>
          <w:rFonts w:ascii="宋体" w:hAnsi="宋体" w:cs="宋体" w:eastAsia="宋体" w:hint="default"/>
          <w:sz w:val="17"/>
          <w:szCs w:val="17"/>
        </w:rPr>
      </w:pPr>
    </w:p>
    <w:p>
      <w:pPr>
        <w:pStyle w:val="BodyText"/>
        <w:spacing w:line="451" w:lineRule="auto"/>
        <w:ind w:left="513" w:right="1119"/>
        <w:jc w:val="left"/>
      </w:pPr>
      <w:r>
        <w:rPr/>
        <w:t>（</w:t>
      </w:r>
      <w:r>
        <w:rPr>
          <w:rFonts w:ascii="Times New Roman" w:hAnsi="Times New Roman" w:cs="Times New Roman" w:eastAsia="Times New Roman" w:hint="default"/>
        </w:rPr>
        <w:t>1</w:t>
      </w:r>
      <w:r>
        <w:rPr/>
        <w:t>）利率风险 </w:t>
      </w:r>
      <w:r>
        <w:rPr>
          <w:spacing w:val="-2"/>
        </w:rPr>
        <w:t>利率风险，是指金融工具的公允价值或未来现金流量因市场利率变动而发生波动的风险。于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日，公司无以</w:t>
      </w:r>
    </w:p>
    <w:p>
      <w:pPr>
        <w:pStyle w:val="BodyText"/>
        <w:spacing w:line="240" w:lineRule="auto" w:before="43"/>
        <w:ind w:right="1133"/>
        <w:jc w:val="left"/>
      </w:pPr>
      <w:r>
        <w:rPr/>
        <w:t>浮动利率计算的借款。</w:t>
      </w:r>
    </w:p>
    <w:p>
      <w:pPr>
        <w:spacing w:line="240" w:lineRule="auto" w:before="10"/>
        <w:rPr>
          <w:rFonts w:ascii="宋体" w:hAnsi="宋体" w:cs="宋体" w:eastAsia="宋体" w:hint="default"/>
          <w:sz w:val="17"/>
          <w:szCs w:val="17"/>
        </w:rPr>
      </w:pPr>
    </w:p>
    <w:p>
      <w:pPr>
        <w:pStyle w:val="BodyText"/>
        <w:spacing w:line="451" w:lineRule="auto"/>
        <w:ind w:left="513" w:right="1129"/>
        <w:jc w:val="left"/>
      </w:pPr>
      <w:r>
        <w:rPr/>
        <w:t>（</w:t>
      </w:r>
      <w:r>
        <w:rPr>
          <w:rFonts w:ascii="Times New Roman" w:hAnsi="Times New Roman" w:cs="Times New Roman" w:eastAsia="Times New Roman" w:hint="default"/>
        </w:rPr>
        <w:t>2</w:t>
      </w:r>
      <w:r>
        <w:rPr/>
        <w:t>）汇率风险 </w:t>
      </w:r>
      <w:r>
        <w:rPr>
          <w:spacing w:val="-2"/>
        </w:rPr>
        <w:t>汇率风险，是指金融工具的公允价值或未来现金流量因外汇汇率变动而发生波动的风险。本公司尽可能将外币收入与外</w:t>
      </w:r>
    </w:p>
    <w:p>
      <w:pPr>
        <w:pStyle w:val="BodyText"/>
        <w:spacing w:line="477" w:lineRule="auto" w:before="74"/>
        <w:ind w:left="513" w:right="1129" w:hanging="361"/>
        <w:jc w:val="left"/>
      </w:pPr>
      <w:r>
        <w:rPr/>
        <w:t>币支出相匹配以降低汇率风险。此外，公司还可能签署远期外汇合约或货币互换合约以达到规避汇率风险的目的。 </w:t>
      </w:r>
      <w:r>
        <w:rPr>
          <w:spacing w:val="-2"/>
        </w:rPr>
        <w:t>本公司面临的汇率风险主要来源于以美元计价的金融资产和金融负债，外币金融资产和外币金融负债折算成人民币的金</w:t>
      </w:r>
    </w:p>
    <w:p>
      <w:pPr>
        <w:pStyle w:val="BodyText"/>
        <w:spacing w:line="240" w:lineRule="auto" w:before="54"/>
        <w:ind w:right="1133"/>
        <w:jc w:val="left"/>
      </w:pPr>
      <w:r>
        <w:rPr/>
        <w:t>额列示如下：</w:t>
      </w:r>
    </w:p>
    <w:p>
      <w:pPr>
        <w:spacing w:line="240" w:lineRule="auto" w:before="1"/>
        <w:rPr>
          <w:rFonts w:ascii="宋体" w:hAnsi="宋体" w:cs="宋体" w:eastAsia="宋体" w:hint="default"/>
          <w:sz w:val="11"/>
          <w:szCs w:val="11"/>
        </w:rPr>
      </w:pPr>
    </w:p>
    <w:tbl>
      <w:tblPr>
        <w:tblW w:w="0" w:type="auto"/>
        <w:jc w:val="left"/>
        <w:tblInd w:w="702" w:type="dxa"/>
        <w:tblLayout w:type="fixed"/>
        <w:tblCellMar>
          <w:top w:w="0" w:type="dxa"/>
          <w:left w:w="0" w:type="dxa"/>
          <w:bottom w:w="0" w:type="dxa"/>
          <w:right w:w="0" w:type="dxa"/>
        </w:tblCellMar>
        <w:tblLook w:val="01E0"/>
      </w:tblPr>
      <w:tblGrid>
        <w:gridCol w:w="2156"/>
        <w:gridCol w:w="2090"/>
        <w:gridCol w:w="2144"/>
        <w:gridCol w:w="2141"/>
      </w:tblGrid>
      <w:tr>
        <w:trPr>
          <w:trHeight w:val="341" w:hRule="exact"/>
        </w:trPr>
        <w:tc>
          <w:tcPr>
            <w:tcW w:w="2156" w:type="dxa"/>
            <w:vMerge w:val="restart"/>
            <w:tcBorders>
              <w:top w:val="single" w:sz="4" w:space="0" w:color="000000"/>
              <w:left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63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43" w:hRule="exact"/>
        </w:trPr>
        <w:tc>
          <w:tcPr>
            <w:tcW w:w="2156" w:type="dxa"/>
            <w:vMerge/>
            <w:tcBorders>
              <w:left w:val="single" w:sz="4" w:space="0" w:color="000000"/>
              <w:bottom w:val="single" w:sz="4" w:space="0" w:color="000000"/>
              <w:right w:val="single" w:sz="4" w:space="0" w:color="000000"/>
            </w:tcBorders>
          </w:tcPr>
          <w:p>
            <w:pP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center"/>
              <w:rPr>
                <w:rFonts w:ascii="宋体" w:hAnsi="宋体" w:cs="宋体" w:eastAsia="宋体" w:hint="default"/>
                <w:sz w:val="18"/>
                <w:szCs w:val="18"/>
              </w:rPr>
            </w:pPr>
            <w:r>
              <w:rPr>
                <w:rFonts w:ascii="宋体" w:hAnsi="宋体" w:cs="宋体" w:eastAsia="宋体" w:hint="default"/>
                <w:b/>
                <w:bCs/>
                <w:sz w:val="18"/>
                <w:szCs w:val="18"/>
              </w:rPr>
              <w:t>美元</w:t>
            </w:r>
            <w:r>
              <w:rPr>
                <w:rFonts w:ascii="宋体" w:hAnsi="宋体" w:cs="宋体" w:eastAsia="宋体" w:hint="default"/>
                <w:sz w:val="18"/>
                <w:szCs w:val="18"/>
              </w:rPr>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05" w:right="0"/>
              <w:jc w:val="left"/>
              <w:rPr>
                <w:rFonts w:ascii="宋体" w:hAnsi="宋体" w:cs="宋体" w:eastAsia="宋体" w:hint="default"/>
                <w:sz w:val="18"/>
                <w:szCs w:val="18"/>
              </w:rPr>
            </w:pPr>
            <w:r>
              <w:rPr>
                <w:rFonts w:ascii="宋体" w:hAnsi="宋体" w:cs="宋体" w:eastAsia="宋体" w:hint="default"/>
                <w:b/>
                <w:bCs/>
                <w:sz w:val="18"/>
                <w:szCs w:val="18"/>
              </w:rPr>
              <w:t>其他外币</w:t>
            </w:r>
            <w:r>
              <w:rPr>
                <w:rFonts w:ascii="宋体" w:hAnsi="宋体" w:cs="宋体" w:eastAsia="宋体" w:hint="default"/>
                <w:sz w:val="18"/>
                <w:szCs w:val="18"/>
              </w:rPr>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41"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147,819,404.44</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1,188,444.02</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149,007,848.46</w:t>
            </w:r>
          </w:p>
        </w:tc>
      </w:tr>
      <w:tr>
        <w:trPr>
          <w:trHeight w:val="343"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25,127,473.28</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637,096.97</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25,764,570.25</w:t>
            </w:r>
          </w:p>
        </w:tc>
      </w:tr>
      <w:tr>
        <w:trPr>
          <w:trHeight w:val="341"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154,350.99</w:t>
            </w:r>
          </w:p>
        </w:tc>
        <w:tc>
          <w:tcPr>
            <w:tcW w:w="2144" w:type="dxa"/>
            <w:tcBorders>
              <w:top w:val="single" w:sz="4" w:space="0" w:color="000000"/>
              <w:left w:val="single" w:sz="4" w:space="0" w:color="000000"/>
              <w:bottom w:val="single" w:sz="4" w:space="0" w:color="000000"/>
              <w:right w:val="single" w:sz="4" w:space="0" w:color="000000"/>
            </w:tcBorders>
          </w:tcPr>
          <w:p>
            <w:pP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154,350.99</w:t>
            </w:r>
          </w:p>
        </w:tc>
      </w:tr>
      <w:tr>
        <w:trPr>
          <w:trHeight w:val="343"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1,826,464.80</w:t>
            </w:r>
          </w:p>
        </w:tc>
        <w:tc>
          <w:tcPr>
            <w:tcW w:w="2144" w:type="dxa"/>
            <w:tcBorders>
              <w:top w:val="single" w:sz="4" w:space="0" w:color="000000"/>
              <w:left w:val="single" w:sz="4" w:space="0" w:color="000000"/>
              <w:bottom w:val="single" w:sz="4" w:space="0" w:color="000000"/>
              <w:right w:val="single" w:sz="4" w:space="0" w:color="000000"/>
            </w:tcBorders>
          </w:tcPr>
          <w:p>
            <w:pP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1,826,464.80</w:t>
            </w:r>
          </w:p>
        </w:tc>
      </w:tr>
      <w:tr>
        <w:trPr>
          <w:trHeight w:val="343"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174,927,693.51</w:t>
            </w:r>
            <w:r>
              <w:rPr>
                <w:rFonts w:ascii="Times New Roman"/>
                <w:spacing w:val="-1"/>
                <w:sz w:val="18"/>
              </w:rPr>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spacing w:val="-1"/>
                <w:sz w:val="18"/>
              </w:rPr>
              <w:t>1,825,540.99</w:t>
            </w:r>
            <w:r>
              <w:rPr>
                <w:rFonts w:ascii="Times New Roman"/>
                <w:spacing w:val="-1"/>
                <w:sz w:val="18"/>
              </w:rPr>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spacing w:val="-1"/>
                <w:sz w:val="18"/>
              </w:rPr>
              <w:t>176,753,234.50</w:t>
            </w:r>
            <w:r>
              <w:rPr>
                <w:rFonts w:ascii="Times New Roman"/>
                <w:spacing w:val="-1"/>
                <w:sz w:val="18"/>
              </w:rPr>
            </w:r>
          </w:p>
        </w:tc>
      </w:tr>
    </w:tbl>
    <w:p>
      <w:pPr>
        <w:pStyle w:val="BodyText"/>
        <w:spacing w:line="451" w:lineRule="auto" w:before="87"/>
        <w:ind w:right="1170" w:firstLine="360"/>
        <w:jc w:val="both"/>
      </w:pP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日，在所有其他变量保持不变的情况下，如果人民币对美元升值或贬值</w:t>
      </w:r>
      <w:r>
        <w:rPr>
          <w:rFonts w:ascii="Times New Roman" w:hAnsi="Times New Roman" w:cs="Times New Roman" w:eastAsia="Times New Roman" w:hint="default"/>
        </w:rPr>
        <w:t>5%</w:t>
      </w:r>
      <w:r>
        <w:rPr/>
        <w:t>，则公司将减少或增加利润 总额</w:t>
      </w:r>
      <w:r>
        <w:rPr>
          <w:rFonts w:ascii="Times New Roman" w:hAnsi="Times New Roman" w:cs="Times New Roman" w:eastAsia="Times New Roman" w:hint="default"/>
        </w:rPr>
        <w:t>8,655,061.44</w:t>
      </w:r>
      <w:r>
        <w:rPr/>
        <w:t>元。管理层认为</w:t>
      </w:r>
      <w:r>
        <w:rPr>
          <w:rFonts w:ascii="Times New Roman" w:hAnsi="Times New Roman" w:cs="Times New Roman" w:eastAsia="Times New Roman" w:hint="default"/>
        </w:rPr>
        <w:t>5%</w:t>
      </w:r>
      <w:r>
        <w:rPr/>
        <w:t>合理反映了下一年度人民币对美元可能发生变动的合理范围。</w:t>
      </w:r>
    </w:p>
    <w:p>
      <w:pPr>
        <w:pStyle w:val="BodyText"/>
        <w:spacing w:line="240" w:lineRule="auto" w:before="43"/>
        <w:ind w:right="1133"/>
        <w:jc w:val="left"/>
      </w:pPr>
      <w:r>
        <w:rPr>
          <w:rFonts w:ascii="Times New Roman" w:hAnsi="Times New Roman" w:cs="Times New Roman" w:eastAsia="Times New Roman" w:hint="default"/>
        </w:rPr>
        <w:t>3</w:t>
      </w:r>
      <w:r>
        <w:rPr/>
        <w:t>、流动性风险</w:t>
      </w:r>
    </w:p>
    <w:p>
      <w:pPr>
        <w:spacing w:line="240" w:lineRule="auto" w:before="10"/>
        <w:rPr>
          <w:rFonts w:ascii="宋体" w:hAnsi="宋体" w:cs="宋体" w:eastAsia="宋体" w:hint="default"/>
          <w:sz w:val="16"/>
          <w:szCs w:val="16"/>
        </w:rPr>
      </w:pPr>
    </w:p>
    <w:p>
      <w:pPr>
        <w:pStyle w:val="BodyText"/>
        <w:spacing w:line="477" w:lineRule="auto"/>
        <w:ind w:right="1130" w:firstLine="360"/>
        <w:jc w:val="both"/>
      </w:pPr>
      <w:r>
        <w:rPr>
          <w:spacing w:val="-2"/>
        </w:rPr>
        <w:t>流动性风险，是指企业在履行以交付现金或其他金融资产的方式结算的义务时发生资金短缺的风险。本公司的政策是确</w:t>
      </w:r>
      <w:r>
        <w:rPr/>
        <w:t> </w:t>
      </w:r>
      <w:r>
        <w:rPr>
          <w:spacing w:val="-2"/>
        </w:rPr>
        <w:t>保拥有充足的现金以偿还到期债务。流动性风险由本公司的财务部门集中控制。财务部门通过监控现金余额、可随时变现的</w:t>
      </w:r>
      <w:r>
        <w:rPr>
          <w:spacing w:val="-63"/>
        </w:rPr>
        <w:t> </w:t>
      </w:r>
      <w:r>
        <w:rPr>
          <w:spacing w:val="-63"/>
        </w:rPr>
      </w:r>
      <w:r>
        <w:rPr/>
        <w:t>有价证券以及对未来</w:t>
      </w:r>
      <w:r>
        <w:rPr>
          <w:rFonts w:ascii="Times New Roman" w:hAnsi="Times New Roman" w:cs="Times New Roman" w:eastAsia="Times New Roman" w:hint="default"/>
        </w:rPr>
        <w:t>12</w:t>
      </w:r>
      <w:r>
        <w:rPr/>
        <w:t>个月现金流量的滚动预测，确保公司在所有合理预测的情况下拥有充足的资金偿还债务。</w:t>
      </w:r>
    </w:p>
    <w:p>
      <w:pPr>
        <w:spacing w:line="240" w:lineRule="auto" w:before="13"/>
        <w:rPr>
          <w:rFonts w:ascii="宋体" w:hAnsi="宋体" w:cs="宋体" w:eastAsia="宋体" w:hint="default"/>
          <w:sz w:val="14"/>
          <w:szCs w:val="14"/>
        </w:rPr>
      </w:pPr>
    </w:p>
    <w:p>
      <w:pPr>
        <w:pStyle w:val="Heading2"/>
        <w:spacing w:line="240" w:lineRule="auto"/>
        <w:ind w:right="1133"/>
        <w:jc w:val="left"/>
        <w:rPr>
          <w:b w:val="0"/>
          <w:bCs w:val="0"/>
        </w:rPr>
      </w:pPr>
      <w:r>
        <w:rPr/>
        <w:t>十一、公允价值的披露</w:t>
      </w:r>
      <w:r>
        <w:rPr>
          <w:b w:val="0"/>
          <w:bCs w:val="0"/>
        </w:rPr>
      </w:r>
    </w:p>
    <w:p>
      <w:pPr>
        <w:spacing w:line="240" w:lineRule="auto" w:before="9"/>
        <w:rPr>
          <w:rFonts w:ascii="宋体" w:hAnsi="宋体" w:cs="宋体" w:eastAsia="宋体" w:hint="default"/>
          <w:b/>
          <w:bCs/>
          <w:sz w:val="24"/>
          <w:szCs w:val="24"/>
        </w:rPr>
      </w:pPr>
    </w:p>
    <w:p>
      <w:pPr>
        <w:pStyle w:val="Heading3"/>
        <w:spacing w:line="240" w:lineRule="auto" w:before="0"/>
        <w:ind w:right="1133"/>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4"/>
        <w:gridCol w:w="1837"/>
        <w:gridCol w:w="1913"/>
        <w:gridCol w:w="1913"/>
        <w:gridCol w:w="1916"/>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5"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23" w:right="101" w:hanging="721"/>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5"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footerReference w:type="default" r:id="rId25"/>
          <w:pgSz w:w="11910" w:h="16840"/>
          <w:pgMar w:footer="980" w:header="877" w:top="1100" w:bottom="1160" w:left="980" w:right="0"/>
          <w:pgNumType w:start="201"/>
        </w:sectPr>
      </w:pPr>
    </w:p>
    <w:p>
      <w:pPr>
        <w:spacing w:line="240" w:lineRule="auto" w:before="11"/>
        <w:rPr>
          <w:rFonts w:ascii="宋体" w:hAnsi="宋体" w:cs="宋体" w:eastAsia="宋体" w:hint="default"/>
          <w:sz w:val="20"/>
          <w:szCs w:val="20"/>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before="0"/>
        <w:ind w:right="1133"/>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before="0"/>
        <w:ind w:right="1133"/>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before="0"/>
        <w:ind w:right="1133"/>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7"/>
        <w:rPr>
          <w:rFonts w:ascii="宋体" w:hAnsi="宋体" w:cs="宋体" w:eastAsia="宋体" w:hint="default"/>
          <w:b/>
          <w:bCs/>
          <w:sz w:val="24"/>
          <w:szCs w:val="24"/>
        </w:rPr>
      </w:pPr>
    </w:p>
    <w:p>
      <w:pPr>
        <w:pStyle w:val="Heading3"/>
        <w:spacing w:line="240" w:lineRule="auto" w:before="0"/>
        <w:ind w:right="1133"/>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before="0"/>
        <w:ind w:right="1133"/>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7"/>
        <w:rPr>
          <w:rFonts w:ascii="宋体" w:hAnsi="宋体" w:cs="宋体" w:eastAsia="宋体" w:hint="default"/>
          <w:b/>
          <w:bCs/>
          <w:sz w:val="24"/>
          <w:szCs w:val="24"/>
        </w:rPr>
      </w:pPr>
    </w:p>
    <w:p>
      <w:pPr>
        <w:pStyle w:val="Heading3"/>
        <w:spacing w:line="240" w:lineRule="auto" w:before="0"/>
        <w:ind w:right="1133"/>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8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4"/>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42"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pStyle w:val="BodyText"/>
        <w:spacing w:line="240" w:lineRule="auto" w:before="49"/>
        <w:ind w:right="1133"/>
        <w:jc w:val="left"/>
      </w:pPr>
      <w:r>
        <w:rPr/>
        <w:t>本企业的母公司情况的说明</w:t>
      </w:r>
    </w:p>
    <w:p>
      <w:pPr>
        <w:pStyle w:val="BodyText"/>
        <w:spacing w:line="300" w:lineRule="auto" w:before="115"/>
        <w:ind w:right="1199"/>
        <w:jc w:val="left"/>
      </w:pPr>
      <w:r>
        <w:rPr/>
        <w:t>余荣清为本公司控股股东、实际控制人，直接持有本公司</w:t>
      </w:r>
      <w:r>
        <w:rPr>
          <w:rFonts w:ascii="Times New Roman" w:hAnsi="Times New Roman" w:cs="Times New Roman" w:eastAsia="Times New Roman" w:hint="default"/>
        </w:rPr>
        <w:t>39.52%</w:t>
      </w:r>
      <w:r>
        <w:rPr/>
        <w:t>的股份；同时通过苏州恒久荣盛科技投资有限公司间接持 有本公司</w:t>
      </w:r>
      <w:r>
        <w:rPr>
          <w:rFonts w:ascii="Times New Roman" w:hAnsi="Times New Roman" w:cs="Times New Roman" w:eastAsia="Times New Roman" w:hint="default"/>
        </w:rPr>
        <w:t>4.31%</w:t>
      </w:r>
      <w:r>
        <w:rPr/>
        <w:t>的股份。</w:t>
      </w:r>
    </w:p>
    <w:p>
      <w:pPr>
        <w:pStyle w:val="BodyText"/>
        <w:spacing w:line="240" w:lineRule="auto" w:before="54"/>
        <w:ind w:right="1133"/>
        <w:jc w:val="left"/>
      </w:pPr>
      <w:r>
        <w:rPr/>
        <w:t>本企业最终控制方是余荣清。</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本企业子公司的情况详见附注七（一</w:t>
      </w:r>
      <w:r>
        <w:rPr>
          <w:spacing w:val="-92"/>
        </w:rPr>
        <w:t>）</w:t>
      </w:r>
      <w:r>
        <w:rPr/>
        <w:t>、在子公司中的权益。</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2294"/>
        <w:jc w:val="left"/>
      </w:pPr>
      <w:r>
        <w:rPr>
          <w:spacing w:val="-3"/>
        </w:rPr>
        <w:t>本企业重要的合营或联营企业详见附注七（二）、在合营企业或联营企业中的权益。</w:t>
      </w:r>
      <w:r>
        <w:rPr>
          <w:spacing w:val="-69"/>
        </w:rPr>
        <w:t> </w:t>
      </w:r>
      <w:r>
        <w:rPr>
          <w:spacing w:val="-69"/>
        </w:rPr>
      </w:r>
      <w:r>
        <w:rPr/>
        <w:t>本期与本公司发生关联方交易，或前期与本公司发生关联方交易形成余额的其他合营或联营企业情况如下：</w:t>
      </w: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77"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珠海宝利通耗材有限公司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深圳市壹办公科技股份有限公司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联营公司</w:t>
            </w:r>
          </w:p>
        </w:tc>
      </w:tr>
    </w:tbl>
    <w:p>
      <w:pPr>
        <w:spacing w:line="240" w:lineRule="auto" w:before="7"/>
        <w:rPr>
          <w:rFonts w:ascii="宋体" w:hAnsi="宋体" w:cs="宋体" w:eastAsia="宋体" w:hint="default"/>
          <w:sz w:val="20"/>
          <w:szCs w:val="20"/>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537"/>
        <w:gridCol w:w="5033"/>
      </w:tblGrid>
      <w:tr>
        <w:trPr>
          <w:trHeight w:val="401"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5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20"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7"/>
          <w:szCs w:val="17"/>
        </w:rPr>
      </w:pPr>
    </w:p>
    <w:p>
      <w:pPr>
        <w:pStyle w:val="BodyText"/>
        <w:spacing w:line="240" w:lineRule="auto" w:before="44"/>
        <w:ind w:left="0" w:right="1138"/>
        <w:jc w:val="right"/>
      </w:pPr>
      <w:r>
        <w:rPr/>
        <w:pict>
          <v:shape style="position:absolute;margin-left:56.400002pt;margin-top:-322.378296pt;width:479.3pt;height:342.3pt;mso-position-horizontal-relative:page;mso-position-vertical-relative:paragraph;z-index:22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537"/>
                    <w:gridCol w:w="5034"/>
                  </w:tblGrid>
                  <w:tr>
                    <w:trPr>
                      <w:trHeight w:val="401"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苏州恒久荣盛科技投资有限公司</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控股股东、实际控制人控制的其他企业。</w:t>
                        </w:r>
                      </w:p>
                    </w:tc>
                  </w:tr>
                  <w:tr>
                    <w:trPr>
                      <w:trHeight w:val="404"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珠海东越数码科技有限公司</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参股公司</w:t>
                        </w:r>
                      </w:p>
                    </w:tc>
                  </w:tr>
                  <w:tr>
                    <w:trPr>
                      <w:trHeight w:val="401"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亿码科技（苏州）有限公司</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参股公司</w:t>
                        </w:r>
                      </w:p>
                    </w:tc>
                  </w:tr>
                  <w:tr>
                    <w:trPr>
                      <w:trHeight w:val="403"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武汉宝特龙科技股份有限公司</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参股公司</w:t>
                        </w:r>
                      </w:p>
                    </w:tc>
                  </w:tr>
                  <w:tr>
                    <w:trPr>
                      <w:trHeight w:val="401"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余荣清</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公司现任董事长兼总经理、控股股东、实际控制人</w:t>
                        </w:r>
                      </w:p>
                    </w:tc>
                  </w:tr>
                  <w:tr>
                    <w:trPr>
                      <w:trHeight w:val="403"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兰山英</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余荣清配偶、公司现任董事兼副总经理、实控人的一致行动人</w:t>
                        </w:r>
                      </w:p>
                    </w:tc>
                  </w:tr>
                  <w:tr>
                    <w:trPr>
                      <w:trHeight w:val="401"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余仲清</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公司现任董事、实控人的一致行动人</w:t>
                        </w:r>
                      </w:p>
                    </w:tc>
                  </w:tr>
                  <w:tr>
                    <w:trPr>
                      <w:trHeight w:val="403"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孙忠良</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公司实控人的一致行动人</w:t>
                        </w:r>
                      </w:p>
                    </w:tc>
                  </w:tr>
                  <w:tr>
                    <w:trPr>
                      <w:trHeight w:val="401"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张培兴</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公司现任董事、副总经理</w:t>
                        </w:r>
                      </w:p>
                    </w:tc>
                  </w:tr>
                  <w:tr>
                    <w:trPr>
                      <w:trHeight w:val="403"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李建康</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公司现任独立董事</w:t>
                        </w:r>
                      </w:p>
                    </w:tc>
                  </w:tr>
                  <w:tr>
                    <w:trPr>
                      <w:trHeight w:val="401"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朱雪珍</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公司现任独立董事</w:t>
                        </w:r>
                      </w:p>
                    </w:tc>
                  </w:tr>
                  <w:tr>
                    <w:trPr>
                      <w:trHeight w:val="403"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潘晓珍</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公司现任独立董事</w:t>
                        </w:r>
                      </w:p>
                    </w:tc>
                  </w:tr>
                  <w:tr>
                    <w:trPr>
                      <w:trHeight w:val="401"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徐才英</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公司现任职工代表监事</w:t>
                        </w:r>
                      </w:p>
                    </w:tc>
                  </w:tr>
                  <w:tr>
                    <w:trPr>
                      <w:trHeight w:val="403"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魏先锋</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公司现任监事</w:t>
                        </w:r>
                      </w:p>
                    </w:tc>
                  </w:tr>
                  <w:tr>
                    <w:trPr>
                      <w:trHeight w:val="401"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施建豪</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公司现任副总经理</w:t>
                        </w:r>
                      </w:p>
                    </w:tc>
                  </w:tr>
                  <w:tr>
                    <w:trPr>
                      <w:trHeight w:val="403"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冯芬兰</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公司现任财务总监</w:t>
                        </w:r>
                      </w:p>
                    </w:tc>
                  </w:tr>
                  <w:tr>
                    <w:trPr>
                      <w:trHeight w:val="403"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孙仕杰</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5"/>
                            <w:sz w:val="18"/>
                            <w:szCs w:val="18"/>
                          </w:rPr>
                          <w:t>公司历任副总经理、董事会秘书及财务总监（</w:t>
                        </w:r>
                        <w:r>
                          <w:rPr>
                            <w:rFonts w:ascii="Times New Roman" w:hAnsi="Times New Roman" w:cs="Times New Roman" w:eastAsia="Times New Roman" w:hint="default"/>
                            <w:spacing w:val="-5"/>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月辞任</w:t>
                        </w:r>
                      </w:p>
                    </w:tc>
                  </w:tr>
                </w:tbl>
                <w:p>
                  <w:pPr/>
                </w:p>
              </w:txbxContent>
            </v:textbox>
            <w10:wrap type="none"/>
          </v:shape>
        </w:pict>
      </w:r>
      <w:r>
        <w:rPr/>
        <w:t>）</w:t>
      </w:r>
    </w:p>
    <w:p>
      <w:pPr>
        <w:spacing w:line="240" w:lineRule="auto" w:before="5"/>
        <w:rPr>
          <w:rFonts w:ascii="宋体" w:hAnsi="宋体" w:cs="宋体" w:eastAsia="宋体" w:hint="default"/>
          <w:sz w:val="9"/>
          <w:szCs w:val="9"/>
        </w:rPr>
      </w:pPr>
    </w:p>
    <w:p>
      <w:pPr>
        <w:pStyle w:val="BodyText"/>
        <w:spacing w:line="357" w:lineRule="auto" w:before="44"/>
        <w:ind w:right="5564"/>
        <w:jc w:val="left"/>
      </w:pPr>
      <w:r>
        <w:rPr/>
        <w:t>其他说明 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日转让亿码科技（苏州）有限公司</w:t>
      </w:r>
      <w:r>
        <w:rPr>
          <w:rFonts w:ascii="Times New Roman" w:hAnsi="Times New Roman" w:cs="Times New Roman" w:eastAsia="Times New Roman" w:hint="default"/>
        </w:rPr>
        <w:t>20%</w:t>
      </w:r>
      <w:r>
        <w:rPr/>
        <w:t>股权。</w:t>
      </w:r>
    </w:p>
    <w:p>
      <w:pPr>
        <w:spacing w:line="240" w:lineRule="auto" w:before="9"/>
        <w:rPr>
          <w:rFonts w:ascii="宋体" w:hAnsi="宋体" w:cs="宋体" w:eastAsia="宋体" w:hint="default"/>
          <w:sz w:val="18"/>
          <w:szCs w:val="18"/>
        </w:rPr>
      </w:pPr>
    </w:p>
    <w:p>
      <w:pPr>
        <w:pStyle w:val="Heading3"/>
        <w:spacing w:line="240" w:lineRule="auto" w:before="0"/>
        <w:ind w:right="1133"/>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before="0"/>
        <w:ind w:right="1133"/>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7"/>
        <w:gridCol w:w="1706"/>
      </w:tblGrid>
      <w:tr>
        <w:trPr>
          <w:trHeight w:val="402"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珠海宝利通耗材有 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硒鼓</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3,397,868.99</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2,415,004.58</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深圳市壹办公科技 股份有限公司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代理费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1,842.53</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2,626.39</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深圳市壹办公科技 股份有限公司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硒鼓</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96,780.91</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珠海东越数码科技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硒鼓</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4,214,225.11</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3,856,935.96</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珠海东越数码科技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加工费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2,622,999.73</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2,078,106.45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7"/>
        <w:gridCol w:w="1706"/>
      </w:tblGrid>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亿码科技（苏州）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硒鼓</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1,543,031.60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9" w:right="0"/>
              <w:jc w:val="left"/>
              <w:rPr>
                <w:rFonts w:ascii="Times New Roman" w:hAnsi="Times New Roman" w:cs="Times New Roman" w:eastAsia="Times New Roman" w:hint="default"/>
                <w:sz w:val="18"/>
                <w:szCs w:val="18"/>
              </w:rPr>
            </w:pPr>
            <w:r>
              <w:rPr>
                <w:rFonts w:ascii="Times New Roman"/>
                <w:sz w:val="18"/>
              </w:rPr>
              <w:t>5,000,000.00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3,756,088.09</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武汉宝特龙科技股 份有限公司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碳粉</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40,615,897.84</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22,454,243.32</w:t>
            </w:r>
            <w:r>
              <w:rPr>
                <w:rFonts w:ascii="Times New Roman"/>
                <w:sz w:val="18"/>
              </w:rPr>
            </w:r>
          </w:p>
        </w:tc>
      </w:tr>
    </w:tbl>
    <w:p>
      <w:pPr>
        <w:pStyle w:val="BodyText"/>
        <w:spacing w:line="240" w:lineRule="auto" w:before="49"/>
        <w:ind w:right="1133"/>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3"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珠海宝利通耗材有限公司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光导鼓等打印耗材</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10,678,066.81</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21,283,094.98</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深圳市壹办公科技股份有限公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光导鼓等打印耗材</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5,674,989.35</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17,702,759.27</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珠海东越数码科技有限公司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光导鼓等打印耗材</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1,581,807.51</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9,125,773.25</w:t>
            </w:r>
          </w:p>
        </w:tc>
      </w:tr>
      <w:tr>
        <w:trPr>
          <w:trHeight w:val="40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亿码科技（苏州）有限公司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光导鼓等打印耗材</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859,259.57</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1,947,043.80</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武汉宝特龙科技股份有限公司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打印耗材</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69,184.62</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6,215.53</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珠海宝利通耗材有限公司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保理利息及服务收入</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782,574.29</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366,419.90</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珠海东越数码科技有限公司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保理利息及服务收入</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80,197.96</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737,501.37</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武汉宝特龙科技股份有限公司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保理利息及服务收入</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1,708,221.43</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1,174,236.29</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3"/>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7"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90" w:right="23" w:hanging="567"/>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7" w:right="21" w:hanging="204"/>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1" w:right="48"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877" w:footer="980" w:top="1100" w:bottom="1160" w:left="980" w:right="0"/>
        </w:sectPr>
      </w:pPr>
    </w:p>
    <w:p>
      <w:pPr>
        <w:pStyle w:val="BodyText"/>
        <w:spacing w:line="350" w:lineRule="auto" w:before="49"/>
        <w:ind w:right="-19"/>
        <w:jc w:val="left"/>
      </w:pPr>
      <w:r>
        <w:rPr/>
        <w:t>关联托管</w:t>
      </w:r>
      <w:r>
        <w:rPr>
          <w:rFonts w:ascii="Times New Roman" w:hAnsi="Times New Roman" w:cs="Times New Roman" w:eastAsia="Times New Roman" w:hint="default"/>
        </w:rPr>
        <w:t>/</w:t>
      </w:r>
      <w:r>
        <w:rPr/>
        <w:t>承包情况说明 不适用。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2544" w:space="6285"/>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7"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90" w:right="23" w:hanging="567"/>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07" w:right="21" w:hanging="384"/>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91" w:right="48"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340" w:lineRule="auto" w:before="49"/>
        <w:ind w:right="8904"/>
        <w:jc w:val="left"/>
      </w:pPr>
      <w:r>
        <w:rPr/>
        <w:t>关联管理</w:t>
      </w:r>
      <w:r>
        <w:rPr>
          <w:rFonts w:ascii="Times New Roman" w:hAnsi="Times New Roman" w:cs="Times New Roman" w:eastAsia="Times New Roman" w:hint="default"/>
        </w:rPr>
        <w:t>/</w:t>
      </w:r>
      <w:r>
        <w:rPr/>
        <w:t>出包情况说明 不适用。</w:t>
      </w:r>
    </w:p>
    <w:p>
      <w:pPr>
        <w:spacing w:line="240" w:lineRule="auto" w:before="6"/>
        <w:rPr>
          <w:rFonts w:ascii="宋体" w:hAnsi="宋体" w:cs="宋体" w:eastAsia="宋体" w:hint="default"/>
          <w:sz w:val="21"/>
          <w:szCs w:val="21"/>
        </w:rPr>
      </w:pPr>
    </w:p>
    <w:p>
      <w:pPr>
        <w:pStyle w:val="Heading3"/>
        <w:spacing w:line="240" w:lineRule="auto" w:before="0"/>
        <w:ind w:right="1133"/>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本公司作为出租方：</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3"/>
        <w:gridCol w:w="2381"/>
      </w:tblGrid>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49"/>
        <w:ind w:right="1133"/>
        <w:jc w:val="left"/>
      </w:pPr>
      <w:r>
        <w:rPr/>
        <w:t>本公司作为承租方：</w:t>
      </w:r>
    </w:p>
    <w:p>
      <w:pPr>
        <w:spacing w:after="0" w:line="240" w:lineRule="auto"/>
        <w:jc w:val="left"/>
        <w:sectPr>
          <w:type w:val="continuous"/>
          <w:pgSz w:w="11910" w:h="16840"/>
          <w:pgMar w:top="106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4"/>
        <w:gridCol w:w="2392"/>
        <w:gridCol w:w="2381"/>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9"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本公司作为担保方</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49"/>
        <w:ind w:right="1133"/>
        <w:jc w:val="left"/>
      </w:pPr>
      <w:r>
        <w:rPr/>
        <w:t>本公司作为被担保方</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line="240" w:lineRule="auto" w:before="4"/>
        <w:rPr>
          <w:rFonts w:ascii="宋体" w:hAnsi="宋体" w:cs="宋体" w:eastAsia="宋体" w:hint="default"/>
          <w:sz w:val="19"/>
          <w:szCs w:val="19"/>
        </w:rPr>
      </w:pPr>
    </w:p>
    <w:p>
      <w:pPr>
        <w:pStyle w:val="Heading3"/>
        <w:spacing w:line="240" w:lineRule="auto"/>
        <w:ind w:right="1133"/>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1"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4"/>
        <w:gridCol w:w="2392"/>
        <w:gridCol w:w="2381"/>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1,888,949.53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1,764,156.00</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以受让应收账款的方式提供贸易融资：</w:t>
      </w:r>
    </w:p>
    <w:p>
      <w:pPr>
        <w:spacing w:line="240" w:lineRule="auto" w:before="3"/>
        <w:rPr>
          <w:rFonts w:ascii="宋体" w:hAnsi="宋体" w:cs="宋体" w:eastAsia="宋体" w:hint="default"/>
          <w:sz w:val="5"/>
          <w:szCs w:val="5"/>
        </w:rPr>
      </w:pPr>
    </w:p>
    <w:tbl>
      <w:tblPr>
        <w:tblW w:w="0" w:type="auto"/>
        <w:jc w:val="left"/>
        <w:tblInd w:w="702" w:type="dxa"/>
        <w:tblLayout w:type="fixed"/>
        <w:tblCellMar>
          <w:top w:w="0" w:type="dxa"/>
          <w:left w:w="0" w:type="dxa"/>
          <w:bottom w:w="0" w:type="dxa"/>
          <w:right w:w="0" w:type="dxa"/>
        </w:tblCellMar>
        <w:tblLook w:val="01E0"/>
      </w:tblPr>
      <w:tblGrid>
        <w:gridCol w:w="2823"/>
        <w:gridCol w:w="1426"/>
        <w:gridCol w:w="1426"/>
        <w:gridCol w:w="1428"/>
        <w:gridCol w:w="1429"/>
      </w:tblGrid>
      <w:tr>
        <w:trPr>
          <w:trHeight w:val="34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45"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59" w:right="0"/>
              <w:jc w:val="left"/>
              <w:rPr>
                <w:rFonts w:ascii="宋体" w:hAnsi="宋体" w:cs="宋体" w:eastAsia="宋体" w:hint="default"/>
                <w:sz w:val="18"/>
                <w:szCs w:val="18"/>
              </w:rPr>
            </w:pPr>
            <w:r>
              <w:rPr>
                <w:rFonts w:ascii="宋体" w:hAnsi="宋体" w:cs="宋体" w:eastAsia="宋体" w:hint="default"/>
                <w:b/>
                <w:bCs/>
                <w:sz w:val="18"/>
                <w:szCs w:val="18"/>
              </w:rPr>
              <w:t>发放保理款</w:t>
            </w:r>
            <w:r>
              <w:rPr>
                <w:rFonts w:ascii="宋体" w:hAnsi="宋体" w:cs="宋体" w:eastAsia="宋体" w:hint="default"/>
                <w:sz w:val="18"/>
                <w:szCs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59" w:right="0"/>
              <w:jc w:val="left"/>
              <w:rPr>
                <w:rFonts w:ascii="宋体" w:hAnsi="宋体" w:cs="宋体" w:eastAsia="宋体" w:hint="default"/>
                <w:sz w:val="18"/>
                <w:szCs w:val="18"/>
              </w:rPr>
            </w:pPr>
            <w:r>
              <w:rPr>
                <w:rFonts w:ascii="宋体" w:hAnsi="宋体" w:cs="宋体" w:eastAsia="宋体" w:hint="default"/>
                <w:b/>
                <w:bCs/>
                <w:sz w:val="18"/>
                <w:szCs w:val="18"/>
              </w:rPr>
              <w:t>收回保理款</w:t>
            </w:r>
            <w:r>
              <w:rPr>
                <w:rFonts w:ascii="宋体" w:hAnsi="宋体" w:cs="宋体" w:eastAsia="宋体" w:hint="default"/>
                <w:sz w:val="18"/>
                <w:szCs w:val="18"/>
              </w:rPr>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48"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41"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珠海东越数码科技有限公司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3,750,000.00</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3,750,000.00</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武汉宝特龙科技股份有限公司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8,770,000.00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66,130,000.00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64,900,000.00</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341"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珠海宝利通耗材有限公司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8,000,000.00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12,000,000.00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10,000,000.00</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34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
              <w:jc w:val="right"/>
              <w:rPr>
                <w:rFonts w:ascii="Times New Roman" w:hAnsi="Times New Roman" w:cs="Times New Roman" w:eastAsia="Times New Roman" w:hint="default"/>
                <w:sz w:val="18"/>
                <w:szCs w:val="18"/>
              </w:rPr>
            </w:pPr>
            <w:r>
              <w:rPr>
                <w:rFonts w:ascii="Times New Roman"/>
                <w:b/>
                <w:spacing w:val="-1"/>
                <w:sz w:val="18"/>
              </w:rPr>
              <w:t>20,520,000.00</w:t>
            </w:r>
            <w:r>
              <w:rPr>
                <w:rFonts w:ascii="Times New Roman"/>
                <w:spacing w:val="-1"/>
                <w:sz w:val="18"/>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b/>
                <w:spacing w:val="-1"/>
                <w:sz w:val="18"/>
              </w:rPr>
              <w:t>78,130,000.00</w:t>
            </w:r>
            <w:r>
              <w:rPr>
                <w:rFonts w:ascii="Times New Roman"/>
                <w:spacing w:val="-1"/>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
              <w:jc w:val="right"/>
              <w:rPr>
                <w:rFonts w:ascii="Times New Roman" w:hAnsi="Times New Roman" w:cs="Times New Roman" w:eastAsia="Times New Roman" w:hint="default"/>
                <w:sz w:val="18"/>
                <w:szCs w:val="18"/>
              </w:rPr>
            </w:pPr>
            <w:r>
              <w:rPr>
                <w:rFonts w:ascii="Times New Roman"/>
                <w:b/>
                <w:spacing w:val="-1"/>
                <w:sz w:val="18"/>
              </w:rPr>
              <w:t>78,650,000.00</w:t>
            </w:r>
            <w:r>
              <w:rPr>
                <w:rFonts w:ascii="Times New Roman"/>
                <w:spacing w:val="-1"/>
                <w:sz w:val="18"/>
              </w:rPr>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
              <w:jc w:val="right"/>
              <w:rPr>
                <w:rFonts w:ascii="Times New Roman" w:hAnsi="Times New Roman" w:cs="Times New Roman" w:eastAsia="Times New Roman" w:hint="default"/>
                <w:sz w:val="18"/>
                <w:szCs w:val="18"/>
              </w:rPr>
            </w:pPr>
            <w:r>
              <w:rPr>
                <w:rFonts w:ascii="Times New Roman"/>
                <w:b/>
                <w:spacing w:val="-1"/>
                <w:sz w:val="18"/>
              </w:rPr>
              <w:t>20,000,000.00</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ind w:right="1133"/>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before="0"/>
        <w:ind w:right="1133"/>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珠海宝利通耗材有 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271,000.00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珠海宝利通耗材有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17,556,847.37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426,323.76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13,108,735.60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294,283.18</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深圳市壹办公科技 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6,652,082.22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394,054.11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6,910,253.62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345,512.68</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珠海东越数码科技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11,292,931.59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1,027,836.43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14,259,404.16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543,695.21</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10"/>
                <w:sz w:val="18"/>
                <w:szCs w:val="18"/>
              </w:rPr>
              <w:t>亿码科技（苏州）有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2,010,830.55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190,290.11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1,266,119.19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63,305.96</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武汉宝特龙科技股 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10,070,955.56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50,354.78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8,837,265.58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44,510.78</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珠海东越数码科技 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1,163,656.86</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10"/>
                <w:sz w:val="18"/>
                <w:szCs w:val="18"/>
              </w:rPr>
              <w:t>亿码科技（苏州）有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2,664,956.49</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2,381,466.57</w:t>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珠海东越数码科技有限公司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14,952.45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1,434.01</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珠海宝利通耗材有限公司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1,809,437.43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848.70</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武汉宝特龙科技股份有限公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5,521,439.15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266,743.08</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亿码科技（苏州）有限公司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173,627.76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18,168.66</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深圳市壹办公科技股份有限</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96,944.21</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362"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珠海东越数码科技有限公司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71,100.00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珠海宝利通耗材有限公司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271,011.18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武汉宝特龙科技股份有限公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深圳市壹办公科技股份有限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14,000.00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875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2"/>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before="0"/>
        <w:ind w:right="1133"/>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before="0"/>
        <w:ind w:right="1133"/>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before="0"/>
        <w:ind w:right="1133"/>
        <w:jc w:val="left"/>
        <w:rPr>
          <w:b w:val="0"/>
          <w:bCs w:val="0"/>
        </w:rPr>
      </w:pPr>
      <w:r>
        <w:rPr>
          <w:rFonts w:ascii="Times New Roman" w:hAnsi="Times New Roman" w:cs="Times New Roman" w:eastAsia="Times New Roman" w:hint="default"/>
        </w:rPr>
        <w:t>4</w:t>
      </w:r>
      <w:r>
        <w:rPr/>
        <w:t>、股份支付的修改、终止情况</w:t>
      </w:r>
      <w:r>
        <w:rPr>
          <w:b w:val="0"/>
          <w:bCs w:val="0"/>
        </w:rPr>
      </w:r>
    </w:p>
    <w:p>
      <w:pPr>
        <w:spacing w:line="240" w:lineRule="auto" w:before="4"/>
        <w:rPr>
          <w:rFonts w:ascii="宋体" w:hAnsi="宋体" w:cs="宋体" w:eastAsia="宋体" w:hint="default"/>
          <w:b/>
          <w:bCs/>
          <w:sz w:val="26"/>
          <w:szCs w:val="26"/>
        </w:rPr>
      </w:pPr>
    </w:p>
    <w:p>
      <w:pPr>
        <w:spacing w:line="544" w:lineRule="auto" w:before="0"/>
        <w:ind w:left="152" w:right="933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sz w:val="18"/>
          <w:szCs w:val="18"/>
        </w:rPr>
        <w:t>不适用。</w:t>
      </w:r>
    </w:p>
    <w:p>
      <w:pPr>
        <w:pStyle w:val="Heading2"/>
        <w:spacing w:line="240" w:lineRule="auto" w:before="102"/>
        <w:ind w:right="1133"/>
        <w:jc w:val="left"/>
        <w:rPr>
          <w:b w:val="0"/>
          <w:bCs w:val="0"/>
        </w:rPr>
      </w:pPr>
      <w:r>
        <w:rPr/>
        <w:t>十四、承诺及或有事项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before="0"/>
        <w:ind w:right="1133"/>
        <w:jc w:val="left"/>
        <w:rPr>
          <w:b w:val="0"/>
          <w:bCs w:val="0"/>
        </w:rPr>
      </w:pPr>
      <w:r>
        <w:rPr>
          <w:rFonts w:ascii="Times New Roman" w:hAnsi="Times New Roman" w:cs="Times New Roman" w:eastAsia="Times New Roman" w:hint="default"/>
        </w:rPr>
        <w:t>1</w:t>
      </w:r>
      <w:r>
        <w:rPr/>
        <w:t>、重要承诺事项</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6074"/>
        <w:jc w:val="left"/>
      </w:pPr>
      <w:r>
        <w:rPr/>
        <w:t>资产负债表日存在的重要承诺 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日，本公司无需要披露的重要承诺事项。</w:t>
      </w:r>
    </w:p>
    <w:p>
      <w:pPr>
        <w:spacing w:after="0" w:line="360"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5"/>
        <w:rPr>
          <w:rFonts w:ascii="宋体" w:hAnsi="宋体" w:cs="宋体" w:eastAsia="宋体" w:hint="default"/>
          <w:b/>
          <w:bCs/>
          <w:sz w:val="32"/>
          <w:szCs w:val="32"/>
        </w:rPr>
      </w:pPr>
    </w:p>
    <w:p>
      <w:pPr>
        <w:spacing w:line="451" w:lineRule="auto" w:before="0"/>
        <w:ind w:left="152" w:right="6434"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）资产负债表日存在的重要或有事项</w:t>
      </w:r>
      <w:r>
        <w:rPr>
          <w:rFonts w:ascii="宋体" w:hAnsi="宋体" w:cs="宋体" w:eastAsia="宋体" w:hint="default"/>
          <w:b/>
          <w:bCs/>
          <w:w w:val="99"/>
          <w:sz w:val="18"/>
          <w:szCs w:val="18"/>
        </w:rPr>
        <w:t> </w:t>
      </w:r>
      <w:r>
        <w:rPr>
          <w:rFonts w:ascii="宋体" w:hAnsi="宋体" w:cs="宋体" w:eastAsia="宋体" w:hint="default"/>
          <w:sz w:val="18"/>
          <w:szCs w:val="18"/>
        </w:rPr>
        <w:t>截止</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日，本公司无需要披露的或有事项。</w:t>
      </w:r>
    </w:p>
    <w:p>
      <w:pPr>
        <w:spacing w:line="451" w:lineRule="auto" w:before="43"/>
        <w:ind w:left="152" w:right="6327"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）公司没有需要披露的重要或有事项，也应予以说明</w:t>
      </w:r>
      <w:r>
        <w:rPr>
          <w:rFonts w:ascii="宋体" w:hAnsi="宋体" w:cs="宋体" w:eastAsia="宋体" w:hint="default"/>
          <w:b/>
          <w:bCs/>
          <w:w w:val="99"/>
          <w:sz w:val="18"/>
          <w:szCs w:val="18"/>
        </w:rPr>
        <w:t> </w:t>
      </w:r>
      <w:r>
        <w:rPr>
          <w:rFonts w:ascii="宋体" w:hAnsi="宋体" w:cs="宋体" w:eastAsia="宋体" w:hint="default"/>
          <w:sz w:val="18"/>
          <w:szCs w:val="18"/>
        </w:rPr>
        <w:t>公司不存在需要披露的重要或有事项。</w:t>
      </w:r>
    </w:p>
    <w:p>
      <w:pPr>
        <w:spacing w:line="240" w:lineRule="auto" w:before="12"/>
        <w:rPr>
          <w:rFonts w:ascii="宋体" w:hAnsi="宋体" w:cs="宋体" w:eastAsia="宋体" w:hint="default"/>
          <w:sz w:val="20"/>
          <w:szCs w:val="20"/>
        </w:rPr>
      </w:pPr>
    </w:p>
    <w:p>
      <w:pPr>
        <w:pStyle w:val="Heading3"/>
        <w:spacing w:line="240" w:lineRule="auto" w:before="0"/>
        <w:ind w:right="1133"/>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2"/>
        <w:rPr>
          <w:rFonts w:ascii="宋体" w:hAnsi="宋体" w:cs="宋体" w:eastAsia="宋体" w:hint="default"/>
          <w:b/>
          <w:bCs/>
          <w:sz w:val="32"/>
          <w:szCs w:val="32"/>
        </w:rPr>
      </w:pPr>
    </w:p>
    <w:p>
      <w:pPr>
        <w:pStyle w:val="BodyText"/>
        <w:spacing w:line="240" w:lineRule="auto"/>
        <w:ind w:left="513" w:right="1133"/>
        <w:jc w:val="left"/>
      </w:pPr>
      <w:r>
        <w:rPr/>
        <w:t>诉讼事项（</w:t>
      </w:r>
      <w:r>
        <w:rPr>
          <w:rFonts w:ascii="Times New Roman" w:hAnsi="Times New Roman" w:cs="Times New Roman" w:eastAsia="Times New Roman" w:hint="default"/>
        </w:rPr>
        <w:t>2019</w:t>
      </w:r>
      <w:r>
        <w:rPr/>
        <w:t>）闽</w:t>
      </w:r>
      <w:r>
        <w:rPr>
          <w:rFonts w:ascii="Times New Roman" w:hAnsi="Times New Roman" w:cs="Times New Roman" w:eastAsia="Times New Roman" w:hint="default"/>
        </w:rPr>
        <w:t>0503</w:t>
      </w:r>
      <w:r>
        <w:rPr/>
        <w:t>民初</w:t>
      </w:r>
      <w:r>
        <w:rPr>
          <w:rFonts w:ascii="Times New Roman" w:hAnsi="Times New Roman" w:cs="Times New Roman" w:eastAsia="Times New Roman" w:hint="default"/>
        </w:rPr>
        <w:t>726</w:t>
      </w:r>
      <w:r>
        <w:rPr/>
        <w:t>号《民事判决书》</w:t>
      </w:r>
    </w:p>
    <w:p>
      <w:pPr>
        <w:spacing w:line="240" w:lineRule="auto" w:before="9"/>
        <w:rPr>
          <w:rFonts w:ascii="宋体" w:hAnsi="宋体" w:cs="宋体" w:eastAsia="宋体" w:hint="default"/>
          <w:sz w:val="16"/>
          <w:szCs w:val="16"/>
        </w:rPr>
      </w:pPr>
    </w:p>
    <w:p>
      <w:pPr>
        <w:pStyle w:val="BodyText"/>
        <w:spacing w:line="451" w:lineRule="auto"/>
        <w:ind w:right="1124" w:firstLine="36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25</w:t>
      </w:r>
      <w:r>
        <w:rPr/>
        <w:t>日，福建省泉州市丰泽区人民法院立案受理申请人福建省闽保信息技术股份有限公司（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月公司名 称变更为</w:t>
      </w:r>
      <w:r>
        <w:rPr>
          <w:rFonts w:ascii="Times New Roman" w:hAnsi="Times New Roman" w:cs="Times New Roman" w:eastAsia="Times New Roman" w:hint="default"/>
        </w:rPr>
        <w:t>“</w:t>
      </w:r>
      <w:r>
        <w:rPr/>
        <w:t>福建省闽保信息技术有限公司</w:t>
      </w:r>
      <w:r>
        <w:rPr>
          <w:rFonts w:ascii="Times New Roman" w:hAnsi="Times New Roman" w:cs="Times New Roman" w:eastAsia="Times New Roman" w:hint="default"/>
        </w:rPr>
        <w:t>”</w:t>
      </w:r>
      <w:r>
        <w:rPr/>
        <w:t>）、南威软件股份有限公司关于买卖合同纠纷的申请并进行了审查。</w:t>
      </w:r>
    </w:p>
    <w:p>
      <w:pPr>
        <w:pStyle w:val="BodyText"/>
        <w:spacing w:line="451" w:lineRule="auto" w:before="43"/>
        <w:ind w:right="0" w:firstLine="360"/>
        <w:jc w:val="left"/>
      </w:pPr>
      <w:r>
        <w:rPr>
          <w:rFonts w:ascii="Times New Roman" w:hAnsi="Times New Roman" w:cs="Times New Roman" w:eastAsia="Times New Roman" w:hint="default"/>
          <w:spacing w:val="-6"/>
        </w:rPr>
        <w:t>2019</w:t>
      </w:r>
      <w:r>
        <w:rPr>
          <w:spacing w:val="-6"/>
        </w:rPr>
        <w:t>年</w:t>
      </w:r>
      <w:r>
        <w:rPr>
          <w:rFonts w:ascii="Times New Roman" w:hAnsi="Times New Roman" w:cs="Times New Roman" w:eastAsia="Times New Roman" w:hint="default"/>
          <w:spacing w:val="-6"/>
        </w:rPr>
        <w:t>10</w:t>
      </w:r>
      <w:r>
        <w:rPr>
          <w:spacing w:val="-6"/>
        </w:rPr>
        <w:t>月</w:t>
      </w:r>
      <w:r>
        <w:rPr>
          <w:rFonts w:ascii="Times New Roman" w:hAnsi="Times New Roman" w:cs="Times New Roman" w:eastAsia="Times New Roman" w:hint="default"/>
          <w:spacing w:val="-6"/>
        </w:rPr>
        <w:t>27</w:t>
      </w:r>
      <w:r>
        <w:rPr>
          <w:spacing w:val="-6"/>
        </w:rPr>
        <w:t>日，福建省泉州市丰泽区人民法院审查终结并出具（</w:t>
      </w:r>
      <w:r>
        <w:rPr>
          <w:rFonts w:ascii="Times New Roman" w:hAnsi="Times New Roman" w:cs="Times New Roman" w:eastAsia="Times New Roman" w:hint="default"/>
          <w:spacing w:val="-6"/>
        </w:rPr>
        <w:t>2019</w:t>
      </w:r>
      <w:r>
        <w:rPr>
          <w:spacing w:val="-6"/>
        </w:rPr>
        <w:t>）闽</w:t>
      </w:r>
      <w:r>
        <w:rPr>
          <w:rFonts w:ascii="Times New Roman" w:hAnsi="Times New Roman" w:cs="Times New Roman" w:eastAsia="Times New Roman" w:hint="default"/>
          <w:spacing w:val="-6"/>
        </w:rPr>
        <w:t>0503</w:t>
      </w:r>
      <w:r>
        <w:rPr>
          <w:spacing w:val="-6"/>
        </w:rPr>
        <w:t>民初</w:t>
      </w:r>
      <w:r>
        <w:rPr>
          <w:rFonts w:ascii="Times New Roman" w:hAnsi="Times New Roman" w:cs="Times New Roman" w:eastAsia="Times New Roman" w:hint="default"/>
          <w:spacing w:val="-6"/>
        </w:rPr>
        <w:t>726</w:t>
      </w:r>
      <w:r>
        <w:rPr>
          <w:spacing w:val="-6"/>
        </w:rPr>
        <w:t>号《民事判决书》判决如下：</w:t>
      </w:r>
      <w:r>
        <w:rPr>
          <w:rFonts w:ascii="Times New Roman" w:hAnsi="Times New Roman" w:cs="Times New Roman" w:eastAsia="Times New Roman" w:hint="default"/>
          <w:spacing w:val="-6"/>
        </w:rPr>
        <w:t>“</w:t>
      </w:r>
      <w:r>
        <w:rPr>
          <w:spacing w:val="-6"/>
        </w:rPr>
        <w:t>一、</w:t>
      </w:r>
      <w:r>
        <w:rPr/>
        <w:t> 福建省间保信息技术股份有限公司应于本判决生效之日起十日内支付南威软件股份有限公司货款</w:t>
      </w:r>
      <w:r>
        <w:rPr>
          <w:rFonts w:ascii="Times New Roman" w:hAnsi="Times New Roman" w:cs="Times New Roman" w:eastAsia="Times New Roman" w:hint="default"/>
        </w:rPr>
        <w:t>1,206,750.00</w:t>
      </w:r>
      <w:r>
        <w:rPr/>
        <w:t>元；二、驳回 南威软件股份有限公司的其他诉讼请求；三、驳回福建省闻保信息技术股份有限公司的反诉请求。</w:t>
      </w:r>
      <w:r>
        <w:rPr>
          <w:rFonts w:ascii="Times New Roman" w:hAnsi="Times New Roman" w:cs="Times New Roman" w:eastAsia="Times New Roman" w:hint="default"/>
        </w:rPr>
        <w:t>”</w:t>
      </w:r>
      <w:r>
        <w:rPr/>
        <w:t>。</w:t>
      </w:r>
    </w:p>
    <w:p>
      <w:pPr>
        <w:pStyle w:val="BodyText"/>
        <w:spacing w:line="240" w:lineRule="auto" w:before="43"/>
        <w:ind w:left="513" w:right="0"/>
        <w:jc w:val="left"/>
      </w:pPr>
      <w:r>
        <w:rPr/>
        <w:t>根据上述《民事裁定书》显示：福建省闽保信息技术股份有限公司应给付南威软件股份有限公司款项为</w:t>
      </w:r>
      <w:r>
        <w:rPr>
          <w:rFonts w:ascii="Times New Roman" w:hAnsi="Times New Roman" w:cs="Times New Roman" w:eastAsia="Times New Roman" w:hint="default"/>
        </w:rPr>
        <w:t>1,206,750.00</w:t>
      </w:r>
      <w:r>
        <w:rPr/>
        <w:t>元。</w:t>
      </w:r>
    </w:p>
    <w:p>
      <w:pPr>
        <w:spacing w:line="240" w:lineRule="auto" w:before="0"/>
        <w:rPr>
          <w:rFonts w:ascii="宋体" w:hAnsi="宋体" w:cs="宋体" w:eastAsia="宋体" w:hint="default"/>
          <w:sz w:val="18"/>
          <w:szCs w:val="18"/>
        </w:rPr>
      </w:pPr>
    </w:p>
    <w:p>
      <w:pPr>
        <w:pStyle w:val="Heading2"/>
        <w:spacing w:line="240" w:lineRule="auto" w:before="158"/>
        <w:ind w:right="1133"/>
        <w:jc w:val="left"/>
        <w:rPr>
          <w:b w:val="0"/>
          <w:bCs w:val="0"/>
        </w:rPr>
      </w:pPr>
      <w:r>
        <w:rPr/>
        <w:t>十五、资产负债表日后事项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before="0"/>
        <w:ind w:right="1133"/>
        <w:jc w:val="left"/>
        <w:rPr>
          <w:b w:val="0"/>
          <w:bCs w:val="0"/>
        </w:rPr>
      </w:pPr>
      <w:r>
        <w:rPr>
          <w:rFonts w:ascii="Times New Roman" w:hAnsi="Times New Roman" w:cs="Times New Roman" w:eastAsia="Times New Roman" w:hint="default"/>
        </w:rPr>
        <w:t>1</w:t>
      </w:r>
      <w:r>
        <w:rPr/>
        <w:t>、重要的非调整事项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08"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5,376,000.00</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5,376,000.00</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4</w:t>
      </w:r>
      <w:r>
        <w:rPr/>
        <w:t>、其他资产负债表日后事项说明</w:t>
      </w:r>
      <w:r>
        <w:rPr>
          <w:b w:val="0"/>
          <w:bCs w:val="0"/>
        </w:rPr>
      </w:r>
    </w:p>
    <w:p>
      <w:pPr>
        <w:spacing w:line="240" w:lineRule="auto" w:before="5"/>
        <w:rPr>
          <w:rFonts w:ascii="宋体" w:hAnsi="宋体" w:cs="宋体" w:eastAsia="宋体" w:hint="default"/>
          <w:b/>
          <w:bCs/>
          <w:sz w:val="32"/>
          <w:szCs w:val="32"/>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、对外大额投资</w:t>
      </w:r>
      <w:r>
        <w:rPr>
          <w:b w:val="0"/>
          <w:bCs w:val="0"/>
        </w:rPr>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b/>
          <w:bCs/>
          <w:sz w:val="27"/>
          <w:szCs w:val="27"/>
        </w:rPr>
      </w:pPr>
    </w:p>
    <w:p>
      <w:pPr>
        <w:pStyle w:val="BodyText"/>
        <w:spacing w:line="240" w:lineRule="auto" w:before="44"/>
        <w:ind w:left="513" w:right="1133"/>
        <w:jc w:val="left"/>
      </w:pPr>
      <w:r>
        <w:rPr/>
        <w:t>本公司于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9</w:t>
      </w:r>
      <w:r>
        <w:rPr/>
        <w:t>日起陆续购买各类理财产品等共计投资</w:t>
      </w:r>
      <w:r>
        <w:rPr>
          <w:rFonts w:ascii="Times New Roman" w:hAnsi="Times New Roman" w:cs="Times New Roman" w:eastAsia="Times New Roman" w:hint="default"/>
        </w:rPr>
        <w:t>4,020</w:t>
      </w:r>
      <w:r>
        <w:rPr/>
        <w:t>万元。</w:t>
      </w:r>
    </w:p>
    <w:p>
      <w:pPr>
        <w:spacing w:line="240" w:lineRule="auto" w:before="10"/>
        <w:rPr>
          <w:rFonts w:ascii="宋体" w:hAnsi="宋体" w:cs="宋体" w:eastAsia="宋体" w:hint="default"/>
          <w:sz w:val="16"/>
          <w:szCs w:val="16"/>
        </w:rPr>
      </w:pPr>
    </w:p>
    <w:p>
      <w:pPr>
        <w:pStyle w:val="BodyText"/>
        <w:spacing w:line="451" w:lineRule="auto"/>
        <w:ind w:left="513" w:right="1123"/>
        <w:jc w:val="left"/>
      </w:pPr>
      <w:r>
        <w:rPr>
          <w:rFonts w:ascii="Times New Roman" w:hAnsi="Times New Roman" w:cs="Times New Roman" w:eastAsia="Times New Roman" w:hint="default"/>
          <w:b/>
          <w:bCs/>
        </w:rPr>
        <w:t>2</w:t>
      </w:r>
      <w:r>
        <w:rPr>
          <w:rFonts w:ascii="宋体" w:hAnsi="宋体" w:cs="宋体" w:eastAsia="宋体" w:hint="default"/>
          <w:b/>
          <w:bCs/>
        </w:rPr>
        <w:t>、利润分配情况</w:t>
      </w:r>
      <w:r>
        <w:rPr>
          <w:rFonts w:ascii="宋体" w:hAnsi="宋体" w:cs="宋体" w:eastAsia="宋体" w:hint="default"/>
          <w:b/>
          <w:bCs/>
          <w:w w:val="99"/>
        </w:rPr>
        <w:t> </w:t>
      </w:r>
      <w:r>
        <w:rPr/>
        <w:t>根据</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日公司第四届董事会第十九次会议决议，公司拟以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268,800,000</w:t>
      </w:r>
      <w:r>
        <w:rPr/>
        <w:t>股为基数，</w:t>
      </w:r>
    </w:p>
    <w:p>
      <w:pPr>
        <w:pStyle w:val="BodyText"/>
        <w:spacing w:line="451" w:lineRule="auto" w:before="43"/>
        <w:ind w:right="1124"/>
        <w:jc w:val="left"/>
      </w:pPr>
      <w:r>
        <w:rPr/>
        <w:t>向全体股东每</w:t>
      </w:r>
      <w:r>
        <w:rPr>
          <w:rFonts w:ascii="Times New Roman" w:hAnsi="Times New Roman" w:cs="Times New Roman" w:eastAsia="Times New Roman" w:hint="default"/>
        </w:rPr>
        <w:t>10</w:t>
      </w:r>
      <w:r>
        <w:rPr/>
        <w:t>股派现金股利</w:t>
      </w:r>
      <w:r>
        <w:rPr>
          <w:rFonts w:ascii="Times New Roman" w:hAnsi="Times New Roman" w:cs="Times New Roman" w:eastAsia="Times New Roman" w:hint="default"/>
        </w:rPr>
        <w:t>0.2</w:t>
      </w:r>
      <w:r>
        <w:rPr/>
        <w:t>元（含税），合计派发现金股利</w:t>
      </w:r>
      <w:r>
        <w:rPr>
          <w:rFonts w:ascii="Times New Roman" w:hAnsi="Times New Roman" w:cs="Times New Roman" w:eastAsia="Times New Roman" w:hint="default"/>
        </w:rPr>
        <w:t>5,376,000.00</w:t>
      </w:r>
      <w:r>
        <w:rPr/>
        <w:t>元；不送红股，不以资本公积转增股本，剩余 未分配利润结转以后年度。</w:t>
      </w:r>
    </w:p>
    <w:p>
      <w:pPr>
        <w:pStyle w:val="BodyText"/>
        <w:spacing w:line="240" w:lineRule="auto" w:before="74"/>
        <w:ind w:left="513" w:right="1133"/>
        <w:jc w:val="left"/>
        <w:rPr>
          <w:rFonts w:ascii="Times New Roman" w:hAnsi="Times New Roman" w:cs="Times New Roman" w:eastAsia="Times New Roman" w:hint="default"/>
        </w:rPr>
      </w:pPr>
      <w:r>
        <w:rPr/>
        <w:t>上述分配预案需经股东大会审议通过后实施</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19"/>
          <w:szCs w:val="19"/>
        </w:rPr>
      </w:pPr>
    </w:p>
    <w:p>
      <w:pPr>
        <w:pStyle w:val="Heading4"/>
        <w:spacing w:line="240" w:lineRule="auto"/>
        <w:ind w:right="1133"/>
        <w:jc w:val="left"/>
        <w:rPr>
          <w:b w:val="0"/>
          <w:bCs w:val="0"/>
        </w:rPr>
      </w:pPr>
      <w:r>
        <w:rPr>
          <w:rFonts w:ascii="Times New Roman" w:hAnsi="Times New Roman" w:cs="Times New Roman" w:eastAsia="Times New Roman" w:hint="default"/>
        </w:rPr>
        <w:t>3</w:t>
      </w:r>
      <w:r>
        <w:rPr/>
        <w:t>、壹办公股权转让</w:t>
      </w:r>
      <w:r>
        <w:rPr>
          <w:b w:val="0"/>
          <w:bCs w:val="0"/>
        </w:rPr>
      </w:r>
    </w:p>
    <w:p>
      <w:pPr>
        <w:spacing w:line="240" w:lineRule="auto" w:before="9"/>
        <w:rPr>
          <w:rFonts w:ascii="宋体" w:hAnsi="宋体" w:cs="宋体" w:eastAsia="宋体" w:hint="default"/>
          <w:b/>
          <w:bCs/>
          <w:sz w:val="16"/>
          <w:szCs w:val="16"/>
        </w:rPr>
      </w:pPr>
    </w:p>
    <w:p>
      <w:pPr>
        <w:pStyle w:val="BodyText"/>
        <w:spacing w:line="451" w:lineRule="auto"/>
        <w:ind w:right="1128" w:firstLine="360"/>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26</w:t>
      </w:r>
      <w:r>
        <w:rPr>
          <w:spacing w:val="-2"/>
        </w:rPr>
        <w:t>日，公司召开第四届董事会第十七次会议，审议通过了《关于转让参股公司部分股权的议案》，转让壹办</w:t>
      </w:r>
      <w:r>
        <w:rPr/>
        <w:t> </w:t>
      </w:r>
      <w:r>
        <w:rPr>
          <w:spacing w:val="-1"/>
        </w:rPr>
        <w:t>公</w:t>
      </w:r>
      <w:r>
        <w:rPr>
          <w:rFonts w:ascii="Times New Roman" w:hAnsi="Times New Roman" w:cs="Times New Roman" w:eastAsia="Times New Roman" w:hint="default"/>
          <w:spacing w:val="-1"/>
        </w:rPr>
        <w:t>3,364,000</w:t>
      </w:r>
      <w:r>
        <w:rPr>
          <w:spacing w:val="-1"/>
        </w:rPr>
        <w:t>股，占壹办公总股本的</w:t>
      </w:r>
      <w:r>
        <w:rPr>
          <w:rFonts w:ascii="Times New Roman" w:hAnsi="Times New Roman" w:cs="Times New Roman" w:eastAsia="Times New Roman" w:hint="default"/>
          <w:spacing w:val="-1"/>
        </w:rPr>
        <w:t>8.732%</w:t>
      </w:r>
      <w:r>
        <w:rPr>
          <w:spacing w:val="-1"/>
        </w:rPr>
        <w:t>，转让金额总计</w:t>
      </w:r>
      <w:r>
        <w:rPr>
          <w:rFonts w:ascii="Times New Roman" w:hAnsi="Times New Roman" w:cs="Times New Roman" w:eastAsia="Times New Roman" w:hint="default"/>
          <w:spacing w:val="-1"/>
        </w:rPr>
        <w:t>14,667,040.00</w:t>
      </w:r>
      <w:r>
        <w:rPr>
          <w:spacing w:val="-1"/>
        </w:rPr>
        <w:t>元；本次转让后公司仍持有壹办公</w:t>
      </w:r>
      <w:r>
        <w:rPr>
          <w:rFonts w:ascii="Times New Roman" w:hAnsi="Times New Roman" w:cs="Times New Roman" w:eastAsia="Times New Roman" w:hint="default"/>
          <w:spacing w:val="-1"/>
        </w:rPr>
        <w:t>7,229,792</w:t>
      </w:r>
      <w:r>
        <w:rPr>
          <w:spacing w:val="-1"/>
        </w:rPr>
        <w:t>股，占壹</w:t>
      </w:r>
      <w:r>
        <w:rPr>
          <w:spacing w:val="-83"/>
        </w:rPr>
        <w:t> </w:t>
      </w:r>
      <w:r>
        <w:rPr>
          <w:spacing w:val="-83"/>
        </w:rPr>
      </w:r>
      <w:r>
        <w:rPr/>
        <w:t>办公总股本的</w:t>
      </w:r>
      <w:r>
        <w:rPr>
          <w:rFonts w:ascii="Times New Roman" w:hAnsi="Times New Roman" w:cs="Times New Roman" w:eastAsia="Times New Roman" w:hint="default"/>
        </w:rPr>
        <w:t>18.768%</w:t>
      </w:r>
      <w:r>
        <w:rPr/>
        <w:t>。</w:t>
      </w:r>
    </w:p>
    <w:p>
      <w:pPr>
        <w:pStyle w:val="BodyText"/>
        <w:spacing w:line="240" w:lineRule="auto" w:before="43"/>
        <w:ind w:left="513" w:right="0"/>
        <w:jc w:val="left"/>
      </w:pP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日，公司收到交易方彭璐、温州易津创业投资合伙企业（有限合伙）、新余银石十五号投资管理合伙企业</w:t>
      </w:r>
    </w:p>
    <w:p>
      <w:pPr>
        <w:spacing w:line="240" w:lineRule="auto" w:before="9"/>
        <w:rPr>
          <w:rFonts w:ascii="宋体" w:hAnsi="宋体" w:cs="宋体" w:eastAsia="宋体" w:hint="default"/>
          <w:sz w:val="16"/>
          <w:szCs w:val="16"/>
        </w:rPr>
      </w:pPr>
    </w:p>
    <w:p>
      <w:pPr>
        <w:pStyle w:val="BodyText"/>
        <w:spacing w:line="477" w:lineRule="auto"/>
        <w:ind w:right="1129"/>
        <w:jc w:val="left"/>
      </w:pPr>
      <w:r>
        <w:rPr>
          <w:spacing w:val="-2"/>
        </w:rPr>
        <w:t>（有限合伙）三方各自发来的函件。由于新冠肺炎疫情事件的发生，其所在区域属于重点疫区，导致其不能按照约定时间履</w:t>
      </w:r>
      <w:r>
        <w:rPr>
          <w:spacing w:val="-65"/>
        </w:rPr>
        <w:t> </w:t>
      </w:r>
      <w:r>
        <w:rPr>
          <w:spacing w:val="-65"/>
        </w:rPr>
      </w:r>
      <w:r>
        <w:rPr/>
        <w:t>行支付股权转让款的义务。</w:t>
      </w:r>
    </w:p>
    <w:p>
      <w:pPr>
        <w:pStyle w:val="BodyText"/>
        <w:spacing w:line="477" w:lineRule="auto" w:before="54"/>
        <w:ind w:right="1133" w:firstLine="360"/>
        <w:jc w:val="left"/>
      </w:pPr>
      <w:r>
        <w:rPr>
          <w:spacing w:val="-2"/>
        </w:rPr>
        <w:t>因此，彭璐、温州易津创业投资合伙企业（有限合伙）、新余银石十五号投资管理合伙企业（有限合伙）诚请公司及其</w:t>
      </w:r>
      <w:r>
        <w:rPr/>
        <w:t> 他协议方签署补充协议，同意延期履行。具体延期履行的时间，待各方合理协商后，在补充协议中明确约定。</w:t>
      </w:r>
    </w:p>
    <w:p>
      <w:pPr>
        <w:pStyle w:val="Heading4"/>
        <w:spacing w:line="240" w:lineRule="auto" w:before="54"/>
        <w:ind w:right="1133"/>
        <w:jc w:val="left"/>
        <w:rPr>
          <w:b w:val="0"/>
          <w:bCs w:val="0"/>
        </w:rPr>
      </w:pPr>
      <w:r>
        <w:rPr>
          <w:rFonts w:ascii="Times New Roman" w:hAnsi="Times New Roman" w:cs="Times New Roman" w:eastAsia="Times New Roman" w:hint="default"/>
        </w:rPr>
        <w:t>4</w:t>
      </w:r>
      <w:r>
        <w:rPr/>
        <w:t>、除上述事项外，截止财务报告日，本公司无其他需要披露的重要资产负债表日后事项。</w:t>
      </w:r>
      <w:r>
        <w:rPr>
          <w:b w:val="0"/>
          <w:bCs w:val="0"/>
        </w:rPr>
      </w:r>
    </w:p>
    <w:p>
      <w:pPr>
        <w:spacing w:line="240" w:lineRule="auto" w:before="0"/>
        <w:rPr>
          <w:rFonts w:ascii="宋体" w:hAnsi="宋体" w:cs="宋体" w:eastAsia="宋体" w:hint="default"/>
          <w:b/>
          <w:bCs/>
          <w:sz w:val="18"/>
          <w:szCs w:val="18"/>
        </w:rPr>
      </w:pPr>
    </w:p>
    <w:p>
      <w:pPr>
        <w:pStyle w:val="Heading2"/>
        <w:spacing w:line="240" w:lineRule="auto" w:before="158"/>
        <w:ind w:right="1133"/>
        <w:jc w:val="left"/>
        <w:rPr>
          <w:b w:val="0"/>
          <w:bCs w:val="0"/>
        </w:rPr>
      </w:pPr>
      <w:r>
        <w:rPr/>
        <w:t>十六、其他重要事项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before="0"/>
        <w:ind w:right="1133"/>
        <w:jc w:val="left"/>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before="0"/>
        <w:ind w:right="1133"/>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5"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0" w:right="108" w:hanging="721"/>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74"/>
      </w:tblGrid>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8"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b/>
          <w:bCs/>
          <w:sz w:val="20"/>
          <w:szCs w:val="20"/>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before="0"/>
        <w:ind w:right="1133"/>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7"/>
        <w:rPr>
          <w:rFonts w:ascii="宋体" w:hAnsi="宋体" w:cs="宋体" w:eastAsia="宋体" w:hint="default"/>
          <w:b/>
          <w:bCs/>
          <w:sz w:val="24"/>
          <w:szCs w:val="24"/>
        </w:rPr>
      </w:pPr>
    </w:p>
    <w:p>
      <w:pPr>
        <w:pStyle w:val="Heading3"/>
        <w:spacing w:line="240" w:lineRule="auto" w:before="0"/>
        <w:ind w:right="1133"/>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before="0"/>
        <w:ind w:right="1133"/>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7"/>
        <w:rPr>
          <w:rFonts w:ascii="宋体" w:hAnsi="宋体" w:cs="宋体" w:eastAsia="宋体" w:hint="default"/>
          <w:b/>
          <w:bCs/>
          <w:sz w:val="24"/>
          <w:szCs w:val="24"/>
        </w:rPr>
      </w:pPr>
    </w:p>
    <w:p>
      <w:pPr>
        <w:pStyle w:val="Heading3"/>
        <w:spacing w:line="240" w:lineRule="auto" w:before="0"/>
        <w:ind w:right="1133"/>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before="0"/>
        <w:ind w:right="1133"/>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8"/>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spacing w:line="240" w:lineRule="auto" w:before="4"/>
        <w:rPr>
          <w:rFonts w:ascii="宋体" w:hAnsi="宋体" w:cs="宋体" w:eastAsia="宋体" w:hint="default"/>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before="0"/>
        <w:ind w:right="1133"/>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before="0"/>
        <w:ind w:right="1133"/>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2392"/>
        <w:gridCol w:w="2381"/>
      </w:tblGrid>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7"/>
        <w:rPr>
          <w:rFonts w:ascii="宋体" w:hAnsi="宋体" w:cs="宋体" w:eastAsia="宋体" w:hint="default"/>
          <w:b/>
          <w:bCs/>
          <w:sz w:val="24"/>
          <w:szCs w:val="24"/>
        </w:rPr>
      </w:pPr>
    </w:p>
    <w:p>
      <w:pPr>
        <w:pStyle w:val="Heading3"/>
        <w:spacing w:line="240" w:lineRule="auto" w:before="0"/>
        <w:ind w:right="1133"/>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before="0"/>
        <w:ind w:right="1133"/>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7"/>
        <w:rPr>
          <w:rFonts w:ascii="宋体" w:hAnsi="宋体" w:cs="宋体" w:eastAsia="宋体" w:hint="default"/>
          <w:b/>
          <w:bCs/>
          <w:sz w:val="24"/>
          <w:szCs w:val="24"/>
        </w:rPr>
      </w:pPr>
    </w:p>
    <w:p>
      <w:pPr>
        <w:spacing w:line="487" w:lineRule="auto" w:before="0"/>
        <w:ind w:left="152" w:right="68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十七、母公司财务报表主要项目注释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3"/>
        <w:spacing w:line="240" w:lineRule="auto" w:before="84"/>
        <w:ind w:right="1133"/>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1527"/>
        <w:gridCol w:w="1524"/>
        <w:gridCol w:w="790"/>
        <w:gridCol w:w="1572"/>
        <w:gridCol w:w="1589"/>
        <w:gridCol w:w="931"/>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1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800"/>
        <w:gridCol w:w="790"/>
        <w:gridCol w:w="931"/>
      </w:tblGrid>
      <w:tr>
        <w:trPr>
          <w:trHeight w:val="161"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392" w:hRule="exact"/>
        </w:trPr>
        <w:tc>
          <w:tcPr>
            <w:tcW w:w="1635" w:type="dxa"/>
            <w:vMerge/>
            <w:tcBorders>
              <w:left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6"/>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80,470,4</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12.22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4,811,67</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5.88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75,658,73</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6.34</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93,826,07</w:t>
            </w:r>
          </w:p>
          <w:p>
            <w:pPr>
              <w:pStyle w:val="TableParagraph"/>
              <w:spacing w:line="240" w:lineRule="auto" w:before="105"/>
              <w:ind w:left="429" w:right="0"/>
              <w:jc w:val="left"/>
              <w:rPr>
                <w:rFonts w:ascii="Times New Roman" w:hAnsi="Times New Roman" w:cs="Times New Roman" w:eastAsia="Times New Roman" w:hint="default"/>
                <w:sz w:val="18"/>
                <w:szCs w:val="18"/>
              </w:rPr>
            </w:pPr>
            <w:r>
              <w:rPr>
                <w:rFonts w:ascii="Times New Roman"/>
                <w:sz w:val="18"/>
              </w:rPr>
              <w:t>4.52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4,028,773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89,797,300.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55</w:t>
            </w: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销售货款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80,470,4</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12.22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4,811,67</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5.88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75,658,73</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6.34</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65,394,78</w:t>
            </w:r>
          </w:p>
          <w:p>
            <w:pPr>
              <w:pStyle w:val="TableParagraph"/>
              <w:spacing w:line="240" w:lineRule="auto" w:before="105"/>
              <w:ind w:left="429" w:right="0"/>
              <w:jc w:val="left"/>
              <w:rPr>
                <w:rFonts w:ascii="Times New Roman" w:hAnsi="Times New Roman" w:cs="Times New Roman" w:eastAsia="Times New Roman" w:hint="default"/>
                <w:sz w:val="18"/>
                <w:szCs w:val="18"/>
              </w:rPr>
            </w:pPr>
            <w:r>
              <w:rPr>
                <w:rFonts w:ascii="Times New Roman"/>
                <w:sz w:val="18"/>
              </w:rPr>
              <w:t>9.91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69.70%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4,028,773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61,366,015.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94</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9"/>
              <w:jc w:val="left"/>
              <w:rPr>
                <w:rFonts w:ascii="宋体" w:hAnsi="宋体" w:cs="宋体" w:eastAsia="宋体" w:hint="default"/>
                <w:sz w:val="18"/>
                <w:szCs w:val="18"/>
              </w:rPr>
            </w:pPr>
            <w:r>
              <w:rPr>
                <w:rFonts w:ascii="宋体" w:hAnsi="宋体" w:cs="宋体" w:eastAsia="宋体" w:hint="default"/>
                <w:sz w:val="18"/>
                <w:szCs w:val="18"/>
              </w:rPr>
              <w:t>合并范围内关联方 货款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28,431,28</w:t>
            </w:r>
          </w:p>
          <w:p>
            <w:pPr>
              <w:pStyle w:val="TableParagraph"/>
              <w:spacing w:line="240" w:lineRule="auto" w:before="102"/>
              <w:ind w:left="429" w:right="0"/>
              <w:jc w:val="left"/>
              <w:rPr>
                <w:rFonts w:ascii="Times New Roman" w:hAnsi="Times New Roman" w:cs="Times New Roman" w:eastAsia="Times New Roman" w:hint="default"/>
                <w:sz w:val="18"/>
                <w:szCs w:val="18"/>
              </w:rPr>
            </w:pPr>
            <w:r>
              <w:rPr>
                <w:rFonts w:ascii="Times New Roman"/>
                <w:sz w:val="18"/>
              </w:rPr>
              <w:t>4.61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30.30%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28,431,284.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61</w:t>
            </w:r>
          </w:p>
        </w:tc>
      </w:tr>
      <w:tr>
        <w:trPr>
          <w:trHeight w:val="71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80,470,4</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12.22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4,811,67</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5.88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75,658,73</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6.34</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93,826,07</w:t>
            </w:r>
          </w:p>
          <w:p>
            <w:pPr>
              <w:pStyle w:val="TableParagraph"/>
              <w:spacing w:line="240" w:lineRule="auto" w:before="105"/>
              <w:ind w:left="429" w:right="0"/>
              <w:jc w:val="left"/>
              <w:rPr>
                <w:rFonts w:ascii="Times New Roman" w:hAnsi="Times New Roman" w:cs="Times New Roman" w:eastAsia="Times New Roman" w:hint="default"/>
                <w:sz w:val="18"/>
                <w:szCs w:val="18"/>
              </w:rPr>
            </w:pPr>
            <w:r>
              <w:rPr>
                <w:rFonts w:ascii="Times New Roman"/>
                <w:sz w:val="18"/>
              </w:rPr>
              <w:t>4.52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4,028,773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6.16%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89,797,300.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55</w:t>
            </w:r>
          </w:p>
        </w:tc>
      </w:tr>
    </w:tbl>
    <w:p>
      <w:pPr>
        <w:pStyle w:val="BodyText"/>
        <w:spacing w:line="240" w:lineRule="auto" w:before="49"/>
        <w:ind w:right="1133"/>
        <w:jc w:val="left"/>
      </w:pPr>
      <w:r>
        <w:rPr/>
        <w:t>按单项计提坏账准备：</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04"/>
      </w:tblGrid>
      <w:tr>
        <w:trPr>
          <w:trHeight w:val="401"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4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49"/>
        <w:ind w:right="1133"/>
        <w:jc w:val="left"/>
      </w:pPr>
      <w:r>
        <w:rPr/>
        <w:t>按组合计提坏账准备：</w:t>
      </w:r>
      <w:r>
        <w:rPr>
          <w:rFonts w:ascii="Times New Roman" w:hAnsi="Times New Roman" w:cs="Times New Roman" w:eastAsia="Times New Roman" w:hint="default"/>
        </w:rPr>
        <w:t>782,901.91</w:t>
      </w:r>
      <w:r>
        <w:rPr>
          <w:rFonts w:ascii="Times New Roman" w:hAnsi="Times New Roman" w:cs="Times New Roman" w:eastAsia="Times New Roman" w:hint="default"/>
          <w:spacing w:val="1"/>
        </w:rPr>
        <w:t> </w:t>
      </w:r>
      <w:r>
        <w:rPr/>
        <w:t>元</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75,356,174.54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3,767,808.73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4,291,572.30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429,157.23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297,079.23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89,123.77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525,586.15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525,586.15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80,470,412.22</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4,811,675.88</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100" w:bottom="1160" w:left="980" w:right="0"/>
        </w:sectPr>
      </w:pPr>
    </w:p>
    <w:p>
      <w:pPr>
        <w:pStyle w:val="BodyText"/>
        <w:spacing w:line="360" w:lineRule="auto" w:before="49"/>
        <w:ind w:right="-20"/>
        <w:jc w:val="left"/>
      </w:pPr>
      <w:r>
        <w:rPr/>
        <w:t>确定该组合依据的说明： 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2133" w:space="669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0"/>
      </w:tblGrid>
      <w:tr>
        <w:trPr>
          <w:trHeight w:val="403"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60" w:lineRule="auto" w:before="49"/>
        <w:ind w:right="1754"/>
        <w:jc w:val="left"/>
      </w:pPr>
      <w:r>
        <w:rPr/>
        <w:t>确定该组合依据的说明： 如是按照预期信用损失一般模型计提应收账款坏账准备，请参照其他应收款的披露方式披露坏账准备的相关信息：</w:t>
      </w:r>
    </w:p>
    <w:p>
      <w:pPr>
        <w:pStyle w:val="BodyText"/>
        <w:spacing w:line="340" w:lineRule="auto" w:before="2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pStyle w:val="BodyText"/>
        <w:spacing w:line="240" w:lineRule="auto" w:before="4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75,356,174.54</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4,291,572.30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297,079.23</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525,586.15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46,110.00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68,871.75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410,604.40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80,470,412.22</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1133"/>
        <w:jc w:val="left"/>
      </w:pPr>
      <w:r>
        <w:rPr/>
        <w:t>本期计提坏账准备情况：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3"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1133"/>
        <w:jc w:val="left"/>
      </w:pPr>
      <w:r>
        <w:rPr/>
        <w:t>其中本期坏账准备收回或转回金额重要的：</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2"/>
        <w:gridCol w:w="3088"/>
      </w:tblGrid>
      <w:tr>
        <w:trPr>
          <w:trHeight w:val="403"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1133"/>
        <w:jc w:val="left"/>
      </w:pPr>
      <w:r>
        <w:rPr/>
        <w:t>其中重要的应收账款核销情况：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04"/>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32" w:right="68"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1133"/>
        <w:jc w:val="left"/>
      </w:pPr>
      <w:r>
        <w:rPr/>
        <w:t>应收账款核销说明：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6"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21" w:right="111" w:hanging="812"/>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7,605,690.02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380,284.50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4,928,992.85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246,449.64</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4,902,594.22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245,129.71</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4,391,205.21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219,560.26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3,849,215.22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8" w:right="0"/>
              <w:jc w:val="left"/>
              <w:rPr>
                <w:rFonts w:ascii="Times New Roman" w:hAnsi="Times New Roman" w:cs="Times New Roman" w:eastAsia="Times New Roman" w:hint="default"/>
                <w:sz w:val="18"/>
                <w:szCs w:val="18"/>
              </w:rPr>
            </w:pPr>
            <w:r>
              <w:rPr>
                <w:rFonts w:ascii="Times New Roman"/>
                <w:sz w:val="18"/>
              </w:rPr>
              <w:t>372,905.77</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25,677,697.52</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4"/>
              <w:ind w:right="6"/>
              <w:jc w:val="right"/>
              <w:rPr>
                <w:rFonts w:ascii="Times New Roman" w:hAnsi="Times New Roman" w:cs="Times New Roman" w:eastAsia="Times New Roman" w:hint="default"/>
                <w:sz w:val="18"/>
                <w:szCs w:val="18"/>
              </w:rPr>
            </w:pPr>
            <w:r>
              <w:rPr>
                <w:rFonts w:ascii="Times New Roman"/>
                <w:sz w:val="18"/>
              </w:rPr>
              <w:t>31.91%</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1,250,558.75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1,068,433.64</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7,380,018.20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20,065,493.91</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8,630,576.95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21,133,927.55</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before="0"/>
        <w:ind w:right="1133"/>
        <w:jc w:val="left"/>
        <w:rPr>
          <w:b w:val="0"/>
          <w:bCs w:val="0"/>
        </w:rPr>
      </w:pPr>
      <w:r>
        <w:rPr>
          <w:rFonts w:ascii="Times New Roman" w:hAnsi="Times New Roman" w:cs="Times New Roman" w:eastAsia="Times New Roman" w:hint="default"/>
        </w:rPr>
        <w:t>1</w:t>
      </w:r>
      <w:r>
        <w:rPr/>
        <w:t>）应收利息分类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1,250,558.75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1,068,433.64</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1,250,558.75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1,068,433.64</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）重要逾期利息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04"/>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73" w:right="39"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line="240" w:lineRule="auto" w:before="3"/>
        <w:rPr>
          <w:rFonts w:ascii="宋体" w:hAnsi="宋体" w:cs="宋体" w:eastAsia="宋体" w:hint="default"/>
          <w:b/>
          <w:bCs/>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before="0"/>
        <w:ind w:right="1133"/>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before="0"/>
        <w:ind w:right="1133"/>
        <w:jc w:val="left"/>
        <w:rPr>
          <w:b w:val="0"/>
          <w:bCs w:val="0"/>
        </w:rPr>
      </w:pPr>
      <w:r>
        <w:rPr>
          <w:rFonts w:ascii="Times New Roman" w:hAnsi="Times New Roman" w:cs="Times New Roman" w:eastAsia="Times New Roman" w:hint="default"/>
        </w:rPr>
        <w:t>1</w:t>
      </w:r>
      <w:r>
        <w:rPr/>
        <w:t>）应收股利分类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4"/>
        <w:rPr>
          <w:rFonts w:ascii="宋体" w:hAnsi="宋体" w:cs="宋体" w:eastAsia="宋体" w:hint="default"/>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）重要的账龄超过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0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3" w:right="39"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line="240" w:lineRule="auto" w:before="4"/>
        <w:rPr>
          <w:rFonts w:ascii="宋体" w:hAnsi="宋体" w:cs="宋体" w:eastAsia="宋体" w:hint="default"/>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before="0"/>
        <w:ind w:right="1133"/>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before="0"/>
        <w:ind w:right="1133"/>
        <w:jc w:val="left"/>
        <w:rPr>
          <w:b w:val="0"/>
          <w:bCs w:val="0"/>
        </w:rPr>
      </w:pPr>
      <w:r>
        <w:rPr>
          <w:rFonts w:ascii="Times New Roman" w:hAnsi="Times New Roman" w:cs="Times New Roman" w:eastAsia="Times New Roman" w:hint="default"/>
        </w:rPr>
        <w:t>1</w:t>
      </w:r>
      <w:r>
        <w:rPr/>
        <w:t>）其他应收款按款项性质分类情况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7,350,104.75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20,053,552.16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30,643.52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3,105.95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10,051.76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代扣代缴款项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2,687.84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7,383,436.11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20,066,709.87</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）坏账准备计提情况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5"/>
        <w:gridCol w:w="1651"/>
        <w:gridCol w:w="2098"/>
        <w:gridCol w:w="2101"/>
        <w:gridCol w:w="1805"/>
      </w:tblGrid>
      <w:tr>
        <w:trPr>
          <w:trHeight w:val="403" w:hRule="exact"/>
        </w:trPr>
        <w:tc>
          <w:tcPr>
            <w:tcW w:w="19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9"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0" w:hRule="exact"/>
        </w:trPr>
        <w:tc>
          <w:tcPr>
            <w:tcW w:w="19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58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1"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548"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717"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2" w:hRule="exact"/>
        </w:trPr>
        <w:tc>
          <w:tcPr>
            <w:tcW w:w="19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651"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1"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1,215.96</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1,215.96</w:t>
            </w:r>
          </w:p>
        </w:tc>
      </w:tr>
      <w:tr>
        <w:trPr>
          <w:trHeight w:val="161" w:hRule="exact"/>
        </w:trPr>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3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05" w:type="dxa"/>
            <w:vMerge/>
            <w:tcBorders>
              <w:left w:val="single" w:sz="4" w:space="0" w:color="000000"/>
              <w:right w:val="single" w:sz="4" w:space="0" w:color="000000"/>
            </w:tcBorders>
            <w:shd w:val="clear" w:color="auto" w:fill="D2D2D2"/>
          </w:tcPr>
          <w:p>
            <w:pPr/>
          </w:p>
        </w:tc>
        <w:tc>
          <w:tcPr>
            <w:tcW w:w="16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7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1905" w:type="dxa"/>
            <w:vMerge/>
            <w:tcBorders>
              <w:left w:val="single" w:sz="4" w:space="0" w:color="000000"/>
              <w:bottom w:val="single" w:sz="4" w:space="0" w:color="000000"/>
              <w:right w:val="single" w:sz="4" w:space="0" w:color="000000"/>
            </w:tcBorders>
            <w:shd w:val="clear" w:color="auto" w:fill="D2D2D2"/>
          </w:tcPr>
          <w:p>
            <w:pPr/>
          </w:p>
        </w:tc>
        <w:tc>
          <w:tcPr>
            <w:tcW w:w="1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2,201.95</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2,201.95</w:t>
            </w:r>
          </w:p>
        </w:tc>
      </w:tr>
      <w:tr>
        <w:trPr>
          <w:trHeight w:val="401"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3,417.91</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3,417.91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pStyle w:val="BodyText"/>
        <w:spacing w:line="240" w:lineRule="auto" w:before="49"/>
        <w:ind w:right="-20"/>
        <w:jc w:val="left"/>
      </w:pPr>
      <w:r>
        <w:rPr/>
        <w:t>损失准备本期变动金额重大的账面余额变动情况</w:t>
      </w:r>
    </w:p>
    <w:p>
      <w:pPr>
        <w:pStyle w:val="BodyText"/>
        <w:spacing w:line="338" w:lineRule="auto" w:before="117"/>
        <w:ind w:right="1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933" w:space="4896"/>
            <w:col w:w="2101"/>
          </w:cols>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31,487.84</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1,843.52</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1,843.52</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33,331.36</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本期计提坏账准备情况：</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80"/>
        <w:gridCol w:w="1087"/>
        <w:gridCol w:w="1332"/>
        <w:gridCol w:w="1330"/>
        <w:gridCol w:w="1090"/>
        <w:gridCol w:w="1577"/>
        <w:gridCol w:w="1574"/>
      </w:tblGrid>
      <w:tr>
        <w:trPr>
          <w:trHeight w:val="401" w:hRule="exact"/>
        </w:trPr>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580" w:type="dxa"/>
            <w:vMerge/>
            <w:tcBorders>
              <w:left w:val="single" w:sz="4" w:space="0" w:color="000000"/>
              <w:bottom w:val="single" w:sz="4" w:space="0" w:color="000000"/>
              <w:right w:val="single" w:sz="4" w:space="0" w:color="000000"/>
            </w:tcBorders>
            <w:shd w:val="clear" w:color="auto" w:fill="D2D2D2"/>
          </w:tcPr>
          <w:p>
            <w:pPr/>
          </w:p>
        </w:tc>
        <w:tc>
          <w:tcPr>
            <w:tcW w:w="1087" w:type="dxa"/>
            <w:vMerge/>
            <w:tcBorders>
              <w:left w:val="single" w:sz="4" w:space="0" w:color="000000"/>
              <w:bottom w:val="single" w:sz="4" w:space="0" w:color="000000"/>
              <w:right w:val="single" w:sz="4" w:space="0" w:color="000000"/>
            </w:tcBorders>
            <w:shd w:val="clear" w:color="auto" w:fill="D2D2D2"/>
          </w:tcPr>
          <w:p>
            <w:pP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0"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4"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5"/>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1,215.96</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2,201.95</w:t>
            </w:r>
          </w:p>
        </w:tc>
        <w:tc>
          <w:tcPr>
            <w:tcW w:w="13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3,417.91</w:t>
            </w:r>
          </w:p>
        </w:tc>
      </w:tr>
      <w:tr>
        <w:trPr>
          <w:trHeight w:val="403"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1,215.96</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2,201.95</w:t>
            </w:r>
          </w:p>
        </w:tc>
        <w:tc>
          <w:tcPr>
            <w:tcW w:w="13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3,417.91</w:t>
            </w:r>
          </w:p>
        </w:tc>
      </w:tr>
    </w:tbl>
    <w:p>
      <w:pPr>
        <w:pStyle w:val="BodyText"/>
        <w:spacing w:line="240" w:lineRule="auto" w:before="49"/>
        <w:ind w:right="1133"/>
        <w:jc w:val="left"/>
      </w:pPr>
      <w:r>
        <w:rPr/>
        <w:t>其中本期坏账准备转回或收回金额重要的：</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）本期实际核销的其他应收款情况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1133"/>
        <w:jc w:val="left"/>
      </w:pPr>
      <w:r>
        <w:rPr/>
        <w:t>其中重要的其他应收款核销情况：</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04"/>
      </w:tblGrid>
      <w:tr>
        <w:trPr>
          <w:trHeight w:val="715"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32" w:right="68"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1133"/>
        <w:jc w:val="left"/>
      </w:pPr>
      <w:r>
        <w:rPr/>
        <w:t>其他应收款核销说明：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环球影像系统有限公 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7,350,104.75</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85.13%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押金备用金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30,643.52</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3,283.52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上海外服苏州人力资 源服务有限公司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代扣代缴款项</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2,687.84</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134.39</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7,383,436.11</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85.51%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3,417.91</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6</w:t>
      </w:r>
      <w:r>
        <w:rPr/>
        <w:t>）涉及政府补助的应收款项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5"/>
        <w:gridCol w:w="1865"/>
        <w:gridCol w:w="1868"/>
        <w:gridCol w:w="1867"/>
        <w:gridCol w:w="1934"/>
      </w:tblGrid>
      <w:tr>
        <w:trPr>
          <w:trHeight w:val="714" w:hRule="exact"/>
        </w:trPr>
        <w:tc>
          <w:tcPr>
            <w:tcW w:w="2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98" w:right="54"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240" w:lineRule="auto" w:before="8"/>
        <w:ind w:right="1133"/>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8"/>
        <w:gridCol w:w="1366"/>
        <w:gridCol w:w="1368"/>
        <w:gridCol w:w="1366"/>
        <w:gridCol w:w="1368"/>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376,603,386.36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376,603,386.36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206,738,869.11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206,738,869.11</w:t>
            </w:r>
          </w:p>
        </w:tc>
      </w:tr>
      <w:tr>
        <w:trPr>
          <w:trHeight w:val="71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3"/>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18,504,873.81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18,504,873.81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37,147,586.86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37,147,586.86</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395,108,260.17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395,108,260.17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243,886,455.97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243,886,455.97</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68"/>
        <w:gridCol w:w="1166"/>
        <w:gridCol w:w="1167"/>
        <w:gridCol w:w="1164"/>
        <w:gridCol w:w="1167"/>
        <w:gridCol w:w="1214"/>
        <w:gridCol w:w="1213"/>
        <w:gridCol w:w="1214"/>
      </w:tblGrid>
      <w:tr>
        <w:trPr>
          <w:trHeight w:val="403"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4"/>
              <w:ind w:left="278" w:right="96"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471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4"/>
              <w:ind w:left="391" w:right="29"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12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422" w:right="60"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01"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3" w:type="dxa"/>
            <w:vMerge/>
            <w:tcBorders>
              <w:left w:val="single" w:sz="4" w:space="0" w:color="000000"/>
              <w:bottom w:val="single" w:sz="4" w:space="0" w:color="000000"/>
              <w:right w:val="single" w:sz="4" w:space="0" w:color="000000"/>
            </w:tcBorders>
            <w:shd w:val="clear" w:color="auto" w:fill="D2D2D2"/>
          </w:tcPr>
          <w:p>
            <w:pPr/>
          </w:p>
        </w:tc>
        <w:tc>
          <w:tcPr>
            <w:tcW w:w="1214"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苏州吴中恒久 光电子科技有 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环球影像系统 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822,369.11</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822,369.11</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4" w:right="0"/>
              <w:jc w:val="left"/>
              <w:rPr>
                <w:rFonts w:ascii="Times New Roman" w:hAnsi="Times New Roman" w:cs="Times New Roman" w:eastAsia="Times New Roman" w:hint="default"/>
                <w:sz w:val="18"/>
                <w:szCs w:val="18"/>
              </w:rPr>
            </w:pPr>
            <w:r>
              <w:rPr>
                <w:rFonts w:ascii="Times New Roman"/>
                <w:sz w:val="18"/>
              </w:rPr>
              <w:t>GOLDENGREE</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6,116,500.00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6,116,500.00</w:t>
            </w:r>
          </w:p>
        </w:tc>
        <w:tc>
          <w:tcPr>
            <w:tcW w:w="12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268"/>
        <w:gridCol w:w="1166"/>
        <w:gridCol w:w="1167"/>
        <w:gridCol w:w="1164"/>
        <w:gridCol w:w="1167"/>
        <w:gridCol w:w="1214"/>
        <w:gridCol w:w="1213"/>
        <w:gridCol w:w="1214"/>
      </w:tblGrid>
      <w:tr>
        <w:trPr>
          <w:trHeight w:val="1299"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24" w:right="75"/>
              <w:jc w:val="left"/>
              <w:rPr>
                <w:rFonts w:ascii="Times New Roman" w:hAnsi="Times New Roman" w:cs="Times New Roman" w:eastAsia="Times New Roman" w:hint="default"/>
                <w:sz w:val="18"/>
                <w:szCs w:val="18"/>
              </w:rPr>
            </w:pPr>
            <w:r>
              <w:rPr>
                <w:rFonts w:ascii="Times New Roman"/>
                <w:sz w:val="18"/>
              </w:rPr>
              <w:t>N</w:t>
            </w:r>
            <w:r>
              <w:rPr>
                <w:rFonts w:ascii="Times New Roman"/>
                <w:w w:val="99"/>
                <w:sz w:val="18"/>
              </w:rPr>
              <w:t> </w:t>
            </w:r>
            <w:r>
              <w:rPr>
                <w:rFonts w:ascii="Times New Roman"/>
                <w:sz w:val="18"/>
              </w:rPr>
              <w:t>TECHNOLOGI</w:t>
            </w:r>
            <w:r>
              <w:rPr>
                <w:rFonts w:ascii="Times New Roman"/>
                <w:w w:val="99"/>
                <w:sz w:val="18"/>
              </w:rPr>
              <w:t> </w:t>
            </w:r>
            <w:r>
              <w:rPr>
                <w:rFonts w:ascii="Times New Roman"/>
                <w:sz w:val="18"/>
              </w:rPr>
              <w:t>ES</w:t>
            </w:r>
            <w:r>
              <w:rPr>
                <w:rFonts w:ascii="Times New Roman"/>
                <w:spacing w:val="1"/>
                <w:sz w:val="18"/>
              </w:rPr>
              <w:t> </w:t>
            </w:r>
            <w:r>
              <w:rPr>
                <w:rFonts w:ascii="Times New Roman"/>
                <w:sz w:val="18"/>
              </w:rPr>
              <w:t>EU</w:t>
            </w:r>
            <w:r>
              <w:rPr>
                <w:rFonts w:ascii="Times New Roman"/>
                <w:w w:val="99"/>
                <w:sz w:val="18"/>
              </w:rPr>
              <w:t> </w:t>
            </w:r>
            <w:r>
              <w:rPr>
                <w:rFonts w:ascii="Times New Roman"/>
                <w:sz w:val="18"/>
              </w:rPr>
              <w:t>LIMITED</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苏州恒久数码 科技有限公司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10,000,000.00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 w:right="0"/>
              <w:jc w:val="center"/>
              <w:rPr>
                <w:rFonts w:ascii="Times New Roman" w:hAnsi="Times New Roman" w:cs="Times New Roman" w:eastAsia="Times New Roman" w:hint="default"/>
                <w:sz w:val="18"/>
                <w:szCs w:val="18"/>
              </w:rPr>
            </w:pPr>
            <w:r>
              <w:rPr>
                <w:rFonts w:ascii="Times New Roman"/>
                <w:sz w:val="18"/>
              </w:rPr>
              <w:t>20,000,000.00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苏州恒久高新 产业发展有限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16,800,000.00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4" w:right="0"/>
              <w:jc w:val="center"/>
              <w:rPr>
                <w:rFonts w:ascii="Times New Roman" w:hAnsi="Times New Roman" w:cs="Times New Roman" w:eastAsia="Times New Roman" w:hint="default"/>
                <w:sz w:val="18"/>
                <w:szCs w:val="18"/>
              </w:rPr>
            </w:pPr>
            <w:r>
              <w:rPr>
                <w:rFonts w:ascii="Times New Roman"/>
                <w:sz w:val="18"/>
              </w:rPr>
              <w:t>20,000,000.00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苏州恒久商业 保理有限公司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33,000,000.00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 w:right="0"/>
              <w:jc w:val="center"/>
              <w:rPr>
                <w:rFonts w:ascii="Times New Roman" w:hAnsi="Times New Roman" w:cs="Times New Roman" w:eastAsia="Times New Roman" w:hint="default"/>
                <w:sz w:val="18"/>
                <w:szCs w:val="18"/>
              </w:rPr>
            </w:pPr>
            <w:r>
              <w:rPr>
                <w:rFonts w:ascii="Times New Roman"/>
                <w:sz w:val="18"/>
              </w:rPr>
              <w:t>50,000,000.00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苏州恒久影像 科技有限公司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福建省闽保信 息技术有限公 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139,664,517.2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139,664,517.25</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206,738,869.1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169,864,517.2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376,603,386.36</w:t>
            </w:r>
          </w:p>
        </w:tc>
        <w:tc>
          <w:tcPr>
            <w:tcW w:w="12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9"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9" w:lineRule="auto"/>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珠海宝利 通耗材有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9,097,032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-1,587,92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0.92</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7,509,111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深圳市壹 办公科技 股份有限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28,050,55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4.04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-11,938,9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03.76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5,115,888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10,995,76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1.91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37,147,58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6.86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-13,526,8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24.68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5,115,888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18,504,87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3.81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37,147,58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6.86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-13,526,8</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24.68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5,115,888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18,504,87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3.81</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4"/>
        <w:gridCol w:w="1835"/>
        <w:gridCol w:w="1913"/>
        <w:gridCol w:w="1913"/>
        <w:gridCol w:w="1916"/>
      </w:tblGrid>
      <w:tr>
        <w:trPr>
          <w:trHeight w:val="206" w:hRule="exact"/>
        </w:trPr>
        <w:tc>
          <w:tcPr>
            <w:tcW w:w="1984"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0" w:hRule="exact"/>
        </w:trPr>
        <w:tc>
          <w:tcPr>
            <w:tcW w:w="19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84"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260,602,359.28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218,398,623.12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292,709,665.07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250,523,156.01</w:t>
            </w: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260,602,359.28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218,398,623.12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292,709,665.07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250,523,156.01</w:t>
            </w:r>
          </w:p>
        </w:tc>
      </w:tr>
    </w:tbl>
    <w:p>
      <w:pPr>
        <w:pStyle w:val="BodyText"/>
        <w:spacing w:line="240" w:lineRule="auto" w:before="49"/>
        <w:ind w:right="1133"/>
        <w:jc w:val="left"/>
      </w:pPr>
      <w:r>
        <w:rPr/>
        <w:t>是否已执行新收入准则</w:t>
      </w:r>
    </w:p>
    <w:p>
      <w:pPr>
        <w:pStyle w:val="BodyText"/>
        <w:spacing w:line="240" w:lineRule="auto" w:before="115"/>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before="0"/>
        <w:ind w:right="1133"/>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-13,526,824.68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4,912,260.28</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投资银行理财产品取得的投资收益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1,616,935.02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1,666,306.64</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处置衍生金融工具取得的投资收益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-148,770.00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-1,950,152.50</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-12,058,659.66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4,628,414.42</w:t>
            </w:r>
          </w:p>
        </w:tc>
      </w:tr>
    </w:tbl>
    <w:p>
      <w:pPr>
        <w:spacing w:line="240" w:lineRule="auto" w:before="3"/>
        <w:rPr>
          <w:rFonts w:ascii="宋体" w:hAnsi="宋体" w:cs="宋体" w:eastAsia="宋体" w:hint="default"/>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不适用。</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r>
        <w:rPr/>
        <w:t>十八、补充资料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before="0"/>
        <w:ind w:right="1133"/>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59,793.65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1,283,603.39</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38"/>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2,383,016.63</w:t>
            </w:r>
          </w:p>
        </w:tc>
        <w:tc>
          <w:tcPr>
            <w:tcW w:w="31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85"/>
      </w:tblGrid>
      <w:tr>
        <w:trPr>
          <w:trHeight w:val="161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2" w:right="49"/>
              <w:jc w:val="both"/>
              <w:rPr>
                <w:rFonts w:ascii="宋体" w:hAnsi="宋体" w:cs="宋体" w:eastAsia="宋体" w:hint="default"/>
                <w:sz w:val="18"/>
                <w:szCs w:val="18"/>
              </w:rPr>
            </w:pPr>
            <w:r>
              <w:rPr>
                <w:rFonts w:ascii="宋体" w:hAnsi="宋体" w:cs="宋体" w:eastAsia="宋体" w:hint="default"/>
                <w:sz w:val="18"/>
                <w:szCs w:val="18"/>
              </w:rPr>
              <w:t>融资产、交易性金融负债、衍生金融负债 产生的公允价值变动损益，以及处置交易 性金融资产、衍生金融资产、交易性金融 负债、衍生金融负债和其他债权投资取得 的投资收益</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-227,371.44</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632,214.83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2,866,827.40</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6"/>
          <w:szCs w:val="26"/>
        </w:rPr>
      </w:pPr>
    </w:p>
    <w:p>
      <w:pPr>
        <w:pStyle w:val="Heading3"/>
        <w:spacing w:line="240" w:lineRule="auto" w:before="0"/>
        <w:ind w:right="1133"/>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0"/>
        <w:gridCol w:w="3083"/>
        <w:gridCol w:w="1913"/>
        <w:gridCol w:w="1913"/>
      </w:tblGrid>
      <w:tr>
        <w:trPr>
          <w:trHeight w:val="206" w:hRule="exact"/>
        </w:trPr>
        <w:tc>
          <w:tcPr>
            <w:tcW w:w="2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6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0" w:type="dxa"/>
            <w:vMerge/>
            <w:tcBorders>
              <w:left w:val="single" w:sz="4" w:space="0" w:color="000000"/>
              <w:bottom w:val="nil" w:sz="6" w:space="0" w:color="auto"/>
              <w:right w:val="single" w:sz="4" w:space="0" w:color="000000"/>
            </w:tcBorders>
            <w:shd w:val="clear" w:color="auto" w:fill="D2D2D2"/>
          </w:tcPr>
          <w:p>
            <w:pPr/>
          </w:p>
        </w:tc>
        <w:tc>
          <w:tcPr>
            <w:tcW w:w="3083"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4" w:hRule="exact"/>
        </w:trPr>
        <w:tc>
          <w:tcPr>
            <w:tcW w:w="2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0.078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0.078</w:t>
            </w:r>
          </w:p>
        </w:tc>
      </w:tr>
      <w:tr>
        <w:trPr>
          <w:trHeight w:val="715"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0.067</w:t>
            </w:r>
          </w:p>
        </w:tc>
      </w:tr>
    </w:tbl>
    <w:p>
      <w:pPr>
        <w:spacing w:line="240" w:lineRule="auto" w:before="3"/>
        <w:rPr>
          <w:rFonts w:ascii="宋体" w:hAnsi="宋体" w:cs="宋体" w:eastAsia="宋体" w:hint="default"/>
          <w:b/>
          <w:bCs/>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3"/>
        <w:rPr>
          <w:rFonts w:ascii="宋体" w:hAnsi="宋体" w:cs="宋体" w:eastAsia="宋体" w:hint="default"/>
          <w:b/>
          <w:bCs/>
          <w:sz w:val="32"/>
          <w:szCs w:val="32"/>
        </w:rPr>
      </w:pPr>
    </w:p>
    <w:p>
      <w:pPr>
        <w:pStyle w:val="Heading4"/>
        <w:spacing w:line="240" w:lineRule="auto"/>
        <w:ind w:left="152" w:right="1133"/>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16"/>
          <w:szCs w:val="1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16"/>
          <w:szCs w:val="16"/>
        </w:rPr>
      </w:pPr>
    </w:p>
    <w:p>
      <w:pPr>
        <w:pStyle w:val="Heading4"/>
        <w:spacing w:line="240" w:lineRule="auto"/>
        <w:ind w:left="152" w:right="1133"/>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16"/>
          <w:szCs w:val="1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16"/>
          <w:szCs w:val="16"/>
        </w:rPr>
      </w:pPr>
    </w:p>
    <w:p>
      <w:pPr>
        <w:pStyle w:val="Heading4"/>
        <w:spacing w:line="451" w:lineRule="auto"/>
        <w:ind w:left="152" w:right="1468"/>
        <w:jc w:val="left"/>
        <w:rPr>
          <w:b w:val="0"/>
          <w:bCs w:val="0"/>
        </w:rPr>
      </w:pPr>
      <w:r>
        <w:rPr>
          <w:w w:val="95"/>
        </w:rPr>
        <w:t>（</w:t>
      </w:r>
      <w:r>
        <w:rPr>
          <w:rFonts w:ascii="Times New Roman" w:hAnsi="Times New Roman" w:cs="Times New Roman" w:eastAsia="Times New Roman" w:hint="default"/>
          <w:w w:val="95"/>
        </w:rPr>
        <w:t>3</w:t>
      </w:r>
      <w:r>
        <w:rPr>
          <w:w w:val="95"/>
        </w:rPr>
        <w:t>）境内外会计准则下会计数据差异原因说明，对已经境外审计机构审计的数据进行差异调节的，应注明该境外机构的名    </w:t>
      </w:r>
      <w:r>
        <w:rPr>
          <w:spacing w:val="15"/>
          <w:w w:val="95"/>
        </w:rPr>
        <w:t> </w:t>
      </w:r>
      <w:r>
        <w:rPr>
          <w:spacing w:val="15"/>
          <w:w w:val="95"/>
        </w:rPr>
      </w:r>
      <w:r>
        <w:rPr/>
        <w:t>称</w:t>
      </w:r>
      <w:r>
        <w:rPr>
          <w:b w:val="0"/>
          <w:bCs w:val="0"/>
        </w:rPr>
      </w:r>
    </w:p>
    <w:p>
      <w:pPr>
        <w:pStyle w:val="BodyText"/>
        <w:spacing w:line="240" w:lineRule="auto" w:before="7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16"/>
          <w:szCs w:val="16"/>
        </w:rPr>
      </w:pPr>
    </w:p>
    <w:p>
      <w:pPr>
        <w:spacing w:line="451" w:lineRule="auto" w:before="0"/>
        <w:ind w:left="152" w:right="10034"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、其他</w:t>
      </w:r>
      <w:r>
        <w:rPr>
          <w:rFonts w:ascii="宋体" w:hAnsi="宋体" w:cs="宋体" w:eastAsia="宋体" w:hint="default"/>
          <w:b/>
          <w:bCs/>
          <w:w w:val="99"/>
          <w:sz w:val="18"/>
          <w:szCs w:val="18"/>
        </w:rPr>
        <w:t> </w:t>
      </w:r>
      <w:r>
        <w:rPr>
          <w:rFonts w:ascii="宋体" w:hAnsi="宋体" w:cs="宋体" w:eastAsia="宋体" w:hint="default"/>
          <w:sz w:val="18"/>
          <w:szCs w:val="18"/>
        </w:rPr>
        <w:t>不适用。</w:t>
      </w:r>
    </w:p>
    <w:p>
      <w:pPr>
        <w:spacing w:after="0" w:line="451"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1"/>
        <w:spacing w:line="240" w:lineRule="auto"/>
        <w:ind w:left="3285" w:right="1133"/>
        <w:jc w:val="left"/>
        <w:rPr>
          <w:b w:val="0"/>
          <w:bCs w:val="0"/>
        </w:rPr>
      </w:pPr>
      <w:bookmarkStart w:name="_bookmark12" w:id="13"/>
      <w:bookmarkEnd w:id="13"/>
      <w:r>
        <w:rPr>
          <w:b w:val="0"/>
          <w:bCs w:val="0"/>
        </w:rPr>
      </w:r>
      <w:r>
        <w:rPr/>
        <w:t>第十三节</w:t>
      </w:r>
      <w:r>
        <w:rPr>
          <w:spacing w:val="-6"/>
        </w:rPr>
        <w:t> </w:t>
      </w:r>
      <w:r>
        <w:rPr/>
        <w:t>备查文件目录</w:t>
      </w:r>
      <w:r>
        <w:rPr>
          <w:b w:val="0"/>
          <w:bCs w:val="0"/>
        </w:rPr>
      </w:r>
    </w:p>
    <w:p>
      <w:pPr>
        <w:spacing w:line="240" w:lineRule="auto" w:before="0"/>
        <w:rPr>
          <w:rFonts w:ascii="宋体" w:hAnsi="宋体" w:cs="宋体" w:eastAsia="宋体" w:hint="default"/>
          <w:b/>
          <w:bCs/>
          <w:sz w:val="32"/>
          <w:szCs w:val="32"/>
        </w:rPr>
      </w:pPr>
    </w:p>
    <w:p>
      <w:pPr>
        <w:pStyle w:val="BodyText"/>
        <w:spacing w:line="240" w:lineRule="auto" w:before="216"/>
        <w:ind w:right="1133"/>
        <w:jc w:val="left"/>
      </w:pPr>
      <w:r>
        <w:rPr/>
        <w:t>（一）载有公司负责人、主管会计工作负责人、会计机构负责人（会计主管人员）签名并盖章的财务报表。</w:t>
      </w:r>
    </w:p>
    <w:p>
      <w:pPr>
        <w:spacing w:line="240" w:lineRule="auto" w:before="10"/>
        <w:rPr>
          <w:rFonts w:ascii="宋体" w:hAnsi="宋体" w:cs="宋体" w:eastAsia="宋体" w:hint="default"/>
          <w:sz w:val="17"/>
          <w:szCs w:val="17"/>
        </w:rPr>
      </w:pPr>
    </w:p>
    <w:p>
      <w:pPr>
        <w:pStyle w:val="BodyText"/>
        <w:spacing w:line="240" w:lineRule="auto"/>
        <w:ind w:right="1133"/>
        <w:jc w:val="left"/>
      </w:pPr>
      <w:r>
        <w:rPr/>
        <w:t>（二）载有会计师事务所盖章、注册会计师签名并盖章的审计报告原件。</w:t>
      </w:r>
    </w:p>
    <w:p>
      <w:pPr>
        <w:spacing w:line="240" w:lineRule="auto" w:before="10"/>
        <w:rPr>
          <w:rFonts w:ascii="宋体" w:hAnsi="宋体" w:cs="宋体" w:eastAsia="宋体" w:hint="default"/>
          <w:sz w:val="17"/>
          <w:szCs w:val="17"/>
        </w:rPr>
      </w:pPr>
    </w:p>
    <w:p>
      <w:pPr>
        <w:pStyle w:val="BodyText"/>
        <w:spacing w:line="240" w:lineRule="auto"/>
        <w:ind w:right="1133"/>
        <w:jc w:val="left"/>
      </w:pPr>
      <w:r>
        <w:rPr/>
        <w:t>（三）报告期内在中国证监会指定网站上公开披露过的所有公司文件的正本及公告的原稿。</w:t>
      </w:r>
    </w:p>
    <w:p>
      <w:pPr>
        <w:spacing w:line="240" w:lineRule="auto" w:before="10"/>
        <w:rPr>
          <w:rFonts w:ascii="宋体" w:hAnsi="宋体" w:cs="宋体" w:eastAsia="宋体" w:hint="default"/>
          <w:sz w:val="17"/>
          <w:szCs w:val="17"/>
        </w:rPr>
      </w:pPr>
    </w:p>
    <w:p>
      <w:pPr>
        <w:pStyle w:val="BodyText"/>
        <w:spacing w:line="240" w:lineRule="auto"/>
        <w:ind w:right="1133"/>
        <w:jc w:val="left"/>
      </w:pPr>
      <w:r>
        <w:rPr/>
        <w:t>（四）载有公司董事长签名的</w:t>
      </w:r>
      <w:r>
        <w:rPr>
          <w:rFonts w:ascii="Times New Roman" w:hAnsi="Times New Roman" w:cs="Times New Roman" w:eastAsia="Times New Roman" w:hint="default"/>
        </w:rPr>
        <w:t>2019</w:t>
      </w:r>
      <w:r>
        <w:rPr/>
        <w:t>年年度报告文本原件。</w:t>
      </w:r>
    </w:p>
    <w:p>
      <w:pPr>
        <w:spacing w:line="240" w:lineRule="auto" w:before="9"/>
        <w:rPr>
          <w:rFonts w:ascii="宋体" w:hAnsi="宋体" w:cs="宋体" w:eastAsia="宋体" w:hint="default"/>
          <w:sz w:val="16"/>
          <w:szCs w:val="16"/>
        </w:rPr>
      </w:pPr>
    </w:p>
    <w:p>
      <w:pPr>
        <w:pStyle w:val="BodyText"/>
        <w:spacing w:line="240" w:lineRule="auto"/>
        <w:ind w:right="1133"/>
        <w:jc w:val="left"/>
      </w:pPr>
      <w:r>
        <w:rPr/>
        <w:t>（五）以上备查文件的备置地点：公司证券事务部。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2"/>
          <w:szCs w:val="22"/>
        </w:rPr>
      </w:pPr>
    </w:p>
    <w:p>
      <w:pPr>
        <w:pStyle w:val="BodyText"/>
        <w:spacing w:line="240" w:lineRule="auto"/>
        <w:ind w:left="0" w:right="1131"/>
        <w:jc w:val="right"/>
      </w:pPr>
      <w:r>
        <w:rPr/>
        <w:t>苏州恒久光电科技股份有限公司</w:t>
      </w:r>
    </w:p>
    <w:p>
      <w:pPr>
        <w:spacing w:line="240" w:lineRule="auto" w:before="10"/>
        <w:rPr>
          <w:rFonts w:ascii="宋体" w:hAnsi="宋体" w:cs="宋体" w:eastAsia="宋体" w:hint="default"/>
          <w:sz w:val="17"/>
          <w:szCs w:val="17"/>
        </w:rPr>
      </w:pPr>
    </w:p>
    <w:p>
      <w:pPr>
        <w:pStyle w:val="BodyText"/>
        <w:spacing w:line="477" w:lineRule="auto"/>
        <w:ind w:left="7812" w:right="1131" w:firstLine="360"/>
        <w:jc w:val="right"/>
      </w:pPr>
      <w:r>
        <w:rPr/>
        <w:t>法定代表人：余荣清 二〇二〇年四月二十二日</w:t>
      </w:r>
    </w:p>
    <w:sectPr>
      <w:pgSz w:w="11910" w:h="16840"/>
      <w:pgMar w:header="877" w:footer="980" w:top="110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94704" type="#_x0000_t75" stroked="false">
          <v:imagedata r:id="rId1" o:title=""/>
        </v:shape>
      </w:pict>
    </w:r>
    <w:r>
      <w:rPr/>
      <w:pict>
        <v:shape style="position:absolute;margin-left:533.099976pt;margin-top:795.613892pt;width:6.5pt;height:11pt;mso-position-horizontal-relative:page;mso-position-vertical-relative:page;z-index:-109468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94200" type="#_x0000_t75" stroked="false">
          <v:imagedata r:id="rId1" o:title=""/>
        </v:shape>
      </w:pict>
    </w:r>
    <w:r>
      <w:rPr/>
      <w:pict>
        <v:shape style="position:absolute;margin-left:523.099976pt;margin-top:781.933899pt;width:17.7pt;height:11pt;mso-position-horizontal-relative:page;mso-position-vertical-relative:page;z-index:-10941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179</w:t>
                </w:r>
                <w:r>
                  <w:rPr/>
                  <w:fldChar w:fldCharType="end"/>
                </w:r>
                <w:r>
                  <w:rPr>
                    <w:rFonts w:ascii="Times New Roman"/>
                    <w:spacing w:val="1"/>
                  </w:rPr>
                </w:r>
                <w:r>
                  <w:rPr>
                    <w:rFonts w:ascii="Times New Roman"/>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94152" type="#_x0000_t75" stroked="false">
          <v:imagedata r:id="rId1" o:title=""/>
        </v:shape>
      </w:pict>
    </w:r>
    <w:r>
      <w:rPr/>
      <w:pict>
        <v:shape style="position:absolute;margin-left:524.099976pt;margin-top:781.933899pt;width:15.7pt;height:11pt;mso-position-horizontal-relative:page;mso-position-vertical-relative:page;z-index:-109412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94104" type="#_x0000_t75" stroked="false">
          <v:imagedata r:id="rId1" o:title=""/>
        </v:shape>
      </w:pict>
    </w:r>
    <w:r>
      <w:rPr/>
      <w:pict>
        <v:shape style="position:absolute;margin-left:523.099976pt;margin-top:781.933899pt;width:17.7pt;height:11pt;mso-position-horizontal-relative:page;mso-position-vertical-relative:page;z-index:-10940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r>
                  <w:rPr>
                    <w:rFonts w:ascii="Times New Roman"/>
                    <w:spacing w:val="1"/>
                  </w:rPr>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94656" type="#_x0000_t75" stroked="false">
          <v:imagedata r:id="rId1" o:title=""/>
        </v:shape>
      </w:pict>
    </w:r>
    <w:r>
      <w:rPr/>
      <w:pict>
        <v:shape style="position:absolute;margin-left:527.659973pt;margin-top:781.933899pt;width:13.15pt;height:11pt;mso-position-horizontal-relative:page;mso-position-vertical-relative:page;z-index:-10946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094584" type="#_x0000_t75" stroked="false">
          <v:imagedata r:id="rId1" o:title=""/>
        </v:shape>
      </w:pict>
    </w:r>
    <w:r>
      <w:rPr/>
      <w:pict>
        <v:shape style="position:absolute;margin-left:759.02002pt;margin-top:535.333923pt;width:13.15pt;height:11pt;mso-position-horizontal-relative:page;mso-position-vertical-relative:page;z-index:-10945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43</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94488" type="#_x0000_t75" stroked="false">
          <v:imagedata r:id="rId1" o:title=""/>
        </v:shape>
      </w:pict>
    </w:r>
    <w:r>
      <w:rPr/>
      <w:pict>
        <v:shape style="position:absolute;margin-left:527.659973pt;margin-top:781.933899pt;width:13.15pt;height:11pt;mso-position-horizontal-relative:page;mso-position-vertical-relative:page;z-index:-10944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52</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94440" type="#_x0000_t75" stroked="false">
          <v:imagedata r:id="rId1" o:title=""/>
        </v:shape>
      </w:pict>
    </w:r>
    <w:r>
      <w:rPr/>
      <w:pict>
        <v:shape style="position:absolute;margin-left:524.099976pt;margin-top:781.933899pt;width:15.7pt;height:11pt;mso-position-horizontal-relative:page;mso-position-vertical-relative:page;z-index:-109441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94392" type="#_x0000_t75" stroked="false">
          <v:imagedata r:id="rId1" o:title=""/>
        </v:shape>
      </w:pict>
    </w:r>
    <w:r>
      <w:rPr/>
      <w:pict>
        <v:shape style="position:absolute;margin-left:523.099976pt;margin-top:781.933899pt;width:17.7pt;height:11pt;mso-position-horizontal-relative:page;mso-position-vertical-relative:page;z-index:-10943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94344" type="#_x0000_t75" stroked="false">
          <v:imagedata r:id="rId1" o:title=""/>
        </v:shape>
      </w:pict>
    </w:r>
    <w:r>
      <w:rPr/>
      <w:pict>
        <v:shape style="position:absolute;margin-left:523.460022pt;margin-top:781.933899pt;width:17.3pt;height:11pt;mso-position-horizontal-relative:page;mso-position-vertical-relative:page;z-index:-10943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94296" type="#_x0000_t75" stroked="false">
          <v:imagedata r:id="rId1" o:title=""/>
        </v:shape>
      </w:pict>
    </w:r>
    <w:r>
      <w:rPr/>
      <w:pict>
        <v:shape style="position:absolute;margin-left:523.099976pt;margin-top:781.933899pt;width:17.7pt;height:11pt;mso-position-horizontal-relative:page;mso-position-vertical-relative:page;z-index:-10942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94248" type="#_x0000_t75" stroked="false">
          <v:imagedata r:id="rId1" o:title=""/>
        </v:shape>
      </w:pict>
    </w:r>
    <w:r>
      <w:rPr/>
      <w:pict>
        <v:shape style="position:absolute;margin-left:523.099976pt;margin-top:781.933899pt;width:17.7pt;height:11pt;mso-position-horizontal-relative:page;mso-position-vertical-relative:page;z-index:-10942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153</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070007pt;margin-top:36.265610pt;width:213.75pt;height:11.5pt;mso-position-horizontal-relative:page;mso-position-vertical-relative:page;z-index:-1094728" type="#_x0000_t202" filled="false" stroked="false">
          <v:textbox inset="0,0,0,0">
            <w:txbxContent>
              <w:p>
                <w:pPr>
                  <w:pStyle w:val="BodyText"/>
                  <w:spacing w:line="214" w:lineRule="exact"/>
                  <w:ind w:left="20" w:right="0"/>
                  <w:jc w:val="left"/>
                </w:pPr>
                <w:r>
                  <w:rPr/>
                  <w:t>苏州恒久光电科技股份有限公司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29993pt;margin-top:42.865631pt;width:213.75pt;height:11.5pt;mso-position-horizontal-relative:page;mso-position-vertical-relative:page;z-index:-1094608" type="#_x0000_t202" filled="false" stroked="false">
          <v:textbox inset="0,0,0,0">
            <w:txbxContent>
              <w:p>
                <w:pPr>
                  <w:pStyle w:val="BodyText"/>
                  <w:spacing w:line="214" w:lineRule="exact"/>
                  <w:ind w:left="20" w:right="0"/>
                  <w:jc w:val="left"/>
                </w:pPr>
                <w:r>
                  <w:rPr/>
                  <w:t>苏州恒久光电科技股份有限公司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09453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26.070007pt;margin-top:42.865608pt;width:213.75pt;height:11.5pt;mso-position-horizontal-relative:page;mso-position-vertical-relative:page;z-index:-1094512" type="#_x0000_t202" filled="false" stroked="false">
          <v:textbox inset="0,0,0,0">
            <w:txbxContent>
              <w:p>
                <w:pPr>
                  <w:pStyle w:val="BodyText"/>
                  <w:spacing w:line="214" w:lineRule="exact"/>
                  <w:ind w:left="20" w:right="0"/>
                  <w:jc w:val="left"/>
                </w:pPr>
                <w:r>
                  <w:rPr/>
                  <w:t>苏州恒久光电科技股份有限公司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19"/>
      <w:ind w:left="152"/>
    </w:pPr>
    <w:rPr>
      <w:rFonts w:ascii="宋体" w:hAnsi="宋体" w:eastAsia="宋体"/>
      <w:b/>
      <w:bCs/>
      <w:sz w:val="18"/>
      <w:szCs w:val="18"/>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2421"/>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spacing w:before="36"/>
      <w:ind w:left="152"/>
      <w:outlineLvl w:val="3"/>
    </w:pPr>
    <w:rPr>
      <w:rFonts w:ascii="宋体" w:hAnsi="宋体" w:eastAsia="宋体"/>
      <w:b/>
      <w:bCs/>
      <w:sz w:val="21"/>
      <w:szCs w:val="21"/>
    </w:rPr>
  </w:style>
  <w:style w:styleId="Heading4" w:type="paragraph">
    <w:name w:val="Heading 4"/>
    <w:basedOn w:val="Normal"/>
    <w:uiPriority w:val="1"/>
    <w:qFormat/>
    <w:pPr>
      <w:ind w:left="513"/>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sgt21.com/" TargetMode="External"/><Relationship Id="rId10" Type="http://schemas.openxmlformats.org/officeDocument/2006/relationships/hyperlink" Target="mailto:admin@sgt21.com" TargetMode="External"/><Relationship Id="rId11" Type="http://schemas.openxmlformats.org/officeDocument/2006/relationships/hyperlink" Target="http://www.cninfo.com.cn/" TargetMode="External"/><Relationship Id="rId12" Type="http://schemas.openxmlformats.org/officeDocument/2006/relationships/image" Target="media/image3.jpeg"/><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header" Target="header3.xml"/><Relationship Id="rId16" Type="http://schemas.openxmlformats.org/officeDocument/2006/relationships/footer" Target="footer4.xml"/><Relationship Id="rId17" Type="http://schemas.openxmlformats.org/officeDocument/2006/relationships/image" Target="media/image4.jpeg"/><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footer" Target="footer9.xml"/><Relationship Id="rId23" Type="http://schemas.openxmlformats.org/officeDocument/2006/relationships/footer" Target="footer10.xml"/><Relationship Id="rId24" Type="http://schemas.openxmlformats.org/officeDocument/2006/relationships/footer" Target="footer11.xml"/><Relationship Id="rId25" Type="http://schemas.openxmlformats.org/officeDocument/2006/relationships/footer" Target="footer1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苏州恒久光电科技股份有限公司</dc:creator>
  <dc:title>苏州恒久光电科技股份有限公司2019年年度报告全文</dc:title>
  <dcterms:created xsi:type="dcterms:W3CDTF">2020-05-19T05:27:39Z</dcterms:created>
  <dcterms:modified xsi:type="dcterms:W3CDTF">2020-05-19T05:27:39Z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2020-04-21T00:00:00Z</vt:filetime>
  </property>
  <property fmtid="{D5CDD505-2E9C-101B-9397-08002B2CF9AE}" pid="3" name="Creator">
    <vt:lpwstr>Microsoft? Office Word 2007</vt:lpwstr>
  </property>
  <property fmtid="{D5CDD505-2E9C-101B-9397-08002B2CF9AE}" pid="4" name="LastSaved">
    <vt:filetime>2020-05-18T00:00:00Z</vt:filetime>
  </property>
</Properties>
</file>