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745"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4"/>
          <w:sz w:val="20"/>
          <w:szCs w:val="20"/>
        </w:rPr>
        <w:drawing>
          <wp:inline distT="0" distB="0" distL="0" distR="0">
            <wp:extent cx="1409821" cy="17430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821" cy="1743075"/>
                    </a:xfrm>
                    <a:prstGeom prst="rect">
                      <a:avLst/>
                    </a:prstGeom>
                  </pic:spPr>
                </pic:pic>
              </a:graphicData>
            </a:graphic>
          </wp:inline>
        </w:drawing>
      </w:r>
      <w:r>
        <w:rPr>
          <w:rFonts w:ascii="Times New Roman" w:hAnsi="Times New Roman" w:cs="Times New Roman" w:eastAsia="Times New Roman" w:hint="default"/>
          <w:position w:val="-54"/>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2243" w:right="3221" w:firstLine="0"/>
        <w:jc w:val="center"/>
        <w:rPr>
          <w:rFonts w:ascii="宋体" w:hAnsi="宋体" w:cs="宋体" w:eastAsia="宋体" w:hint="default"/>
          <w:sz w:val="36"/>
          <w:szCs w:val="36"/>
        </w:rPr>
      </w:pPr>
      <w:r>
        <w:rPr>
          <w:rFonts w:ascii="宋体" w:hAnsi="宋体" w:cs="宋体" w:eastAsia="宋体" w:hint="default"/>
          <w:b/>
          <w:bCs/>
          <w:sz w:val="36"/>
          <w:szCs w:val="36"/>
        </w:rPr>
        <w:t>深圳市中装建设集团股份有限公司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pStyle w:val="Heading1"/>
        <w:spacing w:line="240" w:lineRule="auto" w:before="0"/>
        <w:ind w:left="2242" w:right="3221"/>
        <w:jc w:val="center"/>
        <w:rPr>
          <w:b w:val="0"/>
          <w:bCs w:val="0"/>
        </w:rPr>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年年度报告</w:t>
      </w:r>
      <w:r>
        <w:rPr>
          <w:b w:val="0"/>
          <w:bCs w:val="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243" w:right="32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889"/>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2" w:firstLine="559"/>
        <w:jc w:val="both"/>
        <w:rPr>
          <w:rFonts w:ascii="宋体" w:hAnsi="宋体" w:cs="宋体" w:eastAsia="宋体" w:hint="default"/>
          <w:sz w:val="28"/>
          <w:szCs w:val="28"/>
        </w:rPr>
      </w:pPr>
      <w:r>
        <w:rPr>
          <w:rFonts w:ascii="宋体" w:hAnsi="宋体" w:cs="宋体" w:eastAsia="宋体" w:hint="default"/>
          <w:b/>
          <w:bCs/>
          <w:w w:val="95"/>
          <w:sz w:val="28"/>
          <w:szCs w:val="28"/>
        </w:rPr>
        <w:t>公司负责人庄重、主管会计工作负责人于桂添及会计机构负责人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房新芬声明：保证年度报告中财务报告的真实、准确、完整。</w:t>
      </w:r>
      <w:r>
        <w:rPr>
          <w:rFonts w:ascii="宋体" w:hAnsi="宋体" w:cs="宋体" w:eastAsia="宋体" w:hint="default"/>
          <w:sz w:val="28"/>
          <w:szCs w:val="28"/>
        </w:rPr>
      </w:r>
    </w:p>
    <w:p>
      <w:pPr>
        <w:spacing w:line="472" w:lineRule="auto" w:before="147"/>
        <w:ind w:left="705" w:right="889" w:firstLine="1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4"/>
          <w:sz w:val="28"/>
          <w:szCs w:val="28"/>
        </w:rPr>
        <w:t>公司需遵守《深圳证券交易所行业信息披露指引第</w:t>
      </w:r>
      <w:r>
        <w:rPr>
          <w:rFonts w:ascii="宋体" w:hAnsi="宋体" w:cs="宋体" w:eastAsia="宋体" w:hint="default"/>
          <w:b/>
          <w:bCs/>
          <w:spacing w:val="-84"/>
          <w:sz w:val="28"/>
          <w:szCs w:val="28"/>
        </w:rPr>
        <w:t> </w:t>
      </w:r>
      <w:r>
        <w:rPr>
          <w:rFonts w:ascii="Times New Roman" w:hAnsi="Times New Roman" w:cs="Times New Roman" w:eastAsia="Times New Roman" w:hint="default"/>
          <w:b/>
          <w:bCs/>
          <w:sz w:val="28"/>
          <w:szCs w:val="28"/>
        </w:rPr>
        <w:t>6</w:t>
      </w:r>
      <w:r>
        <w:rPr>
          <w:rFonts w:ascii="Times New Roman" w:hAnsi="Times New Roman" w:cs="Times New Roman" w:eastAsia="Times New Roman" w:hint="default"/>
          <w:b/>
          <w:bCs/>
          <w:spacing w:val="-18"/>
          <w:sz w:val="28"/>
          <w:szCs w:val="28"/>
        </w:rPr>
        <w:t> </w:t>
      </w:r>
      <w:r>
        <w:rPr>
          <w:rFonts w:ascii="宋体" w:hAnsi="宋体" w:cs="宋体" w:eastAsia="宋体" w:hint="default"/>
          <w:b/>
          <w:bCs/>
          <w:sz w:val="28"/>
          <w:szCs w:val="28"/>
        </w:rPr>
        <w:t>号</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上市公司从事装修</w:t>
      </w:r>
      <w:r>
        <w:rPr>
          <w:rFonts w:ascii="宋体" w:hAnsi="宋体" w:cs="宋体" w:eastAsia="宋体" w:hint="default"/>
          <w:sz w:val="28"/>
          <w:szCs w:val="28"/>
        </w:rPr>
      </w:r>
    </w:p>
    <w:p>
      <w:pPr>
        <w:spacing w:line="303" w:lineRule="exact" w:before="0"/>
        <w:ind w:left="153" w:right="889" w:firstLine="0"/>
        <w:jc w:val="left"/>
        <w:rPr>
          <w:rFonts w:ascii="宋体" w:hAnsi="宋体" w:cs="宋体" w:eastAsia="宋体" w:hint="default"/>
          <w:sz w:val="28"/>
          <w:szCs w:val="28"/>
        </w:rPr>
      </w:pPr>
      <w:r>
        <w:rPr>
          <w:rFonts w:ascii="宋体" w:hAnsi="宋体" w:cs="宋体" w:eastAsia="宋体" w:hint="default"/>
          <w:b/>
          <w:bCs/>
          <w:sz w:val="28"/>
          <w:szCs w:val="28"/>
        </w:rPr>
        <w:t>装饰业务》的披露要求。</w:t>
      </w:r>
      <w:r>
        <w:rPr>
          <w:rFonts w:ascii="宋体" w:hAnsi="宋体" w:cs="宋体" w:eastAsia="宋体" w:hint="default"/>
          <w:sz w:val="28"/>
          <w:szCs w:val="28"/>
        </w:rPr>
      </w:r>
    </w:p>
    <w:p>
      <w:pPr>
        <w:spacing w:line="240" w:lineRule="auto" w:before="10"/>
        <w:rPr>
          <w:rFonts w:ascii="宋体" w:hAnsi="宋体" w:cs="宋体" w:eastAsia="宋体" w:hint="default"/>
          <w:b/>
          <w:bCs/>
          <w:sz w:val="22"/>
          <w:szCs w:val="22"/>
        </w:rPr>
      </w:pPr>
    </w:p>
    <w:p>
      <w:pPr>
        <w:spacing w:line="408" w:lineRule="auto" w:before="0"/>
        <w:ind w:left="153" w:right="889" w:firstLine="551"/>
        <w:jc w:val="left"/>
        <w:rPr>
          <w:rFonts w:ascii="宋体" w:hAnsi="宋体" w:cs="宋体" w:eastAsia="宋体" w:hint="default"/>
          <w:sz w:val="28"/>
          <w:szCs w:val="28"/>
        </w:rPr>
      </w:pPr>
      <w:r>
        <w:rPr>
          <w:rFonts w:ascii="宋体" w:hAnsi="宋体" w:cs="宋体" w:eastAsia="宋体" w:hint="default"/>
          <w:b/>
          <w:bCs/>
          <w:sz w:val="28"/>
          <w:szCs w:val="28"/>
        </w:rPr>
        <w:t>本次年度报告所涉及的未来计划等前瞻性陈述可能受宏观经济环境、市场</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环境等因素的影响而存在一定的不确定性，不构成公司对投资者的实质性承诺，</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宋体" w:hAnsi="宋体" w:cs="宋体" w:eastAsia="宋体" w:hint="default"/>
          <w:b/>
          <w:bCs/>
          <w:sz w:val="28"/>
          <w:szCs w:val="28"/>
        </w:rPr>
        <w:t>投资者及相关人士均应对此保持足够的风险认识，并且应当理解计划、预测与</w:t>
      </w:r>
      <w:r>
        <w:rPr>
          <w:rFonts w:ascii="宋体" w:hAnsi="宋体" w:cs="宋体" w:eastAsia="宋体" w:hint="default"/>
          <w:b/>
          <w:bCs/>
          <w:w w:val="99"/>
          <w:sz w:val="28"/>
          <w:szCs w:val="28"/>
        </w:rPr>
        <w:t> </w:t>
      </w:r>
      <w:r>
        <w:rPr>
          <w:rFonts w:ascii="宋体" w:hAnsi="宋体" w:cs="宋体" w:eastAsia="宋体" w:hint="default"/>
          <w:b/>
          <w:bCs/>
          <w:sz w:val="28"/>
          <w:szCs w:val="28"/>
        </w:rPr>
        <w:t>承诺之间的差异。</w:t>
      </w:r>
      <w:r>
        <w:rPr>
          <w:rFonts w:ascii="宋体" w:hAnsi="宋体" w:cs="宋体" w:eastAsia="宋体" w:hint="default"/>
          <w:sz w:val="28"/>
          <w:szCs w:val="28"/>
        </w:rPr>
      </w:r>
    </w:p>
    <w:p>
      <w:pPr>
        <w:spacing w:line="408" w:lineRule="auto" w:before="160"/>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本公司请投资者认真阅读本年报报告全文，并特别注意下列风险因素：宏</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观经济波动的风险、房地产行业政策调控带来的风险、应收账款产生坏账的风</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险、市场竞争风险、业务扩张带来的管理风险、业务转型升级及开拓新兴市场</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不达预期的风险。</w:t>
      </w:r>
      <w:r>
        <w:rPr>
          <w:rFonts w:ascii="宋体" w:hAnsi="宋体" w:cs="宋体" w:eastAsia="宋体" w:hint="default"/>
          <w:sz w:val="28"/>
          <w:szCs w:val="28"/>
        </w:rPr>
      </w:r>
    </w:p>
    <w:p>
      <w:pPr>
        <w:spacing w:before="160"/>
        <w:ind w:left="702" w:right="889"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9"/>
          <w:sz w:val="28"/>
          <w:szCs w:val="28"/>
        </w:rPr>
        <w:t> </w:t>
      </w:r>
      <w:r>
        <w:rPr>
          <w:rFonts w:ascii="Times New Roman" w:hAnsi="Times New Roman" w:cs="Times New Roman" w:eastAsia="Times New Roman" w:hint="default"/>
          <w:b/>
          <w:bCs/>
          <w:sz w:val="28"/>
          <w:szCs w:val="28"/>
        </w:rPr>
        <w:t>600,000,000.00</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before="237"/>
        <w:ind w:left="153" w:right="889"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0.50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before="237"/>
        <w:ind w:left="153" w:right="889"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1"/>
          <w:szCs w:val="21"/>
        </w:rPr>
      </w:pPr>
    </w:p>
    <w:p>
      <w:pPr>
        <w:pStyle w:val="BodyText"/>
        <w:spacing w:line="240" w:lineRule="auto" w:before="44"/>
        <w:ind w:right="889"/>
        <w:jc w:val="left"/>
      </w:pPr>
      <w:r>
        <w:rPr/>
        <w:t>目录</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1"/>
        <w:spacing w:line="240" w:lineRule="auto"/>
        <w:ind w:right="3219"/>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中装建设、公司、本公司、股份公司或发行 人</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深圳市中装建设集团股份有限公司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中装有限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深圳市中装设计装饰工程有限公司，公司前身</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庄重、庄小红和庄展诺</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庄小红</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鼎润天成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南京鼎润天成投资合伙企业（有限合伙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，公司股东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国投衡盈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江苏国投衡盈创业投资中心（有限合伙</w:t>
            </w:r>
            <w:r>
              <w:rPr>
                <w:rFonts w:ascii="宋体" w:hAnsi="宋体" w:cs="宋体" w:eastAsia="宋体" w:hint="default"/>
                <w:spacing w:val="-90"/>
                <w:sz w:val="18"/>
                <w:szCs w:val="18"/>
              </w:rPr>
              <w:t>）</w:t>
            </w:r>
            <w:r>
              <w:rPr>
                <w:rFonts w:ascii="宋体" w:hAnsi="宋体" w:cs="宋体" w:eastAsia="宋体" w:hint="default"/>
                <w:sz w:val="18"/>
                <w:szCs w:val="18"/>
              </w:rPr>
              <w:t>，公司股东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骥业投资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深圳市骥业股权投资合伙企业（有限合伙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，公司股东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华浩投资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深圳市华浩投资有限公司，公司股东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上海融银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上海融银股权投资合伙企业（有限合伙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，公司股东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中科汇通（深圳）</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中科汇通（深圳）股权投资基金有限公司，公司股东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昆山中科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昆山中科昆开创业投资有限公司，公司股东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福州中科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福州中科福海创业投资合伙企业（有限合伙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，公司股东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盐城中科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盐城市中科盐发创业投资企业（有限合伙</w:t>
            </w:r>
            <w:r>
              <w:rPr>
                <w:rFonts w:ascii="宋体" w:hAnsi="宋体" w:cs="宋体" w:eastAsia="宋体" w:hint="default"/>
                <w:spacing w:val="-90"/>
                <w:sz w:val="18"/>
                <w:szCs w:val="18"/>
              </w:rPr>
              <w:t>）</w:t>
            </w:r>
            <w:r>
              <w:rPr>
                <w:rFonts w:ascii="宋体" w:hAnsi="宋体" w:cs="宋体" w:eastAsia="宋体" w:hint="default"/>
                <w:sz w:val="18"/>
                <w:szCs w:val="18"/>
              </w:rPr>
              <w:t>，公司股东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江西中嘉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江西中嘉投资有限公司，公司股东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中装城市建设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深圳市中装城市建设发展有限公司，公司全资子公司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中装新能源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深圳市中装新能源科技有限公司，公司控股子公司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赛格物业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深圳市赛格物业管理有限公司，公司参股公司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引爆互联网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深圳市引爆互联网金融服务有限公司，公司参股公司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中装设计</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left"/>
              <w:rPr>
                <w:rFonts w:ascii="宋体" w:hAnsi="宋体" w:cs="宋体" w:eastAsia="宋体" w:hint="default"/>
                <w:sz w:val="18"/>
                <w:szCs w:val="18"/>
              </w:rPr>
            </w:pPr>
            <w:r>
              <w:rPr>
                <w:rFonts w:ascii="宋体" w:hAnsi="宋体" w:cs="宋体" w:eastAsia="宋体" w:hint="default"/>
                <w:spacing w:val="-2"/>
                <w:sz w:val="18"/>
                <w:szCs w:val="18"/>
              </w:rPr>
              <w:t>深圳市中装建筑设计顾问有限公司，公司全资子公司，后更名为南京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卓佰年建筑设计有限公司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吉林中装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吉林省中装装饰工程有限公司，公司全资子公司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惠州中装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惠州市中装新材料有限公司，公司全资子公司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中装光伏</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深圳市中装光伏建筑科技有限公司，公司控股子公司，正在办理注销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中装智能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深圳市中装智能建筑顾问有限公司，公司控股子公司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澳门中装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中装利丰建筑工程有限公司，公司控股子公司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国海证券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国海证券股份有限公司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保荐机构、万联证券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万联证券股份有限公司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律师、华商律师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广东华商律师事务所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会计师、天职国际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《深圳市中装建设集团股份有限公司章程》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深圳市中装建设集团股份有限公司股东大会、董事会、监事会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92.879974pt;width:361.5pt;height:19.6pt;mso-position-horizontal-relative:page;mso-position-vertical-relative:page;z-index:-896800"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spacing w:before="1"/>
        <w:ind w:left="2644" w:right="889" w:firstLine="0"/>
        <w:jc w:val="left"/>
        <w:rPr>
          <w:rFonts w:ascii="宋体" w:hAnsi="宋体" w:cs="宋体" w:eastAsia="宋体" w:hint="default"/>
          <w:sz w:val="32"/>
          <w:szCs w:val="32"/>
        </w:rPr>
      </w:pPr>
      <w:bookmarkStart w:name="第二节 公司简介和主要财务指标" w:id="2"/>
      <w:bookmarkEnd w:id="2"/>
      <w:r>
        <w:rPr/>
      </w:r>
      <w:r>
        <w:rPr>
          <w:rFonts w:ascii="宋体" w:hAnsi="宋体" w:cs="宋体" w:eastAsia="宋体" w:hint="default"/>
          <w:b/>
          <w:bCs/>
          <w:sz w:val="32"/>
          <w:szCs w:val="32"/>
        </w:rPr>
        <w:t>第二节</w:t>
      </w:r>
      <w:r>
        <w:rPr>
          <w:rFonts w:ascii="宋体" w:hAnsi="宋体" w:cs="宋体" w:eastAsia="宋体" w:hint="default"/>
          <w:b/>
          <w:bCs/>
          <w:spacing w:val="-11"/>
          <w:sz w:val="32"/>
          <w:szCs w:val="32"/>
        </w:rPr>
        <w:t> </w:t>
      </w:r>
      <w:r>
        <w:rPr>
          <w:rFonts w:ascii="宋体" w:hAnsi="宋体" w:cs="宋体" w:eastAsia="宋体" w:hint="default"/>
          <w:b/>
          <w:bCs/>
          <w:sz w:val="32"/>
          <w:szCs w:val="32"/>
        </w:rPr>
        <w:t>公司简介和主要财务指标</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89"/>
        <w:jc w:val="left"/>
        <w:rPr>
          <w:b w:val="0"/>
          <w:bCs w:val="0"/>
        </w:rPr>
      </w:pPr>
      <w:bookmarkStart w:name="一、公司信息" w:id="3"/>
      <w:bookmarkEnd w:id="3"/>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中装建设</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002822</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深圳市中装建设集团股份有限公司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中装建设</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Zhongzhuang Construction Group Co.</w:t>
            </w:r>
            <w:r>
              <w:rPr>
                <w:rFonts w:ascii="Times New Roman"/>
                <w:spacing w:val="-8"/>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Zhongzhuang</w:t>
            </w:r>
            <w:r>
              <w:rPr>
                <w:rFonts w:ascii="Times New Roman"/>
                <w:spacing w:val="-3"/>
                <w:sz w:val="18"/>
              </w:rPr>
              <w:t> </w:t>
            </w:r>
            <w:r>
              <w:rPr>
                <w:rFonts w:ascii="Times New Roman"/>
                <w:sz w:val="18"/>
              </w:rPr>
              <w:t>Construction</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庄重</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深圳市罗湖区深南东路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4002 </w:t>
            </w:r>
            <w:r>
              <w:rPr>
                <w:rFonts w:ascii="宋体" w:hAnsi="宋体" w:cs="宋体" w:eastAsia="宋体" w:hint="default"/>
                <w:sz w:val="18"/>
                <w:szCs w:val="18"/>
              </w:rPr>
              <w:t>号鸿隆世纪广场四</w:t>
            </w:r>
            <w:r>
              <w:rPr>
                <w:rFonts w:ascii="Times New Roman" w:hAnsi="Times New Roman" w:cs="Times New Roman" w:eastAsia="Times New Roman" w:hint="default"/>
                <w:sz w:val="18"/>
                <w:szCs w:val="18"/>
              </w:rPr>
              <w:t>-</w:t>
            </w:r>
            <w:r>
              <w:rPr>
                <w:rFonts w:ascii="宋体" w:hAnsi="宋体" w:cs="宋体" w:eastAsia="宋体" w:hint="default"/>
                <w:sz w:val="18"/>
                <w:szCs w:val="18"/>
              </w:rPr>
              <w:t>五层</w:t>
            </w:r>
            <w:r>
              <w:rPr>
                <w:rFonts w:ascii="Times New Roman" w:hAnsi="Times New Roman" w:cs="Times New Roman" w:eastAsia="Times New Roman" w:hint="default"/>
                <w:sz w:val="18"/>
                <w:szCs w:val="18"/>
              </w:rPr>
              <w:t>(</w:t>
            </w:r>
            <w:r>
              <w:rPr>
                <w:rFonts w:ascii="宋体" w:hAnsi="宋体" w:cs="宋体" w:eastAsia="宋体" w:hint="default"/>
                <w:sz w:val="18"/>
                <w:szCs w:val="18"/>
              </w:rPr>
              <w:t>仅限办公</w:t>
            </w:r>
            <w:r>
              <w:rPr>
                <w:rFonts w:ascii="Times New Roman" w:hAnsi="Times New Roman" w:cs="Times New Roman" w:eastAsia="Times New Roman" w:hint="default"/>
                <w:sz w:val="18"/>
                <w:szCs w:val="18"/>
              </w:rPr>
              <w:t>)</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518001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深圳市罗湖区深南东路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4002 </w:t>
            </w:r>
            <w:r>
              <w:rPr>
                <w:rFonts w:ascii="宋体" w:hAnsi="宋体" w:cs="宋体" w:eastAsia="宋体" w:hint="default"/>
                <w:sz w:val="18"/>
                <w:szCs w:val="18"/>
              </w:rPr>
              <w:t>号鸿隆世纪广场四</w:t>
            </w:r>
            <w:r>
              <w:rPr>
                <w:rFonts w:ascii="Times New Roman" w:hAnsi="Times New Roman" w:cs="Times New Roman" w:eastAsia="Times New Roman" w:hint="default"/>
                <w:sz w:val="18"/>
                <w:szCs w:val="18"/>
              </w:rPr>
              <w:t>-</w:t>
            </w:r>
            <w:r>
              <w:rPr>
                <w:rFonts w:ascii="宋体" w:hAnsi="宋体" w:cs="宋体" w:eastAsia="宋体" w:hint="default"/>
                <w:sz w:val="18"/>
                <w:szCs w:val="18"/>
              </w:rPr>
              <w:t>五层</w:t>
            </w:r>
            <w:r>
              <w:rPr>
                <w:rFonts w:ascii="Times New Roman" w:hAnsi="Times New Roman" w:cs="Times New Roman" w:eastAsia="Times New Roman" w:hint="default"/>
                <w:sz w:val="18"/>
                <w:szCs w:val="18"/>
              </w:rPr>
              <w:t>(</w:t>
            </w:r>
            <w:r>
              <w:rPr>
                <w:rFonts w:ascii="宋体" w:hAnsi="宋体" w:cs="宋体" w:eastAsia="宋体" w:hint="default"/>
                <w:sz w:val="18"/>
                <w:szCs w:val="18"/>
              </w:rPr>
              <w:t>仅限办公</w:t>
            </w:r>
            <w:r>
              <w:rPr>
                <w:rFonts w:ascii="Times New Roman" w:hAnsi="Times New Roman" w:cs="Times New Roman" w:eastAsia="Times New Roman" w:hint="default"/>
                <w:sz w:val="18"/>
                <w:szCs w:val="18"/>
              </w:rPr>
              <w:t>)</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518001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www.zhongzhuang.com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zhengquan@zhongzhuang.com</w:t>
              </w:r>
            </w:hyperlink>
          </w:p>
        </w:tc>
      </w:tr>
    </w:tbl>
    <w:p>
      <w:pPr>
        <w:spacing w:line="240" w:lineRule="auto" w:before="2"/>
        <w:rPr>
          <w:rFonts w:ascii="宋体" w:hAnsi="宋体" w:cs="宋体" w:eastAsia="宋体" w:hint="default"/>
          <w:b/>
          <w:bCs/>
          <w:sz w:val="18"/>
          <w:szCs w:val="18"/>
        </w:rPr>
      </w:pPr>
    </w:p>
    <w:p>
      <w:pPr>
        <w:spacing w:before="26"/>
        <w:ind w:left="154" w:right="889" w:firstLine="0"/>
        <w:jc w:val="left"/>
        <w:rPr>
          <w:rFonts w:ascii="宋体" w:hAnsi="宋体" w:cs="宋体" w:eastAsia="宋体" w:hint="default"/>
          <w:sz w:val="24"/>
          <w:szCs w:val="24"/>
        </w:rPr>
      </w:pPr>
      <w:bookmarkStart w:name="二、联系人和联系方式" w:id="4"/>
      <w:bookmarkEnd w:id="4"/>
      <w:r>
        <w:rPr/>
      </w: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于桂添</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陈琳</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深圳市罗湖区深南东路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号鸿隆世纪 广场四</w:t>
            </w:r>
            <w:r>
              <w:rPr>
                <w:rFonts w:ascii="Times New Roman" w:hAnsi="Times New Roman" w:cs="Times New Roman" w:eastAsia="Times New Roman" w:hint="default"/>
                <w:sz w:val="18"/>
                <w:szCs w:val="18"/>
              </w:rPr>
              <w:t>-</w:t>
            </w:r>
            <w:r>
              <w:rPr>
                <w:rFonts w:ascii="宋体" w:hAnsi="宋体" w:cs="宋体" w:eastAsia="宋体" w:hint="default"/>
                <w:sz w:val="18"/>
                <w:szCs w:val="18"/>
              </w:rPr>
              <w:t>五层</w:t>
            </w:r>
            <w:r>
              <w:rPr>
                <w:rFonts w:ascii="Times New Roman" w:hAnsi="Times New Roman" w:cs="Times New Roman" w:eastAsia="Times New Roman" w:hint="default"/>
                <w:sz w:val="18"/>
                <w:szCs w:val="18"/>
              </w:rPr>
              <w:t>(</w:t>
            </w:r>
            <w:r>
              <w:rPr>
                <w:rFonts w:ascii="宋体" w:hAnsi="宋体" w:cs="宋体" w:eastAsia="宋体" w:hint="default"/>
                <w:sz w:val="18"/>
                <w:szCs w:val="18"/>
              </w:rPr>
              <w:t>仅限办公</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深圳市罗湖区深南东路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号鸿隆世纪 广场四</w:t>
            </w:r>
            <w:r>
              <w:rPr>
                <w:rFonts w:ascii="Times New Roman" w:hAnsi="Times New Roman" w:cs="Times New Roman" w:eastAsia="Times New Roman" w:hint="default"/>
                <w:sz w:val="18"/>
                <w:szCs w:val="18"/>
              </w:rPr>
              <w:t>-</w:t>
            </w:r>
            <w:r>
              <w:rPr>
                <w:rFonts w:ascii="宋体" w:hAnsi="宋体" w:cs="宋体" w:eastAsia="宋体" w:hint="default"/>
                <w:sz w:val="18"/>
                <w:szCs w:val="18"/>
              </w:rPr>
              <w:t>五层</w:t>
            </w:r>
            <w:r>
              <w:rPr>
                <w:rFonts w:ascii="Times New Roman" w:hAnsi="Times New Roman" w:cs="Times New Roman" w:eastAsia="Times New Roman" w:hint="default"/>
                <w:sz w:val="18"/>
                <w:szCs w:val="18"/>
              </w:rPr>
              <w:t>(</w:t>
            </w:r>
            <w:r>
              <w:rPr>
                <w:rFonts w:ascii="宋体" w:hAnsi="宋体" w:cs="宋体" w:eastAsia="宋体" w:hint="default"/>
                <w:sz w:val="18"/>
                <w:szCs w:val="18"/>
              </w:rPr>
              <w:t>仅限办公</w:t>
            </w:r>
            <w:r>
              <w:rPr>
                <w:rFonts w:ascii="Times New Roman" w:hAnsi="Times New Roman" w:cs="Times New Roman" w:eastAsia="Times New Roman" w:hint="default"/>
                <w:sz w:val="18"/>
                <w:szCs w:val="18"/>
              </w:rPr>
              <w:t>)</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0755-83599233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0755-83599233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0755-83597197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0755-83597197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yuguitian@zhongzhuang.com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chenlin@zhongzhuang.com</w:t>
              </w:r>
            </w:hyperlink>
          </w:p>
        </w:tc>
      </w:tr>
    </w:tbl>
    <w:p>
      <w:pPr>
        <w:spacing w:line="240" w:lineRule="auto" w:before="2"/>
        <w:rPr>
          <w:rFonts w:ascii="宋体" w:hAnsi="宋体" w:cs="宋体" w:eastAsia="宋体" w:hint="default"/>
          <w:b/>
          <w:bCs/>
          <w:sz w:val="18"/>
          <w:szCs w:val="18"/>
        </w:rPr>
      </w:pPr>
    </w:p>
    <w:p>
      <w:pPr>
        <w:spacing w:before="26"/>
        <w:ind w:left="154" w:right="889" w:firstLine="0"/>
        <w:jc w:val="left"/>
        <w:rPr>
          <w:rFonts w:ascii="宋体" w:hAnsi="宋体" w:cs="宋体" w:eastAsia="宋体" w:hint="default"/>
          <w:sz w:val="24"/>
          <w:szCs w:val="24"/>
        </w:rPr>
      </w:pPr>
      <w:bookmarkStart w:name="三、信息披露及备置地点" w:id="5"/>
      <w:bookmarkEnd w:id="5"/>
      <w:r>
        <w:rPr/>
      </w: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公司证券事务部、深圳证券交易所</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spacing w:before="26"/>
        <w:ind w:left="153" w:right="889" w:firstLine="0"/>
        <w:jc w:val="left"/>
        <w:rPr>
          <w:rFonts w:ascii="宋体" w:hAnsi="宋体" w:cs="宋体" w:eastAsia="宋体" w:hint="default"/>
          <w:sz w:val="24"/>
          <w:szCs w:val="24"/>
        </w:rPr>
      </w:pPr>
      <w:bookmarkStart w:name="四、注册变更情况" w:id="6"/>
      <w:bookmarkEnd w:id="6"/>
      <w:r>
        <w:rPr/>
      </w: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统一社会信用代码为：</w:t>
            </w:r>
            <w:r>
              <w:rPr>
                <w:rFonts w:ascii="Times New Roman" w:hAnsi="Times New Roman" w:cs="Times New Roman" w:eastAsia="Times New Roman" w:hint="default"/>
                <w:sz w:val="18"/>
                <w:szCs w:val="18"/>
              </w:rPr>
              <w:t>914403001922663713</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spacing w:before="26"/>
        <w:ind w:left="154" w:right="889" w:firstLine="0"/>
        <w:jc w:val="left"/>
        <w:rPr>
          <w:rFonts w:ascii="宋体" w:hAnsi="宋体" w:cs="宋体" w:eastAsia="宋体" w:hint="default"/>
          <w:sz w:val="24"/>
          <w:szCs w:val="24"/>
        </w:rPr>
      </w:pPr>
      <w:bookmarkStart w:name="五、其他有关资料" w:id="7"/>
      <w:bookmarkEnd w:id="7"/>
      <w:r>
        <w:rPr/>
      </w:r>
      <w:r>
        <w:rPr>
          <w:rFonts w:ascii="宋体" w:hAnsi="宋体" w:cs="宋体" w:eastAsia="宋体" w:hint="default"/>
          <w:b/>
          <w:bCs/>
          <w:sz w:val="24"/>
          <w:szCs w:val="24"/>
        </w:rPr>
        <w:t>五、其他有关资料</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right="889"/>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北京海淀区车公庄西路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号外文文化创意园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黄琼、李世文</w:t>
            </w:r>
          </w:p>
        </w:tc>
      </w:tr>
    </w:tbl>
    <w:p>
      <w:pPr>
        <w:spacing w:line="240" w:lineRule="auto" w:before="6"/>
        <w:rPr>
          <w:rFonts w:ascii="宋体" w:hAnsi="宋体" w:cs="宋体" w:eastAsia="宋体" w:hint="default"/>
          <w:sz w:val="27"/>
          <w:szCs w:val="27"/>
        </w:rPr>
      </w:pPr>
    </w:p>
    <w:p>
      <w:pPr>
        <w:pStyle w:val="BodyText"/>
        <w:spacing w:line="240" w:lineRule="auto" w:before="44"/>
        <w:ind w:left="154" w:right="889"/>
        <w:jc w:val="left"/>
      </w:pPr>
      <w:r>
        <w:rPr/>
        <w:t>公司聘请的报告期内履行持续督导职责的保荐机构</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5"/>
        <w:gridCol w:w="2411"/>
        <w:gridCol w:w="1559"/>
        <w:gridCol w:w="3614"/>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国海证券股份有限公司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深圳市福田区竹子林四路光大 银行大厦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陈贤德、关建宇</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万联证券股份有限公司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广州市天河区珠江东路</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楼全层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侯陆方、时光</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年会计年度结束</w:t>
            </w:r>
          </w:p>
        </w:tc>
      </w:tr>
    </w:tbl>
    <w:p>
      <w:pPr>
        <w:pStyle w:val="BodyText"/>
        <w:spacing w:line="240" w:lineRule="auto" w:before="51"/>
        <w:ind w:left="154" w:right="889"/>
        <w:jc w:val="left"/>
      </w:pPr>
      <w:r>
        <w:rPr/>
        <w:t>公司聘请的报告期内履行持续督导职责的财务顾问</w:t>
      </w:r>
    </w:p>
    <w:p>
      <w:pPr>
        <w:pStyle w:val="BodyText"/>
        <w:spacing w:line="240" w:lineRule="auto" w:before="117"/>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89"/>
        <w:jc w:val="left"/>
        <w:rPr>
          <w:b w:val="0"/>
          <w:bCs w:val="0"/>
        </w:rPr>
      </w:pPr>
      <w:bookmarkStart w:name="六、主要会计数据和财务指标" w:id="8"/>
      <w:bookmarkEnd w:id="8"/>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t>公司是否需追溯调整或重述以前年度会计数据</w:t>
      </w:r>
    </w:p>
    <w:p>
      <w:pPr>
        <w:pStyle w:val="BodyText"/>
        <w:spacing w:line="240" w:lineRule="auto" w:before="117"/>
        <w:ind w:right="8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3,172,996,288.26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2,691,714,149.77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2,598,806,004.07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160,749,979.46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156,183,203.24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153,811,235.88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159,769,782.44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156,875,746.52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143,744,269.58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-178,298,572.42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-111,879,567.68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23,027,526.17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45" w:right="0"/>
              <w:jc w:val="left"/>
              <w:rPr>
                <w:rFonts w:ascii="Times New Roman" w:hAnsi="Times New Roman" w:cs="Times New Roman" w:eastAsia="Times New Roman" w:hint="default"/>
                <w:sz w:val="18"/>
                <w:szCs w:val="18"/>
              </w:rPr>
            </w:pPr>
            <w:r>
              <w:rPr>
                <w:rFonts w:ascii="Times New Roman"/>
                <w:sz w:val="18"/>
              </w:rPr>
              <w:t>4,129,952,298.48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3,367,565,949.14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2,295,753,017.66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2,035,391,961.74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1,934,606,136.37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1,097,560,513.85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left="154" w:right="889"/>
        <w:jc w:val="left"/>
        <w:rPr>
          <w:b w:val="0"/>
          <w:bCs w:val="0"/>
        </w:rPr>
      </w:pPr>
      <w:bookmarkStart w:name="七、境内外会计准则下会计数据差异" w:id="9"/>
      <w:bookmarkEnd w:id="9"/>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89"/>
        <w:jc w:val="left"/>
        <w:rPr>
          <w:b w:val="0"/>
          <w:bCs w:val="0"/>
        </w:rPr>
      </w:pPr>
      <w:bookmarkStart w:name="1、同时按照国际会计准则与按照中国会计准则披露的财务报告中净利润和净资产差异情况" w:id="10"/>
      <w:bookmarkEnd w:id="10"/>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2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right="889"/>
        <w:jc w:val="left"/>
        <w:rPr>
          <w:b w:val="0"/>
          <w:bCs w:val="0"/>
        </w:rPr>
      </w:pPr>
      <w:bookmarkStart w:name="2、同时按照境外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2"/>
        <w:spacing w:line="240" w:lineRule="auto"/>
        <w:ind w:right="889"/>
        <w:jc w:val="left"/>
        <w:rPr>
          <w:b w:val="0"/>
          <w:bCs w:val="0"/>
        </w:rPr>
      </w:pPr>
      <w:bookmarkStart w:name="八、分季度主要财务指标" w:id="12"/>
      <w:bookmarkEnd w:id="12"/>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601,180,706.47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718,322,318.91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850,506,064.43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1,002,987,198.45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22,066,552.29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44,420,498.29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48,199,836.66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46,063,092.22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22,056,185.72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42,573,173.18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47,518,672.14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47,621,751.40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-255,497,081.74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-31,254,668.84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-2,530,887.99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110,984,066.15</w:t>
            </w:r>
          </w:p>
        </w:tc>
      </w:tr>
    </w:tbl>
    <w:p>
      <w:pPr>
        <w:pStyle w:val="BodyText"/>
        <w:spacing w:line="240" w:lineRule="auto" w:before="51"/>
        <w:ind w:left="154" w:right="889"/>
        <w:jc w:val="left"/>
      </w:pPr>
      <w:r>
        <w:rPr/>
        <w:t>上述财务指标或其加总数是否与公司已披露季度报告、半年度报告相关财务指标存在重大差异</w:t>
      </w:r>
    </w:p>
    <w:p>
      <w:pPr>
        <w:pStyle w:val="BodyText"/>
        <w:spacing w:line="240" w:lineRule="auto" w:before="117"/>
        <w:ind w:right="8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spacing w:val="-1"/>
        </w:rPr>
        <w:t> </w:t>
      </w:r>
      <w:r>
        <w:rPr/>
        <w:t>。</w:t>
      </w:r>
    </w:p>
    <w:p>
      <w:pPr>
        <w:spacing w:line="240" w:lineRule="auto" w:before="12"/>
        <w:rPr>
          <w:rFonts w:ascii="宋体" w:hAnsi="宋体" w:cs="宋体" w:eastAsia="宋体" w:hint="default"/>
          <w:sz w:val="23"/>
          <w:szCs w:val="23"/>
        </w:rPr>
      </w:pPr>
    </w:p>
    <w:p>
      <w:pPr>
        <w:pStyle w:val="Heading2"/>
        <w:spacing w:line="240" w:lineRule="auto"/>
        <w:ind w:right="889"/>
        <w:jc w:val="left"/>
        <w:rPr>
          <w:b w:val="0"/>
          <w:bCs w:val="0"/>
        </w:rPr>
      </w:pPr>
      <w:bookmarkStart w:name="九、非经常性损益项目及金额" w:id="13"/>
      <w:bookmarkEnd w:id="13"/>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-14,801.61</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-130,287.63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3,025,080.66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1,059,395.11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3,982,673.32</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67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1,812,863.71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-315,457.58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-3,360,509.76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-1,722,049.51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7,867,314.80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175,208.85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-101,031.20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1,775,061.34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-8,230.45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7,960.48</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7" w:right="0"/>
              <w:jc w:val="left"/>
              <w:rPr>
                <w:rFonts w:ascii="Times New Roman" w:hAnsi="Times New Roman" w:cs="Times New Roman" w:eastAsia="Times New Roman" w:hint="default"/>
                <w:sz w:val="18"/>
                <w:szCs w:val="18"/>
              </w:rPr>
            </w:pPr>
            <w:r>
              <w:rPr>
                <w:rFonts w:ascii="Times New Roman"/>
                <w:sz w:val="18"/>
              </w:rPr>
              <w:t>980,197.02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-692,543.28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4" w:right="0"/>
              <w:jc w:val="left"/>
              <w:rPr>
                <w:rFonts w:ascii="Times New Roman" w:hAnsi="Times New Roman" w:cs="Times New Roman" w:eastAsia="Times New Roman" w:hint="default"/>
                <w:sz w:val="18"/>
                <w:szCs w:val="18"/>
              </w:rPr>
            </w:pPr>
            <w:r>
              <w:rPr>
                <w:rFonts w:ascii="Times New Roman"/>
                <w:sz w:val="18"/>
              </w:rPr>
              <w:t>10,066,966.30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889"/>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221"/>
        <w:jc w:val="center"/>
        <w:rPr>
          <w:b w:val="0"/>
          <w:bCs w:val="0"/>
        </w:rPr>
      </w:pPr>
      <w:bookmarkStart w:name="第三节 公司业务概要" w:id="14"/>
      <w:bookmarkEnd w:id="14"/>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5"/>
      <w:bookmarkEnd w:id="15"/>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是</w:t>
      </w:r>
    </w:p>
    <w:p>
      <w:pPr>
        <w:pStyle w:val="BodyText"/>
        <w:spacing w:line="240" w:lineRule="auto" w:before="26"/>
        <w:ind w:left="154" w:right="0"/>
        <w:jc w:val="both"/>
      </w:pPr>
      <w:r>
        <w:rPr/>
        <w:t>装修装饰业</w:t>
      </w:r>
    </w:p>
    <w:p>
      <w:pPr>
        <w:pStyle w:val="BodyText"/>
        <w:spacing w:line="240" w:lineRule="auto" w:before="116"/>
        <w:ind w:right="0"/>
        <w:jc w:val="both"/>
      </w:pPr>
      <w:r>
        <w:rPr/>
        <w:t>公司需遵守《深圳证券交易所行业信息披露指引第</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上市公司从事装修装饰业务》的披露要求</w:t>
      </w:r>
    </w:p>
    <w:p>
      <w:pPr>
        <w:spacing w:line="357" w:lineRule="auto" w:before="103"/>
        <w:ind w:left="573" w:right="1153" w:firstLine="0"/>
        <w:jc w:val="left"/>
        <w:rPr>
          <w:rFonts w:ascii="宋体" w:hAnsi="宋体" w:cs="宋体" w:eastAsia="宋体" w:hint="default"/>
          <w:sz w:val="18"/>
          <w:szCs w:val="18"/>
        </w:rPr>
      </w:pPr>
      <w:r>
        <w:rPr>
          <w:rFonts w:ascii="宋体" w:hAnsi="宋体" w:cs="宋体" w:eastAsia="宋体" w:hint="default"/>
          <w:b/>
          <w:bCs/>
          <w:sz w:val="18"/>
          <w:szCs w:val="18"/>
        </w:rPr>
        <w:t>（一）报告期内，公司的主营业务及其变化情况</w:t>
      </w:r>
      <w:r>
        <w:rPr>
          <w:rFonts w:ascii="宋体" w:hAnsi="宋体" w:cs="宋体" w:eastAsia="宋体" w:hint="default"/>
          <w:b/>
          <w:bCs/>
          <w:w w:val="99"/>
          <w:sz w:val="18"/>
          <w:szCs w:val="18"/>
        </w:rPr>
        <w:t> </w:t>
      </w:r>
      <w:r>
        <w:rPr>
          <w:rFonts w:ascii="宋体" w:hAnsi="宋体" w:cs="宋体" w:eastAsia="宋体" w:hint="default"/>
          <w:sz w:val="18"/>
          <w:szCs w:val="18"/>
        </w:rPr>
        <w:t>公司是一家以室内外装饰为主，融合幕墙、建筑智能、机电、园林、新能源、物业管理等业务为一体的、致力打造成</w:t>
      </w:r>
    </w:p>
    <w:p>
      <w:pPr>
        <w:pStyle w:val="BodyText"/>
        <w:spacing w:line="224" w:lineRule="exact"/>
        <w:ind w:right="0"/>
        <w:jc w:val="both"/>
      </w:pPr>
      <w:r>
        <w:rPr/>
        <w:t>国内知名的城乡建设综合服务商。公司主要承接办公楼、商业建筑、高档酒店、文教体卫设施、交通基础设施等公共建筑和</w:t>
      </w:r>
    </w:p>
    <w:p>
      <w:pPr>
        <w:pStyle w:val="BodyText"/>
        <w:spacing w:line="319" w:lineRule="auto" w:before="76"/>
        <w:ind w:right="1131"/>
        <w:jc w:val="both"/>
      </w:pPr>
      <w:r>
        <w:rPr>
          <w:spacing w:val="-2"/>
        </w:rPr>
        <w:t>普通住宅、别墅等住宅建筑的装饰施工和设计业务。近年来，凭借着全面的业务资质和优秀的施工能力，公司在全国范围内</w:t>
      </w:r>
      <w:r>
        <w:rPr>
          <w:spacing w:val="-66"/>
        </w:rPr>
        <w:t> </w:t>
      </w:r>
      <w:r>
        <w:rPr>
          <w:spacing w:val="-66"/>
        </w:rPr>
      </w:r>
      <w:r>
        <w:rPr>
          <w:spacing w:val="-2"/>
        </w:rPr>
        <w:t>成功完成了一系列的代表性装饰工程项目，并连续入选“中国建筑装饰行业百强”排名前十。</w:t>
      </w:r>
      <w:r>
        <w:rPr>
          <w:rFonts w:ascii="宋体" w:hAnsi="宋体" w:cs="宋体" w:eastAsia="宋体" w:hint="default"/>
          <w:spacing w:val="-2"/>
        </w:rPr>
        <w:t>2017</w:t>
      </w:r>
      <w:r>
        <w:rPr>
          <w:spacing w:val="-2"/>
        </w:rPr>
        <w:t>年，公司主营业务未发生</w:t>
      </w:r>
      <w:r>
        <w:rPr>
          <w:spacing w:val="-61"/>
        </w:rPr>
        <w:t> </w:t>
      </w:r>
      <w:r>
        <w:rPr>
          <w:spacing w:val="-61"/>
        </w:rPr>
      </w:r>
      <w:r>
        <w:rPr/>
        <w:t>重大变化。</w:t>
      </w:r>
    </w:p>
    <w:p>
      <w:pPr>
        <w:pStyle w:val="BodyText"/>
        <w:spacing w:line="357" w:lineRule="auto" w:before="56"/>
        <w:ind w:left="513" w:right="889" w:firstLine="60"/>
        <w:jc w:val="left"/>
      </w:pPr>
      <w:r>
        <w:rPr>
          <w:rFonts w:ascii="宋体" w:hAnsi="宋体" w:cs="宋体" w:eastAsia="宋体" w:hint="default"/>
          <w:b/>
          <w:bCs/>
        </w:rPr>
        <w:t>（二）行业发展概况</w:t>
      </w:r>
      <w:r>
        <w:rPr>
          <w:rFonts w:ascii="宋体" w:hAnsi="宋体" w:cs="宋体" w:eastAsia="宋体" w:hint="default"/>
          <w:b/>
          <w:bCs/>
          <w:w w:val="99"/>
        </w:rPr>
        <w:t> </w:t>
      </w:r>
      <w:r>
        <w:rPr>
          <w:spacing w:val="-2"/>
        </w:rPr>
        <w:t>近五年装饰行业在不断洗牌，行业业绩、利润增长也遇到瓶颈，市场在不断变化，同质化的竞争日益激烈，行业内逐步</w:t>
      </w:r>
    </w:p>
    <w:p>
      <w:pPr>
        <w:pStyle w:val="BodyText"/>
        <w:spacing w:line="224" w:lineRule="exact"/>
        <w:ind w:left="154" w:right="0"/>
        <w:jc w:val="both"/>
      </w:pPr>
      <w:r>
        <w:rPr/>
        <w:t>呈现两级分化趋势。 “十三五”期间，随着我国经济进入“新常态”，建筑装饰行业由高速增长期步入中速调整期，行业</w:t>
      </w:r>
    </w:p>
    <w:p>
      <w:pPr>
        <w:pStyle w:val="BodyText"/>
        <w:spacing w:line="319" w:lineRule="auto" w:before="76"/>
        <w:ind w:left="154" w:right="1131"/>
        <w:jc w:val="both"/>
      </w:pPr>
      <w:r>
        <w:rPr>
          <w:spacing w:val="-2"/>
        </w:rPr>
        <w:t>总体上保持平稳发展。然而，在国民经济持续增长、城镇化建设稳步推进和居民消费水平持续提高的推动下，我国的建筑装</w:t>
      </w:r>
      <w:r>
        <w:rPr>
          <w:spacing w:val="-66"/>
        </w:rPr>
        <w:t> </w:t>
      </w:r>
      <w:r>
        <w:rPr>
          <w:spacing w:val="-66"/>
        </w:rPr>
      </w:r>
      <w:r>
        <w:rPr>
          <w:spacing w:val="-2"/>
        </w:rPr>
        <w:t>饰行业仍保持巨大的市场需求。政府出台多项措施，如进一步深化对建筑装饰行业的简政放权、改革建筑业企业资质管理制</w:t>
      </w:r>
      <w:r>
        <w:rPr>
          <w:spacing w:val="-66"/>
        </w:rPr>
        <w:t> </w:t>
      </w:r>
      <w:r>
        <w:rPr>
          <w:spacing w:val="-66"/>
        </w:rPr>
      </w:r>
      <w:r>
        <w:rPr/>
        <w:t>度、招投标管理制度及推行“营改增”税制改革等，为行业发展提供政策支持。</w:t>
      </w:r>
    </w:p>
    <w:p>
      <w:pPr>
        <w:pStyle w:val="Heading5"/>
        <w:spacing w:line="357" w:lineRule="auto" w:before="56"/>
        <w:ind w:right="8164"/>
        <w:jc w:val="left"/>
        <w:rPr>
          <w:b w:val="0"/>
          <w:bCs w:val="0"/>
        </w:rPr>
      </w:pPr>
      <w:r>
        <w:rPr/>
        <w:t>（三）影响行业发展的因素</w:t>
      </w:r>
      <w:r>
        <w:rPr>
          <w:w w:val="99"/>
        </w:rPr>
        <w:t> </w:t>
      </w:r>
      <w:r>
        <w:rPr>
          <w:rFonts w:ascii="宋体" w:hAnsi="宋体" w:cs="宋体" w:eastAsia="宋体" w:hint="default"/>
        </w:rPr>
        <w:t>1</w:t>
      </w:r>
      <w:r>
        <w:rPr/>
        <w:t>、宏观经济和政策影响</w:t>
      </w:r>
      <w:r>
        <w:rPr>
          <w:b w:val="0"/>
          <w:bCs w:val="0"/>
        </w:rPr>
      </w:r>
    </w:p>
    <w:p>
      <w:pPr>
        <w:pStyle w:val="BodyText"/>
        <w:spacing w:line="319" w:lineRule="auto" w:before="28"/>
        <w:ind w:right="889" w:firstLine="420"/>
        <w:jc w:val="left"/>
      </w:pPr>
      <w:r>
        <w:rPr/>
        <w:t>宏观经济的周期性波动对建筑装饰行业存在重要影响，其市场需求与国民经济发展、全社会固定资产投资等关联度较 </w:t>
      </w:r>
      <w:r>
        <w:rPr>
          <w:spacing w:val="-2"/>
        </w:rPr>
        <w:t>高。近年来，尽管存在全球金融危机带来的负面影响，但受益于中国采取的积极财政政策和稳健的货币政策等应对措施，中</w:t>
      </w:r>
      <w:r>
        <w:rPr>
          <w:spacing w:val="-66"/>
        </w:rPr>
        <w:t> </w:t>
      </w:r>
      <w:r>
        <w:rPr>
          <w:spacing w:val="-66"/>
        </w:rPr>
      </w:r>
      <w:r>
        <w:rPr>
          <w:spacing w:val="-2"/>
        </w:rPr>
        <w:t>国建筑装饰行业仍保持较快的增长速度，但如果宏观经济增长发生较大波动乃至大幅下降，将可能对建筑装饰行业产生较大</w:t>
      </w:r>
      <w:r>
        <w:rPr>
          <w:spacing w:val="-64"/>
        </w:rPr>
        <w:t> </w:t>
      </w:r>
      <w:r>
        <w:rPr>
          <w:spacing w:val="-64"/>
        </w:rPr>
      </w:r>
      <w:r>
        <w:rPr>
          <w:spacing w:val="-2"/>
        </w:rPr>
        <w:t>不利影响。此外，房地产行业的政策和发展环境对建筑装饰行业也会产生重要影响。建筑装饰行业企业的主要业务之一为住</w:t>
      </w:r>
      <w:r>
        <w:rPr>
          <w:spacing w:val="-66"/>
        </w:rPr>
        <w:t> </w:t>
      </w:r>
      <w:r>
        <w:rPr>
          <w:spacing w:val="-66"/>
        </w:rPr>
      </w:r>
      <w:r>
        <w:rPr>
          <w:spacing w:val="-4"/>
        </w:rPr>
        <w:t>宅精装修。住宅精装修业务主要面向大型房地产开发商。但随着国家对房地产行业的持续宏观调控，如开发商开发进度减缓，</w:t>
      </w:r>
      <w:r>
        <w:rPr>
          <w:spacing w:val="-43"/>
        </w:rPr>
        <w:t> </w:t>
      </w:r>
      <w:r>
        <w:rPr>
          <w:spacing w:val="-43"/>
        </w:rPr>
      </w:r>
      <w:r>
        <w:rPr>
          <w:spacing w:val="-2"/>
        </w:rPr>
        <w:t>则可能导致住宅精装修业务订单的下滑。我国固定资产投资增速也将影响城市基础设施和公共建筑的增量，若未来我国全社</w:t>
      </w:r>
      <w:r>
        <w:rPr>
          <w:spacing w:val="-64"/>
        </w:rPr>
        <w:t> </w:t>
      </w:r>
      <w:r>
        <w:rPr>
          <w:spacing w:val="-64"/>
        </w:rPr>
      </w:r>
      <w:r>
        <w:rPr/>
        <w:t>会固定资产投资增速下降将直接导致公共建筑装饰业务的增速趋缓。</w:t>
      </w:r>
    </w:p>
    <w:p>
      <w:pPr>
        <w:spacing w:line="357" w:lineRule="auto" w:before="56"/>
        <w:ind w:left="574" w:right="889"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、城镇化水平不断提高，有利于推动行业平稳发展</w:t>
      </w:r>
      <w:r>
        <w:rPr>
          <w:rFonts w:ascii="宋体" w:hAnsi="宋体" w:cs="宋体" w:eastAsia="宋体" w:hint="default"/>
          <w:b/>
          <w:bCs/>
          <w:w w:val="99"/>
          <w:sz w:val="18"/>
          <w:szCs w:val="18"/>
        </w:rPr>
        <w:t> </w:t>
      </w:r>
      <w:r>
        <w:rPr>
          <w:rFonts w:ascii="宋体" w:hAnsi="宋体" w:cs="宋体" w:eastAsia="宋体" w:hint="default"/>
          <w:spacing w:val="-3"/>
          <w:sz w:val="18"/>
          <w:szCs w:val="18"/>
        </w:rPr>
        <w:t>据中国建筑装饰协会编订的《中国建筑装饰行业“十二五”发展规划纲要》，到</w:t>
      </w:r>
      <w:r>
        <w:rPr>
          <w:rFonts w:ascii="宋体" w:hAnsi="宋体" w:cs="宋体" w:eastAsia="宋体" w:hint="default"/>
          <w:spacing w:val="-3"/>
          <w:sz w:val="18"/>
          <w:szCs w:val="18"/>
        </w:rPr>
        <w:t>2020</w:t>
      </w:r>
      <w:r>
        <w:rPr>
          <w:rFonts w:ascii="宋体" w:hAnsi="宋体" w:cs="宋体" w:eastAsia="宋体" w:hint="default"/>
          <w:spacing w:val="-3"/>
          <w:sz w:val="18"/>
          <w:szCs w:val="18"/>
        </w:rPr>
        <w:t>年，我国城市化率将达到</w:t>
      </w:r>
      <w:r>
        <w:rPr>
          <w:rFonts w:ascii="宋体" w:hAnsi="宋体" w:cs="宋体" w:eastAsia="宋体" w:hint="default"/>
          <w:spacing w:val="-3"/>
          <w:sz w:val="18"/>
          <w:szCs w:val="18"/>
        </w:rPr>
        <w:t>60%</w:t>
      </w:r>
      <w:r>
        <w:rPr>
          <w:rFonts w:ascii="宋体" w:hAnsi="宋体" w:cs="宋体" w:eastAsia="宋体" w:hint="default"/>
          <w:spacing w:val="-3"/>
          <w:sz w:val="18"/>
          <w:szCs w:val="18"/>
        </w:rPr>
        <w:t>左右，</w:t>
      </w:r>
    </w:p>
    <w:p>
      <w:pPr>
        <w:pStyle w:val="BodyText"/>
        <w:spacing w:line="224" w:lineRule="exact"/>
        <w:ind w:right="0"/>
        <w:jc w:val="both"/>
        <w:rPr>
          <w:rFonts w:ascii="宋体" w:hAnsi="宋体" w:cs="宋体" w:eastAsia="宋体" w:hint="default"/>
        </w:rPr>
      </w:pPr>
      <w:r>
        <w:rPr/>
        <w:t>而城镇化率每年平均增长</w:t>
      </w:r>
      <w:r>
        <w:rPr>
          <w:rFonts w:ascii="宋体" w:hAnsi="宋体" w:cs="宋体" w:eastAsia="宋体" w:hint="default"/>
        </w:rPr>
        <w:t>1</w:t>
      </w:r>
      <w:r>
        <w:rPr/>
        <w:t>个百分点，每年将新增城镇人口</w:t>
      </w:r>
      <w:r>
        <w:rPr>
          <w:rFonts w:ascii="宋体" w:hAnsi="宋体" w:cs="宋体" w:eastAsia="宋体" w:hint="default"/>
        </w:rPr>
        <w:t>1,300</w:t>
      </w:r>
      <w:r>
        <w:rPr/>
        <w:t>万，以全国城镇人均住房面积</w:t>
      </w:r>
      <w:r>
        <w:rPr>
          <w:rFonts w:ascii="宋体" w:hAnsi="宋体" w:cs="宋体" w:eastAsia="宋体" w:hint="default"/>
        </w:rPr>
        <w:t>30</w:t>
      </w:r>
      <w:r>
        <w:rPr/>
        <w:t>平方米测算，每年带来</w:t>
      </w:r>
      <w:r>
        <w:rPr>
          <w:rFonts w:ascii="宋体" w:hAnsi="宋体" w:cs="宋体" w:eastAsia="宋体" w:hint="default"/>
        </w:rPr>
        <w:t>3.9</w:t>
      </w:r>
    </w:p>
    <w:p>
      <w:pPr>
        <w:pStyle w:val="BodyText"/>
        <w:spacing w:line="319" w:lineRule="auto" w:before="76"/>
        <w:ind w:right="1130"/>
        <w:jc w:val="both"/>
      </w:pPr>
      <w:r>
        <w:rPr>
          <w:spacing w:val="-2"/>
        </w:rPr>
        <w:t>亿平方米的新建住房需求，按每平方米产生</w:t>
      </w:r>
      <w:r>
        <w:rPr>
          <w:rFonts w:ascii="宋体" w:hAnsi="宋体" w:cs="宋体" w:eastAsia="宋体" w:hint="default"/>
          <w:spacing w:val="-2"/>
        </w:rPr>
        <w:t>600-1,000</w:t>
      </w:r>
      <w:r>
        <w:rPr>
          <w:spacing w:val="-2"/>
        </w:rPr>
        <w:t>元的基础装饰费用保守估算，由此将带来每年</w:t>
      </w:r>
      <w:r>
        <w:rPr>
          <w:rFonts w:ascii="宋体" w:hAnsi="宋体" w:cs="宋体" w:eastAsia="宋体" w:hint="default"/>
          <w:spacing w:val="-2"/>
        </w:rPr>
        <w:t>2,400-4,000</w:t>
      </w:r>
      <w:r>
        <w:rPr>
          <w:spacing w:val="-2"/>
        </w:rPr>
        <w:t>亿元的住宅</w:t>
      </w:r>
      <w:r>
        <w:rPr>
          <w:spacing w:val="-44"/>
        </w:rPr>
        <w:t> </w:t>
      </w:r>
      <w:r>
        <w:rPr/>
        <w:t>装饰市场需求。</w:t>
      </w:r>
    </w:p>
    <w:p>
      <w:pPr>
        <w:pStyle w:val="BodyText"/>
        <w:spacing w:line="319" w:lineRule="auto" w:before="55"/>
        <w:ind w:right="1130" w:firstLine="420"/>
        <w:jc w:val="both"/>
      </w:pPr>
      <w:r>
        <w:rPr>
          <w:spacing w:val="-7"/>
        </w:rPr>
        <w:t>同时，国内二、三线城市经济发展迅速，在各自区域内的经济影响力逐渐增大。新城建设、旧城改造，都将促进各地</w:t>
      </w:r>
      <w:r>
        <w:rPr>
          <w:spacing w:val="33"/>
        </w:rPr>
        <w:t> </w:t>
      </w:r>
      <w:r>
        <w:rPr>
          <w:rFonts w:ascii="宋体" w:hAnsi="宋体" w:cs="宋体" w:eastAsia="宋体" w:hint="default"/>
        </w:rPr>
        <w:t>GDP </w:t>
      </w:r>
      <w:r>
        <w:rPr>
          <w:spacing w:val="-2"/>
        </w:rPr>
        <w:t>的快速增长和固定资产投资规模的快速扩大。同时，二、三线城市的商业贸易、旅游业快速发展，也带动了写字楼、商业中</w:t>
      </w:r>
      <w:r>
        <w:rPr>
          <w:spacing w:val="-67"/>
        </w:rPr>
        <w:t> </w:t>
      </w:r>
      <w:r>
        <w:rPr>
          <w:spacing w:val="-67"/>
        </w:rPr>
      </w:r>
      <w:r>
        <w:rPr>
          <w:spacing w:val="-2"/>
        </w:rPr>
        <w:t>心、星级酒店、购物广场以及旅游地产等商旅配套的新建和改造，这在给建筑装饰行业带来需求的同时，也对建筑装饰行业</w:t>
      </w:r>
      <w:r>
        <w:rPr>
          <w:spacing w:val="-66"/>
        </w:rPr>
        <w:t> </w:t>
      </w:r>
      <w:r>
        <w:rPr>
          <w:spacing w:val="-66"/>
        </w:rPr>
      </w:r>
      <w:r>
        <w:rPr/>
        <w:t>的品质提出了更高的要求。</w:t>
      </w:r>
    </w:p>
    <w:p>
      <w:pPr>
        <w:pStyle w:val="BodyText"/>
        <w:spacing w:line="319" w:lineRule="auto" w:before="56"/>
        <w:ind w:right="1153" w:firstLine="420"/>
        <w:jc w:val="left"/>
      </w:pPr>
      <w:r>
        <w:rPr/>
        <w:t>伴随着经济稳步增长、固定资产投资规模不断扩大、城镇化进程不断加快等，我国房地产、建筑行业蓬勃发展，建筑 装饰行业也显现出了稳健的发展态势。</w:t>
      </w:r>
    </w:p>
    <w:p>
      <w:pPr>
        <w:spacing w:after="0" w:line="319"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573" w:right="1153"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、公共建筑装饰增量放缓，存量市场改造空间大</w:t>
      </w:r>
      <w:r>
        <w:rPr>
          <w:rFonts w:ascii="宋体" w:hAnsi="宋体" w:cs="宋体" w:eastAsia="宋体" w:hint="default"/>
          <w:b/>
          <w:bCs/>
          <w:w w:val="99"/>
          <w:sz w:val="18"/>
          <w:szCs w:val="18"/>
        </w:rPr>
        <w:t> </w:t>
      </w:r>
      <w:r>
        <w:rPr>
          <w:rFonts w:ascii="宋体" w:hAnsi="宋体" w:cs="宋体" w:eastAsia="宋体" w:hint="default"/>
          <w:sz w:val="18"/>
          <w:szCs w:val="18"/>
        </w:rPr>
        <w:t>公共建筑装饰市场的发展主要受两大因素驱动：一是随固定资产投资增加而新建的公共建筑所产生的增量市场；二是</w:t>
      </w:r>
    </w:p>
    <w:p>
      <w:pPr>
        <w:pStyle w:val="BodyText"/>
        <w:spacing w:line="357" w:lineRule="auto"/>
        <w:ind w:left="573" w:right="1153" w:hanging="420"/>
        <w:jc w:val="left"/>
      </w:pPr>
      <w:r>
        <w:rPr/>
        <w:t>随经济发展、需求升级而对已有建筑定期翻新的存量市场。 近年来，公共建筑装饰市场规模总体上稳步上升，但增速有所放缓。增速下调的原因主要是新建公共建筑增量放缓，</w:t>
      </w:r>
    </w:p>
    <w:p>
      <w:pPr>
        <w:pStyle w:val="BodyText"/>
        <w:spacing w:line="224" w:lineRule="exact"/>
        <w:ind w:right="889"/>
        <w:jc w:val="left"/>
      </w:pPr>
      <w:r>
        <w:rPr/>
        <w:t>带来装饰业务规模增速下调。在中短期内公共建筑装饰增量市场发展趋势整体较为平稳；同时，前期积累的改造需求、以及</w:t>
      </w:r>
    </w:p>
    <w:p>
      <w:pPr>
        <w:pStyle w:val="BodyText"/>
        <w:spacing w:line="357" w:lineRule="auto" w:before="77"/>
        <w:ind w:left="573" w:right="1153" w:hanging="420"/>
        <w:jc w:val="left"/>
      </w:pPr>
      <w:r>
        <w:rPr/>
        <w:t>装饰市场的产业升级将促使公共建筑装饰行业存量市场改造规模迅速扩大。 近十年来，我国公共建筑市场发展迅速，商务酒店、城市商业综合体、文教体卫建筑、交通基建建筑等存量市场已十</w:t>
      </w:r>
    </w:p>
    <w:p>
      <w:pPr>
        <w:pStyle w:val="BodyText"/>
        <w:spacing w:line="224" w:lineRule="exact"/>
        <w:ind w:right="889"/>
        <w:jc w:val="left"/>
      </w:pPr>
      <w:r>
        <w:rPr/>
        <w:t>分巨大。随着国内商务活动的逐渐增多和旅游的兴起，国内星级酒店得到了快速发展。未来十年新开业的高端星级酒店，特</w:t>
      </w:r>
    </w:p>
    <w:p>
      <w:pPr>
        <w:pStyle w:val="BodyText"/>
        <w:spacing w:line="357" w:lineRule="auto" w:before="77"/>
        <w:ind w:left="573" w:right="1153" w:hanging="420"/>
        <w:jc w:val="left"/>
      </w:pPr>
      <w:r>
        <w:rPr/>
        <w:t>别是五星、四星酒店将迎来重新装饰改造的高峰。 公共建筑物在整个使用寿命期内需要进行多次装饰装修，据统计，一般旅游饭店、写字楼的装饰周期是</w:t>
      </w:r>
      <w:r>
        <w:rPr>
          <w:rFonts w:ascii="宋体" w:hAnsi="宋体" w:cs="宋体" w:eastAsia="宋体" w:hint="default"/>
        </w:rPr>
        <w:t>6</w:t>
      </w:r>
      <w:r>
        <w:rPr/>
        <w:t>至</w:t>
      </w:r>
      <w:r>
        <w:rPr>
          <w:rFonts w:ascii="宋体" w:hAnsi="宋体" w:cs="宋体" w:eastAsia="宋体" w:hint="default"/>
        </w:rPr>
        <w:t>8</w:t>
      </w:r>
      <w:r>
        <w:rPr/>
        <w:t>年，而娱</w:t>
      </w:r>
    </w:p>
    <w:p>
      <w:pPr>
        <w:pStyle w:val="BodyText"/>
        <w:spacing w:line="224" w:lineRule="exact"/>
        <w:ind w:right="889"/>
        <w:jc w:val="left"/>
      </w:pPr>
      <w:r>
        <w:rPr/>
        <w:t>乐场所、商务用房的装饰周期还会更短，其他建筑一般</w:t>
      </w:r>
      <w:r>
        <w:rPr>
          <w:rFonts w:ascii="宋体" w:hAnsi="宋体" w:cs="宋体" w:eastAsia="宋体" w:hint="default"/>
        </w:rPr>
        <w:t>10</w:t>
      </w:r>
      <w:r>
        <w:rPr/>
        <w:t>年更新一次；市场增量转化为存量的扩容，存量市场的定期装饰装</w:t>
      </w:r>
    </w:p>
    <w:p>
      <w:pPr>
        <w:spacing w:line="357" w:lineRule="auto" w:before="77"/>
        <w:ind w:left="574" w:right="1032" w:hanging="420"/>
        <w:jc w:val="left"/>
        <w:rPr>
          <w:rFonts w:ascii="宋体" w:hAnsi="宋体" w:cs="宋体" w:eastAsia="宋体" w:hint="default"/>
          <w:sz w:val="18"/>
          <w:szCs w:val="18"/>
        </w:rPr>
      </w:pPr>
      <w:r>
        <w:rPr>
          <w:rFonts w:ascii="宋体" w:hAnsi="宋体" w:cs="宋体" w:eastAsia="宋体" w:hint="default"/>
          <w:sz w:val="18"/>
          <w:szCs w:val="18"/>
        </w:rPr>
        <w:t>修，加之客户标准不断提高产生的装饰需求，这些都为资质种类齐全、追求高品质的大型装饰企业提供了广阔的市场空间。 </w:t>
      </w:r>
      <w:r>
        <w:rPr>
          <w:rFonts w:ascii="宋体" w:hAnsi="宋体" w:cs="宋体" w:eastAsia="宋体" w:hint="default"/>
          <w:b/>
          <w:bCs/>
          <w:sz w:val="18"/>
          <w:szCs w:val="18"/>
        </w:rPr>
        <w:t>4</w:t>
      </w:r>
      <w:r>
        <w:rPr>
          <w:rFonts w:ascii="宋体" w:hAnsi="宋体" w:cs="宋体" w:eastAsia="宋体" w:hint="default"/>
          <w:b/>
          <w:bCs/>
          <w:sz w:val="18"/>
          <w:szCs w:val="18"/>
        </w:rPr>
        <w:t>、国家政策方向和市场认可度提升共同推动住宅精装修业务发展</w:t>
      </w:r>
      <w:r>
        <w:rPr>
          <w:rFonts w:ascii="宋体" w:hAnsi="宋体" w:cs="宋体" w:eastAsia="宋体" w:hint="default"/>
          <w:b/>
          <w:bCs/>
          <w:w w:val="99"/>
          <w:sz w:val="18"/>
          <w:szCs w:val="18"/>
        </w:rPr>
        <w:t> </w:t>
      </w:r>
      <w:r>
        <w:rPr>
          <w:rFonts w:ascii="宋体" w:hAnsi="宋体" w:cs="宋体" w:eastAsia="宋体" w:hint="default"/>
          <w:sz w:val="18"/>
          <w:szCs w:val="18"/>
        </w:rPr>
        <w:t>住宅精装修具有节能、环保的显著特点，国家政策层面一直鼓励支持住宅精装修行业发展。</w:t>
      </w:r>
      <w:r>
        <w:rPr>
          <w:rFonts w:ascii="宋体" w:hAnsi="宋体" w:cs="宋体" w:eastAsia="宋体" w:hint="default"/>
          <w:sz w:val="18"/>
          <w:szCs w:val="18"/>
        </w:rPr>
        <w:t>1999</w:t>
      </w:r>
      <w:r>
        <w:rPr>
          <w:rFonts w:ascii="宋体" w:hAnsi="宋体" w:cs="宋体" w:eastAsia="宋体" w:hint="default"/>
          <w:sz w:val="18"/>
          <w:szCs w:val="18"/>
        </w:rPr>
        <w:t>年，国务院办公厅下</w:t>
      </w:r>
    </w:p>
    <w:p>
      <w:pPr>
        <w:pStyle w:val="BodyText"/>
        <w:spacing w:line="224" w:lineRule="exact"/>
        <w:ind w:right="889"/>
        <w:jc w:val="left"/>
      </w:pPr>
      <w:r>
        <w:rPr/>
        <w:t>发《关于推进住宅产业现代化提高住宅质量若干意见的通知》，提出要加强对住宅装修的管理，积极推广一次性装修或菜单</w:t>
      </w:r>
    </w:p>
    <w:p>
      <w:pPr>
        <w:pStyle w:val="BodyText"/>
        <w:spacing w:line="319" w:lineRule="auto" w:before="76"/>
        <w:ind w:right="1130"/>
        <w:jc w:val="both"/>
      </w:pPr>
      <w:r>
        <w:rPr>
          <w:spacing w:val="-2"/>
        </w:rPr>
        <w:t>式装修模式，避免二次装修造成的破坏结构、浪费和扰民等现象。</w:t>
      </w:r>
      <w:r>
        <w:rPr>
          <w:rFonts w:ascii="宋体" w:hAnsi="宋体" w:cs="宋体" w:eastAsia="宋体" w:hint="default"/>
          <w:spacing w:val="-2"/>
        </w:rPr>
        <w:t>2002</w:t>
      </w:r>
      <w:r>
        <w:rPr>
          <w:spacing w:val="-2"/>
        </w:rPr>
        <w:t>年，《住宅室内装饰装修管理办法》颁布实施，规范</w:t>
      </w:r>
      <w:r>
        <w:rPr>
          <w:spacing w:val="-65"/>
        </w:rPr>
        <w:t> </w:t>
      </w:r>
      <w:r>
        <w:rPr>
          <w:spacing w:val="-65"/>
        </w:rPr>
      </w:r>
      <w:r>
        <w:rPr>
          <w:spacing w:val="-2"/>
        </w:rPr>
        <w:t>和推动了住宅装饰装修行业的发展，提出住宅设计从粗放型向集约型转变，向精细化发展，提倡住宅装修的一体化设计和菜</w:t>
      </w:r>
      <w:r>
        <w:rPr>
          <w:spacing w:val="-66"/>
        </w:rPr>
        <w:t> </w:t>
      </w:r>
      <w:r>
        <w:rPr>
          <w:spacing w:val="-66"/>
        </w:rPr>
      </w:r>
      <w:r>
        <w:rPr>
          <w:spacing w:val="-2"/>
        </w:rPr>
        <w:t>单式服务。</w:t>
      </w:r>
      <w:r>
        <w:rPr>
          <w:rFonts w:ascii="宋体" w:hAnsi="宋体" w:cs="宋体" w:eastAsia="宋体" w:hint="default"/>
          <w:spacing w:val="-2"/>
        </w:rPr>
        <w:t>2008</w:t>
      </w:r>
      <w:r>
        <w:rPr>
          <w:spacing w:val="-2"/>
        </w:rPr>
        <w:t>年，住房和城乡建设部发布《关于进一步加强住宅装饰装修管理的通知》，提出制定出台相关扶持政策，引</w:t>
      </w:r>
      <w:r>
        <w:rPr>
          <w:spacing w:val="-63"/>
        </w:rPr>
        <w:t> </w:t>
      </w:r>
      <w:r>
        <w:rPr>
          <w:spacing w:val="-63"/>
        </w:rPr>
      </w:r>
      <w:r>
        <w:rPr>
          <w:spacing w:val="-2"/>
        </w:rPr>
        <w:t>导和鼓励新建商品住宅一次装修到位或菜单式装修模式。要根据本地实际，科学规划，分步实施，逐步达到取消毛坯房，直</w:t>
      </w:r>
      <w:r>
        <w:rPr>
          <w:spacing w:val="-66"/>
        </w:rPr>
        <w:t> </w:t>
      </w:r>
      <w:r>
        <w:rPr>
          <w:spacing w:val="-66"/>
        </w:rPr>
      </w:r>
      <w:r>
        <w:rPr/>
        <w:t>接向消费者提供精装修成品房的目标。</w:t>
      </w:r>
    </w:p>
    <w:p>
      <w:pPr>
        <w:pStyle w:val="BodyText"/>
        <w:spacing w:line="319" w:lineRule="auto" w:before="55"/>
        <w:ind w:right="1028" w:firstLine="420"/>
        <w:jc w:val="left"/>
      </w:pPr>
      <w:r>
        <w:rPr>
          <w:rFonts w:ascii="宋体" w:hAnsi="宋体" w:cs="宋体" w:eastAsia="宋体" w:hint="default"/>
          <w:spacing w:val="-1"/>
        </w:rPr>
        <w:t>2013</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日，国务院办公厅转发了发展改革委和住房城乡建设部的《绿色建筑行动方案》，提出要推动建筑工业化，</w:t>
      </w:r>
      <w:r>
        <w:rPr/>
        <w:t> </w:t>
      </w:r>
      <w:r>
        <w:rPr>
          <w:spacing w:val="-2"/>
        </w:rPr>
        <w:t>积极推行住宅全装修，鼓励新住宅一次装修到位或菜单式装修，促进个性化装修和产业化装修相统一。</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6</w:t>
      </w:r>
      <w:r>
        <w:rPr>
          <w:spacing w:val="-2"/>
        </w:rPr>
        <w:t>日国务院</w:t>
      </w:r>
      <w:r>
        <w:rPr>
          <w:spacing w:val="-60"/>
        </w:rPr>
        <w:t> </w:t>
      </w:r>
      <w:r>
        <w:rPr/>
        <w:t>发布的《关于进一步加强城市规划建设管理工作的若干意见》提出装配式住宅要在未来</w:t>
      </w:r>
      <w:r>
        <w:rPr>
          <w:rFonts w:ascii="宋体" w:hAnsi="宋体" w:cs="宋体" w:eastAsia="宋体" w:hint="default"/>
        </w:rPr>
        <w:t>10</w:t>
      </w:r>
      <w:r>
        <w:rPr/>
        <w:t>年左右占比达到</w:t>
      </w:r>
      <w:r>
        <w:rPr>
          <w:rFonts w:ascii="宋体" w:hAnsi="宋体" w:cs="宋体" w:eastAsia="宋体" w:hint="default"/>
        </w:rPr>
        <w:t>30%</w:t>
      </w:r>
      <w:r>
        <w:rPr/>
        <w:t>，要求以京津 冀、长三角、珠三角城市群和常住人口超过</w:t>
      </w:r>
      <w:r>
        <w:rPr>
          <w:rFonts w:ascii="宋体" w:hAnsi="宋体" w:cs="宋体" w:eastAsia="宋体" w:hint="default"/>
        </w:rPr>
        <w:t>300</w:t>
      </w:r>
      <w:r>
        <w:rPr/>
        <w:t>万的其他城市为重点，加快提高装配式建筑占新建建筑面积的比例。近期， 上海、浙江、海南等地纷纷出台相关文件进一步落实国务院的若干意见，推进住宅全装修。</w:t>
      </w:r>
    </w:p>
    <w:p>
      <w:pPr>
        <w:pStyle w:val="BodyText"/>
        <w:spacing w:line="319" w:lineRule="auto" w:before="56"/>
        <w:ind w:right="1132" w:firstLine="420"/>
        <w:jc w:val="both"/>
      </w:pPr>
      <w:r>
        <w:rPr/>
        <w:t>我国住宅精装修行业起步较晚，发展历程尚短，消费者对于精装修住宅的认识程度参差不齐。但随着国家住宅精装修 </w:t>
      </w:r>
      <w:r>
        <w:rPr>
          <w:spacing w:val="-2"/>
        </w:rPr>
        <w:t>政策的不断推进，以及精装修对商品房销售存在的附加值影响，目前国内主流房地产开发商均大力发展精装修住宅，重点城</w:t>
      </w:r>
      <w:r>
        <w:rPr>
          <w:spacing w:val="-66"/>
        </w:rPr>
        <w:t> </w:t>
      </w:r>
      <w:r>
        <w:rPr>
          <w:spacing w:val="-66"/>
        </w:rPr>
      </w:r>
      <w:r>
        <w:rPr/>
        <w:t>市的新楼盘中精装修比例逐步提高，消费者对于精装修房的接受程度逐步提高。</w:t>
      </w:r>
    </w:p>
    <w:p>
      <w:pPr>
        <w:spacing w:line="357" w:lineRule="auto" w:before="56"/>
        <w:ind w:left="573" w:right="889" w:firstLine="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、国家大力发展特色小镇和</w:t>
      </w:r>
      <w:r>
        <w:rPr>
          <w:rFonts w:ascii="宋体" w:hAnsi="宋体" w:cs="宋体" w:eastAsia="宋体" w:hint="default"/>
          <w:b/>
          <w:bCs/>
          <w:sz w:val="18"/>
          <w:szCs w:val="18"/>
        </w:rPr>
        <w:t>PPP</w:t>
      </w:r>
      <w:r>
        <w:rPr>
          <w:rFonts w:ascii="宋体" w:hAnsi="宋体" w:cs="宋体" w:eastAsia="宋体" w:hint="default"/>
          <w:b/>
          <w:bCs/>
          <w:sz w:val="18"/>
          <w:szCs w:val="18"/>
        </w:rPr>
        <w:t>项目建设，带来新的行业需求</w:t>
      </w:r>
      <w:r>
        <w:rPr>
          <w:rFonts w:ascii="宋体" w:hAnsi="宋体" w:cs="宋体" w:eastAsia="宋体" w:hint="default"/>
          <w:b/>
          <w:bCs/>
          <w:w w:val="99"/>
          <w:sz w:val="18"/>
          <w:szCs w:val="18"/>
        </w:rPr>
        <w:t> </w:t>
      </w:r>
      <w:r>
        <w:rPr>
          <w:rFonts w:ascii="宋体" w:hAnsi="宋体" w:cs="宋体" w:eastAsia="宋体" w:hint="default"/>
          <w:spacing w:val="-2"/>
          <w:sz w:val="18"/>
          <w:szCs w:val="18"/>
        </w:rPr>
        <w:t>一般来说，旅游产业具有三大动力效应</w:t>
      </w:r>
      <w:r>
        <w:rPr>
          <w:rFonts w:ascii="宋体" w:hAnsi="宋体" w:cs="宋体" w:eastAsia="宋体" w:hint="default"/>
          <w:spacing w:val="-2"/>
          <w:sz w:val="18"/>
          <w:szCs w:val="18"/>
        </w:rPr>
        <w:t>:</w:t>
      </w:r>
      <w:r>
        <w:rPr>
          <w:rFonts w:ascii="宋体" w:hAnsi="宋体" w:cs="宋体" w:eastAsia="宋体" w:hint="default"/>
          <w:spacing w:val="-2"/>
          <w:sz w:val="18"/>
          <w:szCs w:val="18"/>
        </w:rPr>
        <w:t>直接消费动力、产业发展动力、城镇化动力。旅游产业的发展将会为地区带来</w:t>
      </w:r>
    </w:p>
    <w:p>
      <w:pPr>
        <w:pStyle w:val="BodyText"/>
        <w:spacing w:line="224" w:lineRule="exact"/>
        <w:ind w:right="889"/>
        <w:jc w:val="left"/>
      </w:pPr>
      <w:r>
        <w:rPr/>
        <w:t>价值提升效应、品牌效应、生态效应、幸福价值效应，是国家大力要发展的产业。根据《住房城乡建设部国家发展改革委财</w:t>
      </w:r>
    </w:p>
    <w:p>
      <w:pPr>
        <w:pStyle w:val="BodyText"/>
        <w:spacing w:line="319" w:lineRule="auto" w:before="76"/>
        <w:ind w:right="1033"/>
        <w:jc w:val="left"/>
      </w:pPr>
      <w:r>
        <w:rPr/>
        <w:t>政部关于开展特色小镇培育工作的通知》，到</w:t>
      </w:r>
      <w:r>
        <w:rPr>
          <w:rFonts w:ascii="宋体" w:hAnsi="宋体" w:cs="宋体" w:eastAsia="宋体" w:hint="default"/>
        </w:rPr>
        <w:t>2020</w:t>
      </w:r>
      <w:r>
        <w:rPr/>
        <w:t>年，我国将培育</w:t>
      </w:r>
      <w:r>
        <w:rPr>
          <w:rFonts w:ascii="宋体" w:hAnsi="宋体" w:cs="宋体" w:eastAsia="宋体" w:hint="default"/>
        </w:rPr>
        <w:t>1000</w:t>
      </w:r>
      <w:r>
        <w:rPr/>
        <w:t>个左右各具特色、富有活力的休闲旅游、商贸物流、 </w:t>
      </w:r>
      <w:r>
        <w:rPr>
          <w:spacing w:val="-2"/>
        </w:rPr>
        <w:t>现代制造、教育科技、传统文化、美丽宜居等特色小镇。由于特色小镇的初始投入规模较大，一般地方政府采用政策性银行</w:t>
      </w:r>
      <w:r>
        <w:rPr>
          <w:spacing w:val="-66"/>
        </w:rPr>
        <w:t> </w:t>
      </w:r>
      <w:r>
        <w:rPr>
          <w:spacing w:val="-66"/>
        </w:rPr>
      </w:r>
      <w:r>
        <w:rPr>
          <w:spacing w:val="-2"/>
        </w:rPr>
        <w:t>贷款、债券计划、信托计划、证券资管、</w:t>
      </w:r>
      <w:r>
        <w:rPr>
          <w:rFonts w:ascii="宋体" w:hAnsi="宋体" w:cs="宋体" w:eastAsia="宋体" w:hint="default"/>
          <w:spacing w:val="-2"/>
        </w:rPr>
        <w:t>PPP</w:t>
      </w:r>
      <w:r>
        <w:rPr>
          <w:spacing w:val="-2"/>
        </w:rPr>
        <w:t>融资等方式实施。尤其是特色小镇</w:t>
      </w:r>
      <w:r>
        <w:rPr>
          <w:rFonts w:ascii="宋体" w:hAnsi="宋体" w:cs="宋体" w:eastAsia="宋体" w:hint="default"/>
          <w:spacing w:val="-2"/>
        </w:rPr>
        <w:t>PPP</w:t>
      </w:r>
      <w:r>
        <w:rPr>
          <w:spacing w:val="-2"/>
        </w:rPr>
        <w:t>融资模式，由于其金融优越性和政府大力</w:t>
      </w:r>
      <w:r>
        <w:rPr>
          <w:spacing w:val="-61"/>
        </w:rPr>
        <w:t> </w:t>
      </w:r>
      <w:r>
        <w:rPr>
          <w:spacing w:val="-61"/>
        </w:rPr>
      </w:r>
      <w:r>
        <w:rPr/>
        <w:t>支持，在特色小镇开发过程中所占比例不断上升。随着特色小镇的兴起和</w:t>
      </w:r>
      <w:r>
        <w:rPr>
          <w:rFonts w:ascii="宋体" w:hAnsi="宋体" w:cs="宋体" w:eastAsia="宋体" w:hint="default"/>
        </w:rPr>
        <w:t>PPP</w:t>
      </w:r>
      <w:r>
        <w:rPr/>
        <w:t>项目建设的政策不断完善，将会给建筑装饰行 业带来新的行业需求和业务增量。</w:t>
      </w:r>
    </w:p>
    <w:p>
      <w:pPr>
        <w:spacing w:line="357" w:lineRule="auto" w:before="58"/>
        <w:ind w:left="573" w:right="1153" w:firstLine="0"/>
        <w:jc w:val="left"/>
        <w:rPr>
          <w:rFonts w:ascii="宋体" w:hAnsi="宋体" w:cs="宋体" w:eastAsia="宋体" w:hint="default"/>
          <w:sz w:val="18"/>
          <w:szCs w:val="18"/>
        </w:rPr>
      </w:pPr>
      <w:r>
        <w:rPr>
          <w:rFonts w:ascii="宋体" w:hAnsi="宋体" w:cs="宋体" w:eastAsia="宋体" w:hint="default"/>
          <w:b/>
          <w:bCs/>
          <w:sz w:val="18"/>
          <w:szCs w:val="18"/>
        </w:rPr>
        <w:t>6</w:t>
      </w:r>
      <w:r>
        <w:rPr>
          <w:rFonts w:ascii="宋体" w:hAnsi="宋体" w:cs="宋体" w:eastAsia="宋体" w:hint="default"/>
          <w:b/>
          <w:bCs/>
          <w:sz w:val="18"/>
          <w:szCs w:val="18"/>
        </w:rPr>
        <w:t>、消费结构升级促进住宅装饰市场的快速发展</w:t>
      </w:r>
      <w:r>
        <w:rPr>
          <w:rFonts w:ascii="宋体" w:hAnsi="宋体" w:cs="宋体" w:eastAsia="宋体" w:hint="default"/>
          <w:b/>
          <w:bCs/>
          <w:w w:val="99"/>
          <w:sz w:val="18"/>
          <w:szCs w:val="18"/>
        </w:rPr>
        <w:t> </w:t>
      </w:r>
      <w:r>
        <w:rPr>
          <w:rFonts w:ascii="宋体" w:hAnsi="宋体" w:cs="宋体" w:eastAsia="宋体" w:hint="default"/>
          <w:sz w:val="18"/>
          <w:szCs w:val="18"/>
        </w:rPr>
        <w:t>国家人均收入水平的逐年提高带动消费结构的升级，人们对居住环境的品质也提出了更高要求，高档次、个性化住宅</w:t>
      </w:r>
    </w:p>
    <w:p>
      <w:pPr>
        <w:pStyle w:val="BodyText"/>
        <w:spacing w:line="224" w:lineRule="exact"/>
        <w:ind w:right="889"/>
        <w:jc w:val="left"/>
      </w:pPr>
      <w:r>
        <w:rPr/>
        <w:t>装饰消费需求逐步扩大，配套服务的标准也在不断提升，住宅装饰需求由简单的满足基本居住属性向家居文化转移，由此不</w:t>
      </w:r>
    </w:p>
    <w:p>
      <w:pPr>
        <w:pStyle w:val="BodyText"/>
        <w:spacing w:line="319" w:lineRule="auto" w:before="77"/>
        <w:ind w:right="889"/>
        <w:jc w:val="left"/>
      </w:pPr>
      <w:r>
        <w:rPr>
          <w:spacing w:val="-2"/>
        </w:rPr>
        <w:t>仅增加了建筑装饰的市场需求规模，而且对装饰的工艺、材料、质量、档次、精细化程度均提出了更高的要求，推动了装饰</w:t>
      </w:r>
      <w:r>
        <w:rPr>
          <w:spacing w:val="-67"/>
        </w:rPr>
        <w:t> </w:t>
      </w:r>
      <w:r>
        <w:rPr>
          <w:spacing w:val="-67"/>
        </w:rPr>
      </w:r>
      <w:r>
        <w:rPr/>
        <w:t>行业整体水平向更高层次发展。</w:t>
      </w:r>
    </w:p>
    <w:p>
      <w:pPr>
        <w:spacing w:line="357" w:lineRule="auto" w:before="56"/>
        <w:ind w:left="573" w:right="1153" w:firstLine="0"/>
        <w:jc w:val="left"/>
        <w:rPr>
          <w:rFonts w:ascii="宋体" w:hAnsi="宋体" w:cs="宋体" w:eastAsia="宋体" w:hint="default"/>
          <w:sz w:val="18"/>
          <w:szCs w:val="18"/>
        </w:rPr>
      </w:pPr>
      <w:r>
        <w:rPr>
          <w:rFonts w:ascii="宋体" w:hAnsi="宋体" w:cs="宋体" w:eastAsia="宋体" w:hint="default"/>
          <w:b/>
          <w:bCs/>
          <w:sz w:val="18"/>
          <w:szCs w:val="18"/>
        </w:rPr>
        <w:t>7</w:t>
      </w:r>
      <w:r>
        <w:rPr>
          <w:rFonts w:ascii="宋体" w:hAnsi="宋体" w:cs="宋体" w:eastAsia="宋体" w:hint="default"/>
          <w:b/>
          <w:bCs/>
          <w:sz w:val="18"/>
          <w:szCs w:val="18"/>
        </w:rPr>
        <w:t>、智慧装饰将成为建筑装饰行业的新方向</w:t>
      </w:r>
      <w:r>
        <w:rPr>
          <w:rFonts w:ascii="宋体" w:hAnsi="宋体" w:cs="宋体" w:eastAsia="宋体" w:hint="default"/>
          <w:b/>
          <w:bCs/>
          <w:w w:val="99"/>
          <w:sz w:val="18"/>
          <w:szCs w:val="18"/>
        </w:rPr>
        <w:t> </w:t>
      </w:r>
      <w:r>
        <w:rPr>
          <w:rFonts w:ascii="宋体" w:hAnsi="宋体" w:cs="宋体" w:eastAsia="宋体" w:hint="default"/>
          <w:sz w:val="18"/>
          <w:szCs w:val="18"/>
        </w:rPr>
        <w:t>智能生活理念将随着智能体验产品的普及而进入每个人的生活，智能家居将引爆智能装饰市场的巨大需求，为建筑装</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41"/>
        <w:jc w:val="both"/>
      </w:pPr>
      <w:r>
        <w:rPr/>
        <w:t>饰产业带来新的增长点。随着“互联网</w:t>
      </w:r>
      <w:r>
        <w:rPr>
          <w:rFonts w:ascii="宋体" w:hAnsi="宋体" w:cs="宋体" w:eastAsia="宋体" w:hint="default"/>
        </w:rPr>
        <w:t>+</w:t>
      </w:r>
      <w:r>
        <w:rPr/>
        <w:t>”的普及，互联网思维对社会传统思维模式、生活模式的冲击将不可避免，甚至将 极大地影响装饰行业的传统盈利模式，能否帮助客户实现价值最大化将成为装饰企业持续发展的根本保障。</w:t>
      </w:r>
    </w:p>
    <w:p>
      <w:pPr>
        <w:pStyle w:val="Heading5"/>
        <w:spacing w:line="360" w:lineRule="auto" w:before="56"/>
        <w:ind w:right="8435"/>
        <w:jc w:val="left"/>
        <w:rPr>
          <w:b w:val="0"/>
          <w:bCs w:val="0"/>
        </w:rPr>
      </w:pPr>
      <w:r>
        <w:rPr/>
        <w:t>（四）行业竞争格局</w:t>
      </w:r>
      <w:r>
        <w:rPr>
          <w:w w:val="99"/>
        </w:rPr>
        <w:t> </w:t>
      </w:r>
      <w:r>
        <w:rPr>
          <w:rFonts w:ascii="宋体" w:hAnsi="宋体" w:cs="宋体" w:eastAsia="宋体" w:hint="default"/>
        </w:rPr>
        <w:t>1</w:t>
      </w:r>
      <w:r>
        <w:rPr/>
        <w:t>、“大行业、小公司”</w:t>
      </w:r>
      <w:r>
        <w:rPr>
          <w:b w:val="0"/>
          <w:bCs w:val="0"/>
        </w:rPr>
      </w:r>
    </w:p>
    <w:p>
      <w:pPr>
        <w:pStyle w:val="BodyText"/>
        <w:spacing w:line="319" w:lineRule="auto" w:before="25"/>
        <w:ind w:right="1129" w:firstLine="420"/>
        <w:jc w:val="both"/>
      </w:pPr>
      <w:r>
        <w:rPr>
          <w:spacing w:val="-3"/>
        </w:rPr>
        <w:t>建筑装饰行业市场空间广阔，行业内企业数量众多，市场竞争激烈，行业集中度偏低。</w:t>
      </w:r>
      <w:r>
        <w:rPr>
          <w:rFonts w:ascii="宋体" w:hAnsi="宋体" w:cs="宋体" w:eastAsia="宋体" w:hint="default"/>
          <w:spacing w:val="-3"/>
        </w:rPr>
        <w:t>2016</w:t>
      </w:r>
      <w:r>
        <w:rPr>
          <w:spacing w:val="-3"/>
        </w:rPr>
        <w:t>年全行业企业数量约为</w:t>
      </w:r>
      <w:r>
        <w:rPr>
          <w:rFonts w:ascii="宋体" w:hAnsi="宋体" w:cs="宋体" w:eastAsia="宋体" w:hint="default"/>
          <w:spacing w:val="-3"/>
        </w:rPr>
        <w:t>13.2</w:t>
      </w:r>
      <w:r>
        <w:rPr>
          <w:rFonts w:ascii="宋体" w:hAnsi="宋体" w:cs="宋体" w:eastAsia="宋体" w:hint="default"/>
        </w:rPr>
        <w:t> </w:t>
      </w:r>
      <w:r>
        <w:rPr>
          <w:spacing w:val="-2"/>
        </w:rPr>
        <w:t>万家，其中上市企业、百强企业、一级资质企业数量约为</w:t>
      </w:r>
      <w:r>
        <w:rPr>
          <w:rFonts w:ascii="宋体" w:hAnsi="宋体" w:cs="宋体" w:eastAsia="宋体" w:hint="default"/>
          <w:spacing w:val="-2"/>
        </w:rPr>
        <w:t>3300</w:t>
      </w:r>
      <w:r>
        <w:rPr>
          <w:spacing w:val="-2"/>
        </w:rPr>
        <w:t>家，非一级资质企业、有执照无资质的企业约为</w:t>
      </w:r>
      <w:r>
        <w:rPr>
          <w:rFonts w:ascii="宋体" w:hAnsi="宋体" w:cs="宋体" w:eastAsia="宋体" w:hint="default"/>
          <w:spacing w:val="-2"/>
        </w:rPr>
        <w:t>13</w:t>
      </w:r>
      <w:r>
        <w:rPr>
          <w:spacing w:val="-2"/>
        </w:rPr>
        <w:t>万家，中小</w:t>
      </w:r>
      <w:r>
        <w:rPr>
          <w:spacing w:val="-62"/>
        </w:rPr>
        <w:t> </w:t>
      </w:r>
      <w:r>
        <w:rPr>
          <w:spacing w:val="-62"/>
        </w:rPr>
      </w:r>
      <w:r>
        <w:rPr/>
        <w:t>企业数量比重较高。</w:t>
      </w:r>
    </w:p>
    <w:p>
      <w:pPr>
        <w:spacing w:line="357" w:lineRule="auto" w:before="56"/>
        <w:ind w:left="573" w:right="1153"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、具备跨区域经营能力企业不多，以区域性市场竞争为主</w:t>
      </w:r>
      <w:r>
        <w:rPr>
          <w:rFonts w:ascii="宋体" w:hAnsi="宋体" w:cs="宋体" w:eastAsia="宋体" w:hint="default"/>
          <w:b/>
          <w:bCs/>
          <w:w w:val="99"/>
          <w:sz w:val="18"/>
          <w:szCs w:val="18"/>
        </w:rPr>
        <w:t> </w:t>
      </w:r>
      <w:r>
        <w:rPr>
          <w:rFonts w:ascii="宋体" w:hAnsi="宋体" w:cs="宋体" w:eastAsia="宋体" w:hint="default"/>
          <w:sz w:val="18"/>
          <w:szCs w:val="18"/>
        </w:rPr>
        <w:t>受各地区经济发展不平衡、风俗习惯和审美标准差异以及劳务工人和原材料供应限制等因素的制约，建筑装饰行业呈</w:t>
      </w:r>
    </w:p>
    <w:p>
      <w:pPr>
        <w:pStyle w:val="BodyText"/>
        <w:spacing w:line="224" w:lineRule="exact"/>
        <w:ind w:right="889"/>
        <w:jc w:val="left"/>
      </w:pPr>
      <w:r>
        <w:rPr/>
        <w:t>现较强的区域性特征</w:t>
      </w:r>
      <w:r>
        <w:rPr>
          <w:spacing w:val="-87"/>
        </w:rPr>
        <w:t>，</w:t>
      </w:r>
      <w:r>
        <w:rPr/>
        <w:t>大多数建筑装饰企业经营区域局限在所在省份或所在城市</w:t>
      </w:r>
      <w:r>
        <w:rPr>
          <w:spacing w:val="-87"/>
        </w:rPr>
        <w:t>，</w:t>
      </w:r>
      <w:r>
        <w:rPr/>
        <w:t>具备跨区域经营建筑装饰业务的企业不多，</w:t>
      </w:r>
    </w:p>
    <w:p>
      <w:pPr>
        <w:spacing w:line="357" w:lineRule="auto" w:before="77"/>
        <w:ind w:left="573" w:right="6793" w:hanging="420"/>
        <w:jc w:val="left"/>
        <w:rPr>
          <w:rFonts w:ascii="宋体" w:hAnsi="宋体" w:cs="宋体" w:eastAsia="宋体" w:hint="default"/>
          <w:sz w:val="18"/>
          <w:szCs w:val="18"/>
        </w:rPr>
      </w:pPr>
      <w:r>
        <w:rPr>
          <w:rFonts w:ascii="宋体" w:hAnsi="宋体" w:cs="宋体" w:eastAsia="宋体" w:hint="default"/>
          <w:sz w:val="18"/>
          <w:szCs w:val="18"/>
        </w:rPr>
        <w:t>目前我国建筑装饰行业竞争仍以区域性竞争为主。 </w:t>
      </w:r>
      <w:r>
        <w:rPr>
          <w:rFonts w:ascii="宋体" w:hAnsi="宋体" w:cs="宋体" w:eastAsia="宋体" w:hint="default"/>
          <w:b/>
          <w:bCs/>
          <w:sz w:val="18"/>
          <w:szCs w:val="18"/>
        </w:rPr>
        <w:t>3</w:t>
      </w:r>
      <w:r>
        <w:rPr>
          <w:rFonts w:ascii="宋体" w:hAnsi="宋体" w:cs="宋体" w:eastAsia="宋体" w:hint="default"/>
          <w:b/>
          <w:bCs/>
          <w:sz w:val="18"/>
          <w:szCs w:val="18"/>
        </w:rPr>
        <w:t>、行业集中度不断提高</w:t>
      </w:r>
      <w:r>
        <w:rPr>
          <w:rFonts w:ascii="宋体" w:hAnsi="宋体" w:cs="宋体" w:eastAsia="宋体" w:hint="default"/>
          <w:sz w:val="18"/>
          <w:szCs w:val="18"/>
        </w:rPr>
      </w:r>
    </w:p>
    <w:p>
      <w:pPr>
        <w:pStyle w:val="BodyText"/>
        <w:spacing w:line="319" w:lineRule="auto" w:before="26"/>
        <w:ind w:right="1130" w:firstLine="420"/>
        <w:jc w:val="both"/>
      </w:pPr>
      <w:r>
        <w:rPr/>
        <w:t>近几年，我国建筑装饰市场日益成熟，品牌、资金实力、人才资源、管理水平在工程资源分配中的作用越来越明显。 </w:t>
      </w:r>
      <w:r>
        <w:rPr>
          <w:spacing w:val="-2"/>
        </w:rPr>
        <w:t>知名度高、资金实力强、人才资源丰富、管理水平高的企业，其发展速度远高于行业的平均水平，市场份额逐年提升。中国</w:t>
      </w:r>
      <w:r>
        <w:rPr>
          <w:spacing w:val="-68"/>
        </w:rPr>
        <w:t> </w:t>
      </w:r>
      <w:r>
        <w:rPr>
          <w:spacing w:val="-68"/>
        </w:rPr>
      </w:r>
      <w:r>
        <w:rPr>
          <w:spacing w:val="-2"/>
        </w:rPr>
        <w:t>建筑装饰行业协会发布的《</w:t>
      </w:r>
      <w:r>
        <w:rPr>
          <w:rFonts w:ascii="宋体" w:hAnsi="宋体" w:cs="宋体" w:eastAsia="宋体" w:hint="default"/>
          <w:spacing w:val="-2"/>
        </w:rPr>
        <w:t>2015</w:t>
      </w:r>
      <w:r>
        <w:rPr>
          <w:spacing w:val="-2"/>
        </w:rPr>
        <w:t>年中国建筑装饰行业发展报告》显示：</w:t>
      </w:r>
      <w:r>
        <w:rPr>
          <w:rFonts w:ascii="宋体" w:hAnsi="宋体" w:cs="宋体" w:eastAsia="宋体" w:hint="default"/>
          <w:spacing w:val="-2"/>
        </w:rPr>
        <w:t>2015</w:t>
      </w:r>
      <w:r>
        <w:rPr>
          <w:spacing w:val="-2"/>
        </w:rPr>
        <w:t>年，全行业企业总数约为</w:t>
      </w:r>
      <w:r>
        <w:rPr>
          <w:rFonts w:ascii="宋体" w:hAnsi="宋体" w:cs="宋体" w:eastAsia="宋体" w:hint="default"/>
          <w:spacing w:val="-2"/>
        </w:rPr>
        <w:t>13.5</w:t>
      </w:r>
      <w:r>
        <w:rPr>
          <w:spacing w:val="-2"/>
        </w:rPr>
        <w:t>万家左右，比</w:t>
      </w:r>
      <w:r>
        <w:rPr>
          <w:rFonts w:ascii="宋体" w:hAnsi="宋体" w:cs="宋体" w:eastAsia="宋体" w:hint="default"/>
          <w:spacing w:val="-2"/>
        </w:rPr>
        <w:t>2014</w:t>
      </w:r>
      <w:r>
        <w:rPr>
          <w:rFonts w:ascii="宋体" w:hAnsi="宋体" w:cs="宋体" w:eastAsia="宋体" w:hint="default"/>
          <w:spacing w:val="-50"/>
        </w:rPr>
        <w:t> </w:t>
      </w:r>
      <w:r>
        <w:rPr/>
        <w:t>年减少了约</w:t>
      </w:r>
      <w:r>
        <w:rPr>
          <w:rFonts w:ascii="宋体" w:hAnsi="宋体" w:cs="宋体" w:eastAsia="宋体" w:hint="default"/>
        </w:rPr>
        <w:t>0.5</w:t>
      </w:r>
      <w:r>
        <w:rPr/>
        <w:t>万家，虽然中小企业数量比重依然较高，但是行业的集中度将逐步提高。</w:t>
      </w:r>
    </w:p>
    <w:p>
      <w:pPr>
        <w:pStyle w:val="BodyText"/>
        <w:spacing w:line="357" w:lineRule="auto" w:before="58"/>
        <w:ind w:left="573" w:right="1153"/>
        <w:jc w:val="left"/>
      </w:pPr>
      <w:r>
        <w:rPr>
          <w:rFonts w:ascii="宋体" w:hAnsi="宋体" w:cs="宋体" w:eastAsia="宋体" w:hint="default"/>
          <w:b/>
          <w:bCs/>
        </w:rPr>
        <w:t>（五）公司的经营模式</w:t>
      </w:r>
      <w:r>
        <w:rPr>
          <w:rFonts w:ascii="宋体" w:hAnsi="宋体" w:cs="宋体" w:eastAsia="宋体" w:hint="default"/>
          <w:b/>
          <w:bCs/>
          <w:w w:val="99"/>
        </w:rPr>
        <w:t> </w:t>
      </w:r>
      <w:r>
        <w:rPr/>
        <w:t>公司在承接业务及管理方面，逐步形成“小总部、大区域”的模式，通过区域营销中心的建设，将营销功能进一步向</w:t>
      </w:r>
    </w:p>
    <w:p>
      <w:pPr>
        <w:pStyle w:val="BodyText"/>
        <w:spacing w:line="357" w:lineRule="auto"/>
        <w:ind w:left="573" w:right="1153" w:hanging="420"/>
        <w:jc w:val="left"/>
      </w:pPr>
      <w:r>
        <w:rPr/>
        <w:t>一线延伸，同时总部的工程管控职能也适度地下放至区域，为项目部的工程施工、管控提供强大的支持。 公司所承接工程均采用自主组织施工、劳务分包用工的经营模式。对施工材料、施工过程、工程资料等与产品实现相</w:t>
      </w:r>
    </w:p>
    <w:p>
      <w:pPr>
        <w:pStyle w:val="BodyText"/>
        <w:spacing w:line="224" w:lineRule="exact"/>
        <w:ind w:right="889"/>
        <w:jc w:val="left"/>
      </w:pPr>
      <w:r>
        <w:rPr/>
        <w:t>关的关键环节加以控制。公司根据自主组织施工、劳务分包用工的经营模式，针对质量控制采取的主要措施包括质量目标管</w:t>
      </w:r>
    </w:p>
    <w:p>
      <w:pPr>
        <w:pStyle w:val="BodyText"/>
        <w:spacing w:line="319" w:lineRule="auto" w:before="77"/>
        <w:ind w:right="1130"/>
        <w:jc w:val="both"/>
      </w:pPr>
      <w:r>
        <w:rPr>
          <w:spacing w:val="-2"/>
        </w:rPr>
        <w:t>理、施工材料管理、施工过程管理、工程资料管理、保修回访管理等环节，并对各个环节进行细分，与公司合作的劳务分包</w:t>
      </w:r>
      <w:r>
        <w:rPr>
          <w:spacing w:val="-68"/>
        </w:rPr>
        <w:t> </w:t>
      </w:r>
      <w:r>
        <w:rPr>
          <w:spacing w:val="-68"/>
        </w:rPr>
      </w:r>
      <w:r>
        <w:rPr>
          <w:spacing w:val="-2"/>
        </w:rPr>
        <w:t>商具备相应的业务资质，公司与分包商关于工程质量和安全生产的责任分担与追偿有明确的合同约定，符合有关法律法规的</w:t>
      </w:r>
      <w:r>
        <w:rPr>
          <w:spacing w:val="-64"/>
        </w:rPr>
        <w:t> </w:t>
      </w:r>
      <w:r>
        <w:rPr>
          <w:spacing w:val="-64"/>
        </w:rPr>
      </w:r>
      <w:r>
        <w:rPr/>
        <w:t>规定。</w:t>
      </w:r>
    </w:p>
    <w:p>
      <w:pPr>
        <w:pStyle w:val="BodyText"/>
        <w:spacing w:line="319" w:lineRule="auto" w:before="56"/>
        <w:ind w:right="1033" w:firstLine="420"/>
        <w:jc w:val="left"/>
      </w:pPr>
      <w:r>
        <w:rPr/>
        <w:t>公司非常重视工程质量，严格执行国际质量管理标准并已通过</w:t>
      </w:r>
      <w:r>
        <w:rPr>
          <w:rFonts w:ascii="宋体" w:hAnsi="宋体" w:cs="宋体" w:eastAsia="宋体" w:hint="default"/>
        </w:rPr>
        <w:t>ISO9001</w:t>
      </w:r>
      <w:r>
        <w:rPr/>
        <w:t>质量管理体系认证和</w:t>
      </w:r>
      <w:r>
        <w:rPr>
          <w:rFonts w:ascii="宋体" w:hAnsi="宋体" w:cs="宋体" w:eastAsia="宋体" w:hint="default"/>
        </w:rPr>
        <w:t>GB/T50430</w:t>
      </w:r>
      <w:r>
        <w:rPr/>
        <w:t>质量管理体系认 </w:t>
      </w:r>
      <w:r>
        <w:rPr>
          <w:spacing w:val="-2"/>
        </w:rPr>
        <w:t>证。为了确保施工质量符合国家规范要求，公司建立了由总经理、分管副总经理、质量安全部和项目经理组成的质量安全架</w:t>
      </w:r>
      <w:r>
        <w:rPr>
          <w:spacing w:val="-66"/>
        </w:rPr>
        <w:t> </w:t>
      </w:r>
      <w:r>
        <w:rPr>
          <w:spacing w:val="-66"/>
        </w:rPr>
      </w:r>
      <w:r>
        <w:rPr/>
        <w:t>构，设专人负责施工现场的质量检查、监督、验收、考核工作，并做好记录。公司质量控制活动贯穿于施工质量管理策划、 施工组织设计、施工准备、施工实施、竣工验收和保修服务等环节，形成了全过程、全流程的管理控制体系。</w:t>
      </w:r>
    </w:p>
    <w:p>
      <w:pPr>
        <w:pStyle w:val="BodyText"/>
        <w:spacing w:line="240" w:lineRule="auto" w:before="56"/>
        <w:ind w:left="573" w:right="889"/>
        <w:jc w:val="left"/>
      </w:pPr>
      <w:r>
        <w:rPr/>
        <w:t>报告期内，公司未出现重大项目质量问题。</w:t>
      </w:r>
    </w:p>
    <w:p>
      <w:pPr>
        <w:spacing w:line="240" w:lineRule="auto" w:before="13"/>
        <w:rPr>
          <w:rFonts w:ascii="宋体" w:hAnsi="宋体" w:cs="宋体" w:eastAsia="宋体" w:hint="default"/>
          <w:sz w:val="24"/>
          <w:szCs w:val="24"/>
        </w:rPr>
      </w:pPr>
    </w:p>
    <w:p>
      <w:pPr>
        <w:pStyle w:val="Heading2"/>
        <w:spacing w:line="240" w:lineRule="auto"/>
        <w:ind w:right="889"/>
        <w:jc w:val="left"/>
        <w:rPr>
          <w:b w:val="0"/>
          <w:bCs w:val="0"/>
        </w:rPr>
      </w:pPr>
      <w:bookmarkStart w:name="二、主要资产重大变化情况" w:id="16"/>
      <w:bookmarkEnd w:id="16"/>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89"/>
        <w:jc w:val="left"/>
        <w:rPr>
          <w:b w:val="0"/>
          <w:bCs w:val="0"/>
        </w:rPr>
      </w:pPr>
      <w:bookmarkStart w:name="1、主要资产重大变化情况" w:id="17"/>
      <w:bookmarkEnd w:id="17"/>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pStyle w:val="BodyText"/>
        <w:spacing w:line="240" w:lineRule="auto" w:before="44"/>
        <w:ind w:left="0" w:right="1139"/>
        <w:jc w:val="right"/>
      </w:pPr>
      <w:r>
        <w:rPr/>
        <w:pict>
          <v:shape style="position:absolute;margin-left:56.459999pt;margin-top:-54.668282pt;width:479.2pt;height:134.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pacing w:val="-5"/>
                            <w:w w:val="100"/>
                            <w:sz w:val="18"/>
                            <w:szCs w:val="18"/>
                          </w:rPr>
                          <w:t>同比增长，主要系新增深圳市赛格物业管理有限公司（以下简称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赛格物业</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）、深圳</w:t>
                        </w:r>
                        <w:r>
                          <w:rPr>
                            <w:rFonts w:ascii="宋体" w:hAnsi="宋体" w:cs="宋体" w:eastAsia="宋体" w:hint="default"/>
                            <w:spacing w:val="-84"/>
                            <w:w w:val="100"/>
                            <w:sz w:val="18"/>
                            <w:szCs w:val="18"/>
                          </w:rPr>
                          <w:t> </w:t>
                        </w:r>
                        <w:r>
                          <w:rPr>
                            <w:rFonts w:ascii="宋体" w:hAnsi="宋体" w:cs="宋体" w:eastAsia="宋体" w:hint="default"/>
                            <w:spacing w:val="-84"/>
                            <w:w w:val="100"/>
                            <w:sz w:val="18"/>
                            <w:szCs w:val="18"/>
                          </w:rPr>
                        </w:r>
                        <w:r>
                          <w:rPr>
                            <w:rFonts w:ascii="宋体" w:hAnsi="宋体" w:cs="宋体" w:eastAsia="宋体" w:hint="default"/>
                            <w:spacing w:val="-3"/>
                            <w:sz w:val="18"/>
                            <w:szCs w:val="18"/>
                          </w:rPr>
                          <w:t>市引爆互联网金融服务有限公司（以下简称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引爆互联网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）两家公司股权投资所致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同比增长，主要系募投项目新购置华南区域房产所致。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同比增长，主要系新购置新能源相关专利所致。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332" w:hRule="exact"/>
        </w:trPr>
        <w:tc>
          <w:tcPr>
            <w:tcW w:w="3052" w:type="dxa"/>
            <w:tcBorders>
              <w:top w:val="nil" w:sz="6" w:space="0" w:color="auto"/>
              <w:left w:val="nil" w:sz="6" w:space="0" w:color="auto"/>
              <w:bottom w:val="single" w:sz="4" w:space="0" w:color="000000"/>
              <w:right w:val="nil" w:sz="6" w:space="0" w:color="auto"/>
            </w:tcBorders>
          </w:tcPr>
          <w:p>
            <w:pPr/>
          </w:p>
        </w:tc>
        <w:tc>
          <w:tcPr>
            <w:tcW w:w="6517"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同比增长，主要系签约额增加，期末新开工项目增加所致。</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both"/>
        <w:rPr>
          <w:b w:val="0"/>
          <w:bCs w:val="0"/>
        </w:rPr>
      </w:pPr>
      <w:r>
        <w:rPr/>
        <w:pict>
          <v:group style="position:absolute;margin-left:55.200001pt;margin-top:-49.526318pt;width:485pt;height:.1pt;mso-position-horizontal-relative:page;mso-position-vertical-relative:paragraph;z-index:-896752" coordorigin="1104,-991" coordsize="9700,2">
            <v:shape style="position:absolute;left:1104;top:-991;width:9700;height:2" coordorigin="1104,-991" coordsize="9700,0" path="m1104,-991l10804,-991e" filled="false" stroked="true" strokeweight=".72pt" strokecolor="#000000">
              <v:path arrowok="t"/>
            </v:shape>
            <w10:wrap type="none"/>
          </v:group>
        </w:pict>
      </w:r>
      <w:bookmarkStart w:name="2、主要境外资产情况" w:id="18"/>
      <w:bookmarkEnd w:id="18"/>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19"/>
      <w:bookmarkEnd w:id="19"/>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是</w:t>
      </w:r>
    </w:p>
    <w:p>
      <w:pPr>
        <w:pStyle w:val="BodyText"/>
        <w:spacing w:line="240" w:lineRule="auto" w:before="26"/>
        <w:ind w:left="154" w:right="0"/>
        <w:jc w:val="both"/>
      </w:pPr>
      <w:r>
        <w:rPr/>
        <w:t>装修装饰业</w:t>
      </w:r>
    </w:p>
    <w:p>
      <w:pPr>
        <w:pStyle w:val="BodyText"/>
        <w:spacing w:line="338" w:lineRule="auto" w:before="116"/>
        <w:ind w:left="573" w:right="1115" w:hanging="420"/>
        <w:jc w:val="left"/>
      </w:pPr>
      <w:r>
        <w:rPr/>
        <w:t>公司需遵守《深圳证券交易所行业信息披露指引第</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上市公司从事装修装饰业务》的披露要求 </w:t>
      </w:r>
      <w:r>
        <w:rPr>
          <w:spacing w:val="-1"/>
        </w:rPr>
        <w:t>公司连续十一年入选“中国建筑装饰行业百强企业”，且排名不断提升。目前公司位居建筑装饰行业百强第</w:t>
      </w:r>
      <w:r>
        <w:rPr>
          <w:rFonts w:ascii="宋体" w:hAnsi="宋体" w:cs="宋体" w:eastAsia="宋体" w:hint="default"/>
          <w:spacing w:val="-1"/>
        </w:rPr>
        <w:t>8</w:t>
      </w:r>
      <w:r>
        <w:rPr>
          <w:spacing w:val="-1"/>
        </w:rPr>
        <w:t>位。公司</w:t>
      </w:r>
    </w:p>
    <w:p>
      <w:pPr>
        <w:pStyle w:val="BodyText"/>
        <w:spacing w:line="319" w:lineRule="auto" w:before="2"/>
        <w:ind w:right="1123"/>
        <w:jc w:val="left"/>
      </w:pPr>
      <w:r>
        <w:rPr/>
        <w:t>企业信用评价</w:t>
      </w:r>
      <w:r>
        <w:rPr>
          <w:rFonts w:ascii="宋体" w:hAnsi="宋体" w:cs="宋体" w:eastAsia="宋体" w:hint="default"/>
        </w:rPr>
        <w:t>AAA</w:t>
      </w:r>
      <w:r>
        <w:rPr/>
        <w:t>级信用企业、广东省连续十五年守合同重信用企业，公司先后通过了</w:t>
      </w:r>
      <w:r>
        <w:rPr>
          <w:rFonts w:ascii="宋体" w:hAnsi="宋体" w:cs="宋体" w:eastAsia="宋体" w:hint="default"/>
        </w:rPr>
        <w:t>ISO9001</w:t>
      </w:r>
      <w:r>
        <w:rPr/>
        <w:t>质量管理体系、</w:t>
      </w:r>
      <w:r>
        <w:rPr>
          <w:rFonts w:ascii="宋体" w:hAnsi="宋体" w:cs="宋体" w:eastAsia="宋体" w:hint="default"/>
        </w:rPr>
        <w:t>GB/T50430</w:t>
      </w:r>
      <w:r>
        <w:rPr/>
        <w:t>质 量管理体系、</w:t>
      </w:r>
      <w:r>
        <w:rPr>
          <w:rFonts w:ascii="宋体" w:hAnsi="宋体" w:cs="宋体" w:eastAsia="宋体" w:hint="default"/>
        </w:rPr>
        <w:t>ISO14001</w:t>
      </w:r>
      <w:r>
        <w:rPr/>
        <w:t>环境管理体系和</w:t>
      </w:r>
      <w:r>
        <w:rPr>
          <w:rFonts w:ascii="宋体" w:hAnsi="宋体" w:cs="宋体" w:eastAsia="宋体" w:hint="default"/>
        </w:rPr>
        <w:t>GB/T28001</w:t>
      </w:r>
      <w:r>
        <w:rPr/>
        <w:t>职业健康安全管理体系认证。</w:t>
      </w:r>
    </w:p>
    <w:p>
      <w:pPr>
        <w:pStyle w:val="BodyText"/>
        <w:spacing w:line="357" w:lineRule="auto" w:before="56"/>
        <w:ind w:left="573" w:right="889"/>
        <w:jc w:val="left"/>
      </w:pPr>
      <w:r>
        <w:rPr>
          <w:rFonts w:ascii="宋体" w:hAnsi="宋体" w:cs="宋体" w:eastAsia="宋体" w:hint="default"/>
          <w:b/>
          <w:bCs/>
        </w:rPr>
        <w:t>（一）品牌优势</w:t>
      </w:r>
      <w:r>
        <w:rPr>
          <w:rFonts w:ascii="宋体" w:hAnsi="宋体" w:cs="宋体" w:eastAsia="宋体" w:hint="default"/>
          <w:b/>
          <w:bCs/>
          <w:w w:val="99"/>
        </w:rPr>
        <w:t> </w:t>
      </w:r>
      <w:r>
        <w:rPr>
          <w:spacing w:val="-2"/>
        </w:rPr>
        <w:t>公司一贯奉行“质量先行、科学管理、优质服务、打造精品”的质量方针和“科学化、环保化、人性化”的装饰理念，</w:t>
      </w:r>
    </w:p>
    <w:p>
      <w:pPr>
        <w:pStyle w:val="BodyText"/>
        <w:spacing w:line="224" w:lineRule="exact"/>
        <w:ind w:right="0"/>
        <w:jc w:val="both"/>
      </w:pPr>
      <w:r>
        <w:rPr/>
        <w:t>以优良的业绩取信于社会。近年来，公司获得了包括鲁班奖、全国建筑工程装饰奖在内的国家及省市级工程奖项</w:t>
      </w:r>
      <w:r>
        <w:rPr>
          <w:rFonts w:ascii="宋体" w:hAnsi="宋体" w:cs="宋体" w:eastAsia="宋体" w:hint="default"/>
        </w:rPr>
        <w:t>300</w:t>
      </w:r>
      <w:r>
        <w:rPr/>
        <w:t>多项，</w:t>
      </w:r>
    </w:p>
    <w:p>
      <w:pPr>
        <w:pStyle w:val="BodyText"/>
        <w:spacing w:line="240" w:lineRule="auto" w:before="77"/>
        <w:ind w:right="0"/>
        <w:jc w:val="both"/>
      </w:pPr>
      <w:r>
        <w:rPr/>
        <w:t>公司在行业内的知名度和影响力不断提升。</w:t>
      </w:r>
    </w:p>
    <w:p>
      <w:pPr>
        <w:pStyle w:val="BodyText"/>
        <w:spacing w:line="357" w:lineRule="auto" w:before="117"/>
        <w:ind w:left="573" w:right="1153"/>
        <w:jc w:val="left"/>
      </w:pPr>
      <w:r>
        <w:rPr>
          <w:rFonts w:ascii="宋体" w:hAnsi="宋体" w:cs="宋体" w:eastAsia="宋体" w:hint="default"/>
          <w:b/>
          <w:bCs/>
        </w:rPr>
        <w:t>（二）项目经验优势</w:t>
      </w:r>
      <w:r>
        <w:rPr>
          <w:rFonts w:ascii="宋体" w:hAnsi="宋体" w:cs="宋体" w:eastAsia="宋体" w:hint="default"/>
          <w:b/>
          <w:bCs/>
          <w:w w:val="99"/>
        </w:rPr>
        <w:t> </w:t>
      </w:r>
      <w:r>
        <w:rPr/>
        <w:t>公司承接的装饰工程遍布全国各地，项目类型覆盖范围广泛，包括办公楼、商业建筑、高档酒店、文教体卫设施、交</w:t>
      </w:r>
    </w:p>
    <w:p>
      <w:pPr>
        <w:pStyle w:val="BodyText"/>
        <w:spacing w:line="225" w:lineRule="exact"/>
        <w:ind w:right="0"/>
        <w:jc w:val="both"/>
      </w:pPr>
      <w:r>
        <w:rPr/>
        <w:t>通基础设施、普通住宅、别墅等，多年的发展积累了丰富的项目经验。</w:t>
      </w:r>
    </w:p>
    <w:p>
      <w:pPr>
        <w:pStyle w:val="BodyText"/>
        <w:spacing w:line="357" w:lineRule="auto" w:before="116"/>
        <w:ind w:left="573" w:right="1153"/>
        <w:jc w:val="left"/>
      </w:pPr>
      <w:r>
        <w:rPr>
          <w:rFonts w:ascii="宋体" w:hAnsi="宋体" w:cs="宋体" w:eastAsia="宋体" w:hint="default"/>
          <w:b/>
          <w:bCs/>
        </w:rPr>
        <w:t>（三）跨区域经营优势</w:t>
      </w:r>
      <w:r>
        <w:rPr>
          <w:rFonts w:ascii="宋体" w:hAnsi="宋体" w:cs="宋体" w:eastAsia="宋体" w:hint="default"/>
          <w:b/>
          <w:bCs/>
          <w:w w:val="99"/>
        </w:rPr>
        <w:t> </w:t>
      </w:r>
      <w:r>
        <w:rPr/>
        <w:t>近年来，公司始终坚持“立足华南、面向全国”的战略方针，通过实施本地化人才策略，加大对全国各地市场拓展力</w:t>
      </w:r>
    </w:p>
    <w:p>
      <w:pPr>
        <w:pStyle w:val="BodyText"/>
        <w:spacing w:line="224" w:lineRule="exact"/>
        <w:ind w:left="154" w:right="0"/>
        <w:jc w:val="both"/>
      </w:pPr>
      <w:r>
        <w:rPr/>
        <w:t>度，公司业务范围迅速扩张。当前公司已在北京、上海、江苏、陕西、山东、海南、安徽、云南、四川和辽宁等地设立了分</w:t>
      </w:r>
    </w:p>
    <w:p>
      <w:pPr>
        <w:pStyle w:val="BodyText"/>
        <w:spacing w:line="319" w:lineRule="auto" w:before="76"/>
        <w:ind w:left="154" w:right="889"/>
        <w:jc w:val="left"/>
      </w:pPr>
      <w:r>
        <w:rPr>
          <w:spacing w:val="-2"/>
        </w:rPr>
        <w:t>支机构，已建立华南、华东、华北、华中区域营销中心，形成了一个覆盖全国的市场网络，在珠江三角洲、长江三角洲和京</w:t>
      </w:r>
      <w:r>
        <w:rPr>
          <w:spacing w:val="-72"/>
        </w:rPr>
        <w:t> </w:t>
      </w:r>
      <w:r>
        <w:rPr>
          <w:spacing w:val="-72"/>
        </w:rPr>
      </w:r>
      <w:r>
        <w:rPr/>
        <w:t>津环渤海经济带等重点区域形成了稳定的品牌影响力，已充分具备跨区域经营能力。</w:t>
      </w:r>
    </w:p>
    <w:p>
      <w:pPr>
        <w:pStyle w:val="BodyText"/>
        <w:spacing w:line="357" w:lineRule="auto" w:before="56"/>
        <w:ind w:left="573" w:right="1153"/>
        <w:jc w:val="left"/>
      </w:pPr>
      <w:r>
        <w:rPr>
          <w:rFonts w:ascii="宋体" w:hAnsi="宋体" w:cs="宋体" w:eastAsia="宋体" w:hint="default"/>
          <w:b/>
          <w:bCs/>
        </w:rPr>
        <w:t>（四）人才优势</w:t>
      </w:r>
      <w:r>
        <w:rPr>
          <w:rFonts w:ascii="宋体" w:hAnsi="宋体" w:cs="宋体" w:eastAsia="宋体" w:hint="default"/>
          <w:b/>
          <w:bCs/>
          <w:w w:val="99"/>
        </w:rPr>
        <w:t> </w:t>
      </w:r>
      <w:r>
        <w:rPr/>
        <w:t>公司一贯坚持“以人为本”的管理理念，积极引进和培养各类专业技术、管理人才，具有经验丰富的高层管理团队和</w:t>
      </w:r>
    </w:p>
    <w:p>
      <w:pPr>
        <w:pStyle w:val="BodyText"/>
        <w:spacing w:line="224" w:lineRule="exact"/>
        <w:ind w:right="0"/>
        <w:jc w:val="both"/>
      </w:pPr>
      <w:r>
        <w:rPr/>
        <w:t>执行力强的中层管理人员。经过十几年的发展，公司已经拥有了完善的人才培养体系和人才储备。其中，公司董事长庄重先</w:t>
      </w:r>
    </w:p>
    <w:p>
      <w:pPr>
        <w:pStyle w:val="BodyText"/>
        <w:spacing w:line="240" w:lineRule="auto" w:before="77"/>
        <w:ind w:right="0"/>
        <w:jc w:val="both"/>
      </w:pPr>
      <w:r>
        <w:rPr/>
        <w:t>生、常务副总经理何斌先生更是业内知名的专家，具备丰富的从业经验。</w:t>
      </w:r>
    </w:p>
    <w:p>
      <w:pPr>
        <w:pStyle w:val="BodyText"/>
        <w:spacing w:line="357" w:lineRule="auto" w:before="117"/>
        <w:ind w:left="573" w:right="1153"/>
        <w:jc w:val="left"/>
      </w:pPr>
      <w:r>
        <w:rPr>
          <w:rFonts w:ascii="宋体" w:hAnsi="宋体" w:cs="宋体" w:eastAsia="宋体" w:hint="default"/>
          <w:b/>
          <w:bCs/>
        </w:rPr>
        <w:t>（五）项目管理能力优势</w:t>
      </w:r>
      <w:r>
        <w:rPr>
          <w:rFonts w:ascii="宋体" w:hAnsi="宋体" w:cs="宋体" w:eastAsia="宋体" w:hint="default"/>
          <w:b/>
          <w:bCs/>
          <w:w w:val="99"/>
        </w:rPr>
        <w:t> </w:t>
      </w:r>
      <w:r>
        <w:rPr/>
        <w:t>公司通过建立健全项目管理制度，规范项目操作流程，对整个项目过程实施有效的成本控制、质量控制、进度控制、</w:t>
      </w:r>
    </w:p>
    <w:p>
      <w:pPr>
        <w:pStyle w:val="BodyText"/>
        <w:spacing w:line="224" w:lineRule="exact"/>
        <w:ind w:right="0"/>
        <w:jc w:val="both"/>
      </w:pPr>
      <w:r>
        <w:rPr/>
        <w:t>安全控制、合同管理和信息管理，并通过绩效考核将上述管理目标落实到个人，实现对项目全方位、全过程的管理和控制。</w:t>
      </w:r>
    </w:p>
    <w:p>
      <w:pPr>
        <w:pStyle w:val="BodyText"/>
        <w:spacing w:line="319" w:lineRule="auto" w:before="76"/>
        <w:ind w:right="1133"/>
        <w:jc w:val="both"/>
      </w:pPr>
      <w:r>
        <w:rPr>
          <w:spacing w:val="-2"/>
        </w:rPr>
        <w:t>公司按照事前计划、事中检查、事后评价的管理思路，对项目实施过程中的各类问题做到及时发现、及时调整，在保证施工</w:t>
      </w:r>
      <w:r>
        <w:rPr>
          <w:spacing w:val="-66"/>
        </w:rPr>
        <w:t> </w:t>
      </w:r>
      <w:r>
        <w:rPr>
          <w:spacing w:val="-66"/>
        </w:rPr>
      </w:r>
      <w:r>
        <w:rPr>
          <w:spacing w:val="-2"/>
        </w:rPr>
        <w:t>安全的前提下，严控项目成本和工程质量，避免出现较大的工期延误。成熟的项目管理体系提升了公司的整体运作效率和行</w:t>
      </w:r>
      <w:r>
        <w:rPr>
          <w:spacing w:val="-66"/>
        </w:rPr>
        <w:t> </w:t>
      </w:r>
      <w:r>
        <w:rPr>
          <w:spacing w:val="-66"/>
        </w:rPr>
      </w:r>
      <w:r>
        <w:rPr/>
        <w:t>业信誉，使得公司在激烈的行业竞争中处于有利的地位。</w:t>
      </w:r>
    </w:p>
    <w:p>
      <w:pPr>
        <w:spacing w:after="0" w:line="319" w:lineRule="auto"/>
        <w:jc w:val="both"/>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2965" w:right="889"/>
        <w:jc w:val="left"/>
        <w:rPr>
          <w:b w:val="0"/>
          <w:bCs w:val="0"/>
        </w:rPr>
      </w:pPr>
      <w:bookmarkStart w:name="第四节 经营情况讨论与分析" w:id="20"/>
      <w:bookmarkEnd w:id="20"/>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89"/>
        <w:jc w:val="left"/>
        <w:rPr>
          <w:b w:val="0"/>
          <w:bCs w:val="0"/>
        </w:rPr>
      </w:pPr>
      <w:bookmarkStart w:name="一、概述" w:id="21"/>
      <w:bookmarkEnd w:id="21"/>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3" w:firstLine="420"/>
        <w:jc w:val="left"/>
      </w:pPr>
      <w:r>
        <w:rPr>
          <w:rFonts w:ascii="宋体" w:hAnsi="宋体" w:cs="宋体" w:eastAsia="宋体" w:hint="default"/>
        </w:rPr>
        <w:t>2017</w:t>
      </w:r>
      <w:r>
        <w:rPr/>
        <w:t>年，公司坚定执行董事会“固本强基，扬长补短，创新发展”的发展方针，扎实推进各项工作，夯实传统装饰业 务，持续优化管理体系和业务结构，推动企业的转型升级。</w:t>
      </w:r>
      <w:r>
        <w:rPr>
          <w:rFonts w:ascii="宋体" w:hAnsi="宋体" w:cs="宋体" w:eastAsia="宋体" w:hint="default"/>
        </w:rPr>
        <w:t>2017</w:t>
      </w:r>
      <w:r>
        <w:rPr/>
        <w:t>年，面对日益激烈的竞争现状，公司实现营业收入 </w:t>
      </w:r>
      <w:r>
        <w:rPr>
          <w:rFonts w:ascii="宋体" w:hAnsi="宋体" w:cs="宋体" w:eastAsia="宋体" w:hint="default"/>
        </w:rPr>
        <w:t>3,172,996,288.26</w:t>
      </w:r>
      <w:r>
        <w:rPr/>
        <w:t>元，同比增长</w:t>
      </w:r>
      <w:r>
        <w:rPr>
          <w:rFonts w:ascii="宋体" w:hAnsi="宋体" w:cs="宋体" w:eastAsia="宋体" w:hint="default"/>
        </w:rPr>
        <w:t>17.88%</w:t>
      </w:r>
      <w:r>
        <w:rPr/>
        <w:t>，实现归属于母公司股东的净利润</w:t>
      </w:r>
      <w:r>
        <w:rPr>
          <w:rFonts w:ascii="宋体" w:hAnsi="宋体" w:cs="宋体" w:eastAsia="宋体" w:hint="default"/>
        </w:rPr>
        <w:t>160,749,979.46</w:t>
      </w:r>
      <w:r>
        <w:rPr/>
        <w:t>元，同比增加</w:t>
      </w:r>
      <w:r>
        <w:rPr>
          <w:rFonts w:ascii="宋体" w:hAnsi="宋体" w:cs="宋体" w:eastAsia="宋体" w:hint="default"/>
        </w:rPr>
        <w:t>2.92%</w:t>
      </w:r>
      <w:r>
        <w:rPr/>
        <w:t>；经营业绩与</w:t>
      </w:r>
    </w:p>
    <w:p>
      <w:pPr>
        <w:pStyle w:val="BodyText"/>
        <w:spacing w:line="319" w:lineRule="auto" w:before="19"/>
        <w:ind w:left="154" w:right="889"/>
        <w:jc w:val="left"/>
      </w:pPr>
      <w:r>
        <w:rPr>
          <w:rFonts w:ascii="宋体" w:hAnsi="宋体" w:cs="宋体" w:eastAsia="宋体" w:hint="default"/>
          <w:spacing w:val="-2"/>
        </w:rPr>
        <w:t>2016</w:t>
      </w:r>
      <w:r>
        <w:rPr>
          <w:spacing w:val="-2"/>
        </w:rPr>
        <w:t>年同期相比呈增长趋势。公司总体经营状况良好，公司各工程项目按合同计划有序施工，经营模式未发生重大变化，未</w:t>
      </w:r>
      <w:r>
        <w:rPr>
          <w:spacing w:val="-62"/>
        </w:rPr>
        <w:t> </w:t>
      </w:r>
      <w:r>
        <w:rPr>
          <w:spacing w:val="-62"/>
        </w:rPr>
      </w:r>
      <w:r>
        <w:rPr/>
        <w:t>出现影响公司正常经营的其他重大不利因素。</w:t>
      </w:r>
    </w:p>
    <w:p>
      <w:pPr>
        <w:pStyle w:val="BodyText"/>
        <w:spacing w:line="240" w:lineRule="auto" w:before="58"/>
        <w:ind w:left="574" w:right="889"/>
        <w:jc w:val="left"/>
      </w:pPr>
      <w:r>
        <w:rPr>
          <w:rFonts w:ascii="宋体" w:hAnsi="宋体" w:cs="宋体" w:eastAsia="宋体" w:hint="default"/>
        </w:rPr>
        <w:t>2017</w:t>
      </w:r>
      <w:r>
        <w:rPr/>
        <w:t>年，公司主要经营管理工作具体如下：</w:t>
      </w:r>
    </w:p>
    <w:p>
      <w:pPr>
        <w:pStyle w:val="BodyText"/>
        <w:spacing w:line="319" w:lineRule="auto" w:before="115"/>
        <w:ind w:left="154" w:right="889" w:firstLine="420"/>
        <w:jc w:val="left"/>
      </w:pPr>
      <w:r>
        <w:rPr>
          <w:rFonts w:ascii="宋体" w:hAnsi="宋体" w:cs="宋体" w:eastAsia="宋体" w:hint="default"/>
        </w:rPr>
        <w:t>1</w:t>
      </w:r>
      <w:r>
        <w:rPr/>
        <w:t>、公司坚持以战略大客户为主的业务发展思路，明确业务拓展的工作步骤和工作方式，各业务单位尤其是营销人员的 </w:t>
      </w:r>
      <w:r>
        <w:rPr>
          <w:spacing w:val="-4"/>
        </w:rPr>
        <w:t>思维意识和市场开拓能力有了较大提升，全年承接的装饰工程项目单价得到了较明显的提高，新增签约合同量同比增长明显。</w:t>
      </w:r>
    </w:p>
    <w:p>
      <w:pPr>
        <w:pStyle w:val="BodyText"/>
        <w:spacing w:line="319" w:lineRule="auto" w:before="55"/>
        <w:ind w:right="1129" w:firstLine="420"/>
        <w:jc w:val="both"/>
      </w:pPr>
      <w:r>
        <w:rPr>
          <w:rFonts w:ascii="宋体" w:hAnsi="宋体" w:cs="宋体" w:eastAsia="宋体" w:hint="default"/>
          <w:spacing w:val="-1"/>
        </w:rPr>
        <w:t>2</w:t>
      </w:r>
      <w:r>
        <w:rPr>
          <w:spacing w:val="-1"/>
        </w:rPr>
        <w:t>、在原有华南区域营销中心的基础上，公司在</w:t>
      </w:r>
      <w:r>
        <w:rPr>
          <w:rFonts w:ascii="宋体" w:hAnsi="宋体" w:cs="宋体" w:eastAsia="宋体" w:hint="default"/>
          <w:spacing w:val="-1"/>
        </w:rPr>
        <w:t>2017</w:t>
      </w:r>
      <w:r>
        <w:rPr>
          <w:spacing w:val="-1"/>
        </w:rPr>
        <w:t>年陆续成立了华东和华北区域营销中心，在继续巩固现有市场优势</w:t>
      </w:r>
      <w:r>
        <w:rPr/>
        <w:t> </w:t>
      </w:r>
      <w:r>
        <w:rPr>
          <w:spacing w:val="-2"/>
        </w:rPr>
        <w:t>区域的基础上，将总部的营销功能、管控功能进一步前移，集中优势力量发展珠三角、长三角、京津冀等重点区域市场，营</w:t>
      </w:r>
      <w:r>
        <w:rPr>
          <w:spacing w:val="-67"/>
        </w:rPr>
        <w:t> </w:t>
      </w:r>
      <w:r>
        <w:rPr>
          <w:spacing w:val="-67"/>
        </w:rPr>
      </w:r>
      <w:r>
        <w:rPr/>
        <w:t>销网络得到进一步优化。</w:t>
      </w:r>
    </w:p>
    <w:p>
      <w:pPr>
        <w:pStyle w:val="BodyText"/>
        <w:spacing w:line="319" w:lineRule="auto" w:before="56"/>
        <w:ind w:right="1033" w:firstLine="420"/>
        <w:jc w:val="left"/>
      </w:pPr>
      <w:r>
        <w:rPr>
          <w:rFonts w:ascii="宋体" w:hAnsi="宋体" w:cs="宋体" w:eastAsia="宋体" w:hint="default"/>
        </w:rPr>
        <w:t>3</w:t>
      </w:r>
      <w:r>
        <w:rPr/>
        <w:t>、公司积极探讨、尝试新型业务及模式，加强了</w:t>
      </w:r>
      <w:r>
        <w:rPr>
          <w:rFonts w:ascii="宋体" w:hAnsi="宋体" w:cs="宋体" w:eastAsia="宋体" w:hint="default"/>
        </w:rPr>
        <w:t>EPC</w:t>
      </w:r>
      <w:r>
        <w:rPr/>
        <w:t>模式、</w:t>
      </w:r>
      <w:r>
        <w:rPr>
          <w:rFonts w:ascii="宋体" w:hAnsi="宋体" w:cs="宋体" w:eastAsia="宋体" w:hint="default"/>
        </w:rPr>
        <w:t>PPP</w:t>
      </w:r>
      <w:r>
        <w:rPr/>
        <w:t>模式、“以投带建”模式的开拓和投入，并陆续落地一 些项目，有力地支持了主营业务的发展；同时，公司围绕国家大战略寻找新的发展机遇，积极响应国家“一带一路”战略， 有步骤地开展了海外项目，寻求新的业务增长点。</w:t>
      </w:r>
    </w:p>
    <w:p>
      <w:pPr>
        <w:pStyle w:val="BodyText"/>
        <w:spacing w:line="319" w:lineRule="auto" w:before="55"/>
        <w:ind w:right="1130" w:firstLine="420"/>
        <w:jc w:val="both"/>
      </w:pPr>
      <w:r>
        <w:rPr>
          <w:rFonts w:ascii="宋体" w:hAnsi="宋体" w:cs="宋体" w:eastAsia="宋体" w:hint="default"/>
          <w:spacing w:val="-2"/>
        </w:rPr>
        <w:t>4</w:t>
      </w:r>
      <w:r>
        <w:rPr>
          <w:spacing w:val="-2"/>
        </w:rPr>
        <w:t>、公司全面展开信息化建设，其中先行启动的综合信息管理系统项目一期将从“整体规划、统一平台、分布实施”三</w:t>
      </w:r>
      <w:r>
        <w:rPr/>
        <w:t> </w:t>
      </w:r>
      <w:r>
        <w:rPr>
          <w:spacing w:val="-2"/>
        </w:rPr>
        <w:t>方面逐步实施，拟通过与用友建筑或其他知名供应商合作，共同努力，有效地提高公司业务、工程、财务、成本等业务协调</w:t>
      </w:r>
      <w:r>
        <w:rPr>
          <w:spacing w:val="-68"/>
        </w:rPr>
        <w:t> </w:t>
      </w:r>
      <w:r>
        <w:rPr>
          <w:spacing w:val="-68"/>
        </w:rPr>
      </w:r>
      <w:r>
        <w:rPr/>
        <w:t>功能，将公司的信息化建设打造成建筑装饰行业信息化的标杆。</w:t>
      </w:r>
    </w:p>
    <w:p>
      <w:pPr>
        <w:pStyle w:val="BodyText"/>
        <w:spacing w:line="319" w:lineRule="auto" w:before="55"/>
        <w:ind w:left="154" w:right="1130" w:firstLine="420"/>
        <w:jc w:val="both"/>
      </w:pPr>
      <w:r>
        <w:rPr>
          <w:rFonts w:ascii="宋体" w:hAnsi="宋体" w:cs="宋体" w:eastAsia="宋体" w:hint="default"/>
          <w:spacing w:val="-2"/>
        </w:rPr>
        <w:t>5</w:t>
      </w:r>
      <w:r>
        <w:rPr>
          <w:spacing w:val="-2"/>
        </w:rPr>
        <w:t>、公司进一步通过全面预算、成本比价、内部审计等措施继续加强内部管控，做好全面预算、预警机制，并且在供应</w:t>
      </w:r>
      <w:r>
        <w:rPr/>
        <w:t> </w:t>
      </w:r>
      <w:r>
        <w:rPr>
          <w:spacing w:val="-2"/>
        </w:rPr>
        <w:t>链管理上不断完善招标流程，把采购向源头延伸。公司广泛吸取跨行业采购经验和流程，进一步建立适应公司发展的供应链</w:t>
      </w:r>
      <w:r>
        <w:rPr>
          <w:spacing w:val="-66"/>
        </w:rPr>
        <w:t> </w:t>
      </w:r>
      <w:r>
        <w:rPr>
          <w:spacing w:val="-66"/>
        </w:rPr>
      </w:r>
      <w:r>
        <w:rPr/>
        <w:t>体系和采购平台，使材料采购更加科学，成本得以进一步控制。</w:t>
      </w:r>
    </w:p>
    <w:p>
      <w:pPr>
        <w:pStyle w:val="BodyText"/>
        <w:spacing w:line="319" w:lineRule="auto" w:before="56"/>
        <w:ind w:right="889" w:firstLine="450"/>
        <w:jc w:val="left"/>
      </w:pPr>
      <w:r>
        <w:rPr>
          <w:rFonts w:ascii="宋体" w:hAnsi="宋体" w:cs="宋体" w:eastAsia="宋体" w:hint="default"/>
          <w:spacing w:val="-4"/>
        </w:rPr>
        <w:t>6</w:t>
      </w:r>
      <w:r>
        <w:rPr>
          <w:spacing w:val="-4"/>
        </w:rPr>
        <w:t>、</w:t>
      </w:r>
      <w:r>
        <w:rPr>
          <w:rFonts w:ascii="宋体" w:hAnsi="宋体" w:cs="宋体" w:eastAsia="宋体" w:hint="default"/>
          <w:spacing w:val="-4"/>
        </w:rPr>
        <w:t>2017</w:t>
      </w:r>
      <w:r>
        <w:rPr>
          <w:spacing w:val="-4"/>
        </w:rPr>
        <w:t>年，公司坚持以人为本，不断提升企业核心竞争力。首先积极拓宽人才引进渠道，利用“外部招聘</w:t>
      </w:r>
      <w:r>
        <w:rPr>
          <w:rFonts w:ascii="宋体" w:hAnsi="宋体" w:cs="宋体" w:eastAsia="宋体" w:hint="default"/>
          <w:spacing w:val="-4"/>
        </w:rPr>
        <w:t>+</w:t>
      </w:r>
      <w:r>
        <w:rPr>
          <w:spacing w:val="-4"/>
        </w:rPr>
        <w:t>内部推荐”</w:t>
      </w:r>
      <w:r>
        <w:rPr/>
        <w:t> </w:t>
      </w:r>
      <w:r>
        <w:rPr>
          <w:spacing w:val="-4"/>
        </w:rPr>
        <w:t>双管齐下，吸纳人才。同时，公司改革了薪酬福利和绩效考核机制，既提高了公司的薪酬竞争力同时又有效激活人才。此外，</w:t>
      </w:r>
      <w:r>
        <w:rPr>
          <w:spacing w:val="-45"/>
        </w:rPr>
        <w:t> </w:t>
      </w:r>
      <w:r>
        <w:rPr>
          <w:spacing w:val="-45"/>
        </w:rPr>
      </w:r>
      <w:r>
        <w:rPr/>
        <w:t>公司大力推行竞聘上岗，重用人才，为每一个员工提供相对公平、公正、公开的晋升机遇。</w:t>
      </w:r>
    </w:p>
    <w:p>
      <w:pPr>
        <w:spacing w:line="240" w:lineRule="auto" w:before="6"/>
        <w:rPr>
          <w:rFonts w:ascii="宋体" w:hAnsi="宋体" w:cs="宋体" w:eastAsia="宋体" w:hint="default"/>
          <w:sz w:val="20"/>
          <w:szCs w:val="20"/>
        </w:rPr>
      </w:pPr>
    </w:p>
    <w:p>
      <w:pPr>
        <w:pStyle w:val="Heading2"/>
        <w:spacing w:line="240" w:lineRule="auto"/>
        <w:ind w:right="889"/>
        <w:jc w:val="left"/>
        <w:rPr>
          <w:b w:val="0"/>
          <w:bCs w:val="0"/>
        </w:rPr>
      </w:pPr>
      <w:bookmarkStart w:name="二、主营业务分析" w:id="22"/>
      <w:bookmarkEnd w:id="22"/>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89"/>
        <w:jc w:val="left"/>
        <w:rPr>
          <w:b w:val="0"/>
          <w:bCs w:val="0"/>
        </w:rPr>
      </w:pPr>
      <w:bookmarkStart w:name="1、概述" w:id="23"/>
      <w:bookmarkEnd w:id="23"/>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89"/>
        <w:jc w:val="left"/>
      </w:pPr>
      <w:r>
        <w:rPr/>
        <w:t>参见“经营情况讨论与分析”中的“一、概述”相关内容。</w:t>
      </w:r>
    </w:p>
    <w:p>
      <w:pPr>
        <w:spacing w:line="240" w:lineRule="auto" w:before="10"/>
        <w:rPr>
          <w:rFonts w:ascii="宋体" w:hAnsi="宋体" w:cs="宋体" w:eastAsia="宋体" w:hint="default"/>
          <w:sz w:val="26"/>
          <w:szCs w:val="26"/>
        </w:rPr>
      </w:pPr>
    </w:p>
    <w:p>
      <w:pPr>
        <w:pStyle w:val="Heading3"/>
        <w:spacing w:line="240" w:lineRule="auto"/>
        <w:ind w:left="154" w:right="889"/>
        <w:jc w:val="left"/>
        <w:rPr>
          <w:b w:val="0"/>
          <w:bCs w:val="0"/>
        </w:rPr>
      </w:pPr>
      <w:bookmarkStart w:name="2、收入与成本" w:id="24"/>
      <w:bookmarkEnd w:id="24"/>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营业收入构成" w:id="25"/>
      <w:bookmarkEnd w:id="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3189"/>
        <w:gridCol w:w="3188"/>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89"/>
        <w:gridCol w:w="1599"/>
        <w:gridCol w:w="1588"/>
        <w:gridCol w:w="1598"/>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3,172,996,288.26</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2,691,714,149.77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17.88%</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3,172,996,288.26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2,691,714,149.77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装饰施工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3,035,991,061.73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95.68%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2,539,422,037.70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94.35%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装饰设计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51,398,144.26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80,558,944.27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85,607,082.27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71,733,167.80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628,570,564.70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517,815,734.09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19.23%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1,525,576,615.40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1,131,036,598.28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42.02%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236,705,523.10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226,543,208.72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262,724,092.67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258,570,390.52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129,140,948.93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88,003,496.04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261,579,376.14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305,624,419.59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11.35%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128,699,167.32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164,120,302.53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-21.58%</w:t>
            </w:r>
          </w:p>
        </w:tc>
      </w:tr>
    </w:tbl>
    <w:p>
      <w:pPr>
        <w:spacing w:line="240" w:lineRule="auto" w:before="3"/>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占公司营业收入或营业利润10%以上的行业、产品或地区情况" w:id="26"/>
      <w:bookmarkEnd w:id="26"/>
      <w:r>
        <w:rPr>
          <w:b w:val="0"/>
          <w:bCs w:val="0"/>
        </w:rPr>
      </w:r>
      <w:r>
        <w:rPr/>
        <w:t>（</w:t>
      </w:r>
      <w:r>
        <w:rPr>
          <w:rFonts w:ascii="Times New Roman" w:hAnsi="Times New Roman" w:cs="Times New Roman" w:eastAsia="Times New Roman" w:hint="default"/>
        </w:rPr>
        <w:t>2</w:t>
      </w:r>
      <w:r>
        <w:rPr/>
        <w:t>）占公司营业收入或营业利润</w:t>
      </w:r>
      <w:r>
        <w:rPr>
          <w:spacing w:val="-58"/>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46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left="154" w:right="4601"/>
        <w:jc w:val="left"/>
      </w:pPr>
      <w:r>
        <w:rPr/>
        <w:t>装修装饰业</w:t>
      </w:r>
    </w:p>
    <w:p>
      <w:pPr>
        <w:pStyle w:val="BodyText"/>
        <w:spacing w:line="240" w:lineRule="auto" w:before="117"/>
        <w:ind w:right="-18"/>
        <w:jc w:val="left"/>
      </w:pPr>
      <w:r>
        <w:rPr/>
        <w:t>公司需遵守《深圳证券交易所行业信息披露指引第</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上市公司从事装修装饰业务》的披露要求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right="0"/>
        <w:jc w:val="left"/>
      </w:pPr>
      <w:r>
        <w:rPr/>
        <w:t>单位：元</w:t>
      </w:r>
    </w:p>
    <w:p>
      <w:pPr>
        <w:spacing w:after="0" w:line="240" w:lineRule="auto"/>
        <w:jc w:val="left"/>
        <w:sectPr>
          <w:type w:val="continuous"/>
          <w:pgSz w:w="11910" w:h="16840"/>
          <w:pgMar w:top="1060" w:bottom="1160" w:left="980" w:right="0"/>
          <w:cols w:num="2" w:equalWidth="0">
            <w:col w:w="7835" w:space="1084"/>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3,172,996,288.26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2,708,228,113.56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-1.51%</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装饰施工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3,035,991,061.73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2,600,587,337.83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1,525,576,615.40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1,295,037,848.79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628,570,564.70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533,784,805.94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-0.59%</w:t>
            </w:r>
          </w:p>
        </w:tc>
      </w:tr>
    </w:tbl>
    <w:p>
      <w:pPr>
        <w:pStyle w:val="BodyText"/>
        <w:spacing w:line="240" w:lineRule="auto" w:before="51"/>
        <w:ind w:left="154" w:right="889"/>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889"/>
        <w:jc w:val="left"/>
      </w:pPr>
      <w:r>
        <w:rPr/>
        <w:t>公司不同业务类型的情况</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业务类型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毛利率</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装饰施工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3,035,991,061.73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2,600,587,337.83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装饰设计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51,398,144.26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37,389,589.81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27.25%</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85,607,082.27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70,251,185.92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17.94%</w:t>
            </w:r>
          </w:p>
        </w:tc>
      </w:tr>
    </w:tbl>
    <w:p>
      <w:pPr>
        <w:pStyle w:val="BodyText"/>
        <w:spacing w:line="240" w:lineRule="auto" w:before="51"/>
        <w:ind w:left="154" w:right="889"/>
        <w:jc w:val="left"/>
      </w:pPr>
      <w:r>
        <w:rPr/>
        <w:t>公司是否需通过互联网渠道开展业务</w:t>
      </w:r>
    </w:p>
    <w:p>
      <w:pPr>
        <w:pStyle w:val="BodyText"/>
        <w:spacing w:line="340" w:lineRule="auto" w:before="116"/>
        <w:ind w:right="87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公司是否需开展境外项目</w:t>
      </w:r>
    </w:p>
    <w:p>
      <w:pPr>
        <w:pStyle w:val="BodyText"/>
        <w:spacing w:line="240" w:lineRule="auto" w:before="40"/>
        <w:ind w:left="154" w:right="8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889"/>
        <w:jc w:val="left"/>
        <w:rPr>
          <w:b w:val="0"/>
          <w:bCs w:val="0"/>
        </w:rPr>
      </w:pPr>
      <w:bookmarkStart w:name="（3）公司实物销售收入是否大于劳务收入" w:id="27"/>
      <w:bookmarkEnd w:id="27"/>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889"/>
        <w:jc w:val="left"/>
        <w:rPr>
          <w:b w:val="0"/>
          <w:bCs w:val="0"/>
        </w:rPr>
      </w:pPr>
      <w:bookmarkStart w:name="（4）公司已签订的重大销售合同截至本报告期的履行情况" w:id="28"/>
      <w:bookmarkEnd w:id="28"/>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92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w:t>
      </w:r>
    </w:p>
    <w:p>
      <w:pPr>
        <w:pStyle w:val="BodyText"/>
        <w:spacing w:line="240" w:lineRule="auto" w:before="43"/>
        <w:ind w:left="154" w:right="889"/>
        <w:jc w:val="left"/>
      </w:pPr>
      <w:r>
        <w:rPr/>
        <w:t>装修装饰业</w:t>
      </w:r>
    </w:p>
    <w:p>
      <w:pPr>
        <w:pStyle w:val="BodyText"/>
        <w:spacing w:line="240" w:lineRule="auto" w:before="116"/>
        <w:ind w:right="889"/>
        <w:jc w:val="left"/>
      </w:pPr>
      <w:r>
        <w:rPr/>
        <w:t>公司需遵守《深圳证券交易所行业信息披露指引第</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上市公司从事装修装饰业务》的披露要求</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72"/>
        <w:gridCol w:w="2403"/>
        <w:gridCol w:w="2393"/>
        <w:gridCol w:w="2392"/>
      </w:tblGrid>
      <w:tr>
        <w:trPr>
          <w:trHeight w:val="402"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1" w:right="0"/>
              <w:jc w:val="left"/>
              <w:rPr>
                <w:rFonts w:ascii="宋体" w:hAnsi="宋体" w:cs="宋体" w:eastAsia="宋体" w:hint="default"/>
                <w:sz w:val="18"/>
                <w:szCs w:val="18"/>
              </w:rPr>
            </w:pPr>
            <w:r>
              <w:rPr>
                <w:rFonts w:ascii="宋体" w:hAnsi="宋体" w:cs="宋体" w:eastAsia="宋体" w:hint="default"/>
                <w:sz w:val="18"/>
                <w:szCs w:val="18"/>
              </w:rPr>
              <w:t>累计确认收入</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0" w:right="0"/>
              <w:jc w:val="left"/>
              <w:rPr>
                <w:rFonts w:ascii="宋体" w:hAnsi="宋体" w:cs="宋体" w:eastAsia="宋体" w:hint="default"/>
                <w:sz w:val="18"/>
                <w:szCs w:val="18"/>
              </w:rPr>
            </w:pPr>
            <w:r>
              <w:rPr>
                <w:rFonts w:ascii="宋体" w:hAnsi="宋体" w:cs="宋体" w:eastAsia="宋体" w:hint="default"/>
                <w:sz w:val="18"/>
                <w:szCs w:val="18"/>
              </w:rPr>
              <w:t>未完工部分金额</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未完工项目</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106" w:right="0"/>
              <w:jc w:val="left"/>
              <w:rPr>
                <w:rFonts w:ascii="Times New Roman" w:hAnsi="Times New Roman" w:cs="Times New Roman" w:eastAsia="Times New Roman" w:hint="default"/>
                <w:sz w:val="18"/>
                <w:szCs w:val="18"/>
              </w:rPr>
            </w:pPr>
            <w:r>
              <w:rPr>
                <w:rFonts w:ascii="Times New Roman"/>
                <w:sz w:val="18"/>
              </w:rPr>
              <w:t>5,266,811,204.77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0" w:right="0"/>
              <w:jc w:val="left"/>
              <w:rPr>
                <w:rFonts w:ascii="Times New Roman" w:hAnsi="Times New Roman" w:cs="Times New Roman" w:eastAsia="Times New Roman" w:hint="default"/>
                <w:sz w:val="18"/>
                <w:szCs w:val="18"/>
              </w:rPr>
            </w:pPr>
            <w:r>
              <w:rPr>
                <w:rFonts w:ascii="Times New Roman"/>
                <w:sz w:val="18"/>
              </w:rPr>
              <w:t>2,716,672,834.95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9" w:right="0"/>
              <w:jc w:val="left"/>
              <w:rPr>
                <w:rFonts w:ascii="Times New Roman" w:hAnsi="Times New Roman" w:cs="Times New Roman" w:eastAsia="Times New Roman" w:hint="default"/>
                <w:sz w:val="18"/>
                <w:szCs w:val="18"/>
              </w:rPr>
            </w:pPr>
            <w:r>
              <w:rPr>
                <w:rFonts w:ascii="Times New Roman"/>
                <w:sz w:val="18"/>
              </w:rPr>
              <w:t>2,550,138,369.82</w:t>
            </w:r>
          </w:p>
        </w:tc>
      </w:tr>
    </w:tbl>
    <w:p>
      <w:pPr>
        <w:pStyle w:val="BodyText"/>
        <w:spacing w:line="240" w:lineRule="auto" w:before="51"/>
        <w:ind w:left="154" w:right="889"/>
        <w:jc w:val="left"/>
      </w:pPr>
      <w:r>
        <w:rPr/>
        <w:t>其他说明</w:t>
      </w:r>
    </w:p>
    <w:p>
      <w:pPr>
        <w:pStyle w:val="BodyText"/>
        <w:spacing w:line="240" w:lineRule="auto" w:before="116"/>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07"/>
        <w:gridCol w:w="1618"/>
        <w:gridCol w:w="1617"/>
        <w:gridCol w:w="1243"/>
        <w:gridCol w:w="1702"/>
        <w:gridCol w:w="1770"/>
      </w:tblGrid>
      <w:tr>
        <w:trPr>
          <w:trHeight w:val="402"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预计损失</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已完工未结算的余额</w:t>
            </w:r>
          </w:p>
        </w:tc>
      </w:tr>
      <w:tr>
        <w:trPr>
          <w:trHeight w:val="402"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已完工未结算项目</w:t>
            </w:r>
          </w:p>
        </w:tc>
        <w:tc>
          <w:tcPr>
            <w:tcW w:w="16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2,584,616,767.42</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9" w:right="0"/>
              <w:jc w:val="left"/>
              <w:rPr>
                <w:rFonts w:ascii="Times New Roman" w:hAnsi="Times New Roman" w:cs="Times New Roman" w:eastAsia="Times New Roman" w:hint="default"/>
                <w:sz w:val="18"/>
                <w:szCs w:val="18"/>
              </w:rPr>
            </w:pPr>
            <w:r>
              <w:rPr>
                <w:rFonts w:ascii="Times New Roman"/>
                <w:sz w:val="18"/>
              </w:rPr>
              <w:t>441,688,495.47</w:t>
            </w:r>
          </w:p>
        </w:tc>
        <w:tc>
          <w:tcPr>
            <w:tcW w:w="12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7" w:right="0"/>
              <w:jc w:val="left"/>
              <w:rPr>
                <w:rFonts w:ascii="Times New Roman" w:hAnsi="Times New Roman" w:cs="Times New Roman" w:eastAsia="Times New Roman" w:hint="default"/>
                <w:sz w:val="18"/>
                <w:szCs w:val="18"/>
              </w:rPr>
            </w:pPr>
            <w:r>
              <w:rPr>
                <w:rFonts w:ascii="Times New Roman"/>
                <w:sz w:val="18"/>
              </w:rPr>
              <w:t>2,903,930,525.79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122,374,737.10</w:t>
            </w:r>
          </w:p>
        </w:tc>
      </w:tr>
    </w:tbl>
    <w:p>
      <w:pPr>
        <w:pStyle w:val="BodyText"/>
        <w:spacing w:line="240" w:lineRule="auto" w:before="51"/>
        <w:ind w:left="154" w:right="889"/>
        <w:jc w:val="left"/>
      </w:pPr>
      <w:r>
        <w:rPr/>
        <w:t>其他说明</w:t>
      </w:r>
    </w:p>
    <w:p>
      <w:pPr>
        <w:pStyle w:val="BodyText"/>
        <w:spacing w:line="240" w:lineRule="auto" w:before="117"/>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89"/>
        <w:jc w:val="left"/>
        <w:rPr>
          <w:b w:val="0"/>
          <w:bCs w:val="0"/>
        </w:rPr>
      </w:pPr>
      <w:bookmarkStart w:name="（5）营业成本构成" w:id="29"/>
      <w:bookmarkEnd w:id="29"/>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8"/>
        <w:jc w:val="left"/>
      </w:pPr>
      <w:r>
        <w:rPr/>
        <w:t>公司需遵守《深圳证券交易所行业信息披露指引第</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上市公司从事装修装饰业务》的披露要求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7835" w:space="1084"/>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装饰施工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1,565,728,401.93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1,330,650,960.54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装饰设计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22,190,406.35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28,208,361.50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23,658,735.13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36,439,071.17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1,611,577,543.41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1,395,298,393.21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装饰施工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779,696,537.42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566,649,565.80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装饰设计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12,423,336.80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22,192,215.56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19,493,001.01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16,622,489.86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811,612,875.23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605,464,271.22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装饰施工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255,162,398.48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203,614,879.39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装饰设计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2,775,846.66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48,067,047.99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27,099,449.78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4,224,328.14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541.51%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285,037,694.92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255,906,255.52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889"/>
        <w:jc w:val="left"/>
      </w:pPr>
      <w:r>
        <w:rPr/>
        <w:t>行业分类</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1,611,577,543.41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1,395,298,393.21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15.50%</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811,612,875.23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605,464,271.22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34.05%</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6）报告期内合并范围是否发生变动" w:id="30"/>
      <w:bookmarkEnd w:id="30"/>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8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Heading5"/>
        <w:spacing w:line="240" w:lineRule="auto" w:before="101"/>
        <w:ind w:right="889"/>
        <w:jc w:val="left"/>
        <w:rPr>
          <w:b w:val="0"/>
          <w:bCs w:val="0"/>
        </w:rPr>
      </w:pPr>
      <w:r>
        <w:rPr>
          <w:rFonts w:ascii="宋体" w:hAnsi="宋体" w:cs="宋体" w:eastAsia="宋体" w:hint="default"/>
        </w:rPr>
        <w:t>1</w:t>
      </w:r>
      <w:r>
        <w:rPr/>
        <w:t>、因其他方式增加子公司的情况说明</w:t>
      </w:r>
      <w:r>
        <w:rPr>
          <w:b w:val="0"/>
          <w:bCs w:val="0"/>
        </w:rPr>
      </w:r>
    </w:p>
    <w:p>
      <w:pPr>
        <w:spacing w:line="240" w:lineRule="auto" w:before="0"/>
        <w:rPr>
          <w:rFonts w:ascii="宋体" w:hAnsi="宋体" w:cs="宋体" w:eastAsia="宋体" w:hint="default"/>
          <w:b/>
          <w:bCs/>
          <w:sz w:val="15"/>
          <w:szCs w:val="15"/>
        </w:rPr>
      </w:pPr>
    </w:p>
    <w:p>
      <w:pPr>
        <w:pStyle w:val="BodyText"/>
        <w:spacing w:line="240" w:lineRule="auto"/>
        <w:ind w:left="573" w:right="889"/>
        <w:jc w:val="left"/>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w:t>
      </w:r>
      <w:r>
        <w:rPr/>
        <w:t>日，本公司投资设立全资子公司深圳市中装城市建设发展有限公司（以下简称中装城市建设），注册资本</w:t>
      </w:r>
    </w:p>
    <w:p>
      <w:pPr>
        <w:pStyle w:val="BodyText"/>
        <w:spacing w:line="240" w:lineRule="auto" w:before="76"/>
        <w:ind w:left="154" w:right="889"/>
        <w:jc w:val="left"/>
      </w:pPr>
      <w:r>
        <w:rPr>
          <w:rFonts w:ascii="宋体" w:hAnsi="宋体" w:cs="宋体" w:eastAsia="宋体" w:hint="default"/>
        </w:rPr>
        <w:t>10,000.00</w:t>
      </w:r>
      <w:r>
        <w:rPr/>
        <w:t>万元。因此中装城市建设自</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w:t>
      </w:r>
      <w:r>
        <w:rPr/>
        <w:t>日开始纳入合并范围。</w:t>
      </w:r>
    </w:p>
    <w:p>
      <w:pPr>
        <w:spacing w:line="240" w:lineRule="auto" w:before="0"/>
        <w:rPr>
          <w:rFonts w:ascii="宋体" w:hAnsi="宋体" w:cs="宋体" w:eastAsia="宋体" w:hint="default"/>
          <w:sz w:val="15"/>
          <w:szCs w:val="15"/>
        </w:rPr>
      </w:pPr>
    </w:p>
    <w:p>
      <w:pPr>
        <w:pStyle w:val="BodyText"/>
        <w:spacing w:line="240" w:lineRule="auto"/>
        <w:ind w:left="573" w:right="889"/>
        <w:jc w:val="left"/>
      </w:pPr>
      <w:r>
        <w:rPr>
          <w:rFonts w:ascii="宋体" w:hAnsi="宋体" w:cs="宋体" w:eastAsia="宋体" w:hint="default"/>
          <w:spacing w:val="5"/>
        </w:rPr>
        <w:t>2017</w:t>
      </w:r>
      <w:r>
        <w:rPr>
          <w:spacing w:val="5"/>
        </w:rPr>
        <w:t>年</w:t>
      </w:r>
      <w:r>
        <w:rPr>
          <w:rFonts w:ascii="宋体" w:hAnsi="宋体" w:cs="宋体" w:eastAsia="宋体" w:hint="default"/>
          <w:spacing w:val="5"/>
        </w:rPr>
        <w:t>7</w:t>
      </w:r>
      <w:r>
        <w:rPr>
          <w:spacing w:val="5"/>
        </w:rPr>
        <w:t>月</w:t>
      </w:r>
      <w:r>
        <w:rPr>
          <w:rFonts w:ascii="宋体" w:hAnsi="宋体" w:cs="宋体" w:eastAsia="宋体" w:hint="default"/>
          <w:spacing w:val="5"/>
        </w:rPr>
        <w:t>20</w:t>
      </w:r>
      <w:r>
        <w:rPr>
          <w:spacing w:val="5"/>
        </w:rPr>
        <w:t>日，本公司投资设立控股子公司深圳市中装新能源科技有限公司（以下简称中装新能源），注册资本</w:t>
      </w:r>
    </w:p>
    <w:p>
      <w:pPr>
        <w:pStyle w:val="BodyText"/>
        <w:spacing w:line="240" w:lineRule="auto" w:before="76"/>
        <w:ind w:right="889"/>
        <w:jc w:val="left"/>
      </w:pPr>
      <w:r>
        <w:rPr>
          <w:rFonts w:ascii="宋体" w:hAnsi="宋体" w:cs="宋体" w:eastAsia="宋体" w:hint="default"/>
        </w:rPr>
        <w:t>1,000.00</w:t>
      </w:r>
      <w:r>
        <w:rPr/>
        <w:t>万元，出资</w:t>
      </w:r>
      <w:r>
        <w:rPr>
          <w:rFonts w:ascii="宋体" w:hAnsi="宋体" w:cs="宋体" w:eastAsia="宋体" w:hint="default"/>
        </w:rPr>
        <w:t>600</w:t>
      </w:r>
      <w:r>
        <w:rPr/>
        <w:t>万元，持股</w:t>
      </w:r>
      <w:r>
        <w:rPr>
          <w:rFonts w:ascii="宋体" w:hAnsi="宋体" w:cs="宋体" w:eastAsia="宋体" w:hint="default"/>
        </w:rPr>
        <w:t>60.00%</w:t>
      </w:r>
      <w:r>
        <w:rPr/>
        <w:t>。因此中装新能源自</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20</w:t>
      </w:r>
      <w:r>
        <w:rPr/>
        <w:t>日开始纳入合并范围。</w:t>
      </w:r>
    </w:p>
    <w:p>
      <w:pPr>
        <w:spacing w:line="430" w:lineRule="atLeast" w:before="2"/>
        <w:ind w:left="514" w:right="1122" w:firstLine="6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、因其他方式减少子公司的情况说明</w:t>
      </w:r>
      <w:r>
        <w:rPr>
          <w:rFonts w:ascii="宋体" w:hAnsi="宋体" w:cs="宋体" w:eastAsia="宋体" w:hint="default"/>
          <w:b/>
          <w:bCs/>
          <w:w w:val="99"/>
          <w:sz w:val="18"/>
          <w:szCs w:val="18"/>
        </w:rPr>
        <w:t> </w:t>
      </w:r>
      <w:r>
        <w:rPr>
          <w:rFonts w:ascii="宋体" w:hAnsi="宋体" w:cs="宋体" w:eastAsia="宋体" w:hint="default"/>
          <w:sz w:val="18"/>
          <w:szCs w:val="18"/>
        </w:rPr>
        <w:t>公司于</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日经第二届董事会第十一次会议审议通过《关于注销控股子公司深圳市中装光伏建筑科技有限公司</w:t>
      </w:r>
    </w:p>
    <w:p>
      <w:pPr>
        <w:pStyle w:val="BodyText"/>
        <w:spacing w:line="316" w:lineRule="auto" w:before="76"/>
        <w:ind w:right="889"/>
        <w:jc w:val="left"/>
      </w:pPr>
      <w:r>
        <w:rPr>
          <w:spacing w:val="-2"/>
        </w:rPr>
        <w:t>的议案》，同意注销中装光伏，并授权中装光伏经营管理层负责办理清算、注销事宜。截至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日，中装光伏已经</w:t>
      </w:r>
      <w:r>
        <w:rPr>
          <w:spacing w:val="-60"/>
        </w:rPr>
        <w:t> </w:t>
      </w:r>
      <w:r>
        <w:rPr>
          <w:spacing w:val="-60"/>
        </w:rPr>
      </w:r>
      <w:r>
        <w:rPr>
          <w:spacing w:val="-4"/>
        </w:rPr>
        <w:t>完成了清算并办理完成了税务注销、银行注销手续，但工商注销手续仍在办理过程中，考虑到除工商注销手续外，其他清算、</w:t>
      </w:r>
      <w:r>
        <w:rPr>
          <w:spacing w:val="-46"/>
        </w:rPr>
        <w:t> </w:t>
      </w:r>
      <w:r>
        <w:rPr>
          <w:spacing w:val="-46"/>
        </w:rPr>
      </w:r>
      <w:r>
        <w:rPr>
          <w:spacing w:val="-4"/>
        </w:rPr>
        <w:t>注销程序已完成，且该工商注销程序正在有序进行中且公司管理层不会终止该流程，因此本报告期视同该子公司已注销处理，</w:t>
      </w:r>
      <w:r>
        <w:rPr>
          <w:spacing w:val="-44"/>
        </w:rPr>
        <w:t> </w:t>
      </w:r>
      <w:r>
        <w:rPr>
          <w:spacing w:val="-44"/>
        </w:rPr>
      </w:r>
      <w:r>
        <w:rPr/>
        <w:t>不再纳入合并范围。</w:t>
      </w:r>
    </w:p>
    <w:p>
      <w:pPr>
        <w:spacing w:line="240" w:lineRule="auto" w:before="7"/>
        <w:rPr>
          <w:rFonts w:ascii="宋体" w:hAnsi="宋体" w:cs="宋体" w:eastAsia="宋体" w:hint="default"/>
          <w:sz w:val="22"/>
          <w:szCs w:val="22"/>
        </w:rPr>
      </w:pPr>
    </w:p>
    <w:p>
      <w:pPr>
        <w:pStyle w:val="Heading3"/>
        <w:spacing w:line="240" w:lineRule="auto"/>
        <w:ind w:right="889"/>
        <w:jc w:val="left"/>
        <w:rPr>
          <w:b w:val="0"/>
          <w:bCs w:val="0"/>
        </w:rPr>
      </w:pPr>
      <w:bookmarkStart w:name="（7）公司报告期内业务、产品或服务发生重大变化或调整有关情况" w:id="31"/>
      <w:bookmarkEnd w:id="31"/>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89"/>
        <w:jc w:val="left"/>
        <w:rPr>
          <w:b w:val="0"/>
          <w:bCs w:val="0"/>
        </w:rPr>
      </w:pPr>
      <w:bookmarkStart w:name="（8）主要销售客户和主要供应商情况" w:id="32"/>
      <w:bookmarkEnd w:id="32"/>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396"/>
        <w:gridCol w:w="5173"/>
      </w:tblGrid>
      <w:tr>
        <w:trPr>
          <w:trHeight w:val="403"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248,012,343.05</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7.82%</w:t>
            </w:r>
          </w:p>
        </w:tc>
      </w:tr>
      <w:tr>
        <w:trPr>
          <w:trHeight w:val="403"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889"/>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59,106,638.01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55,852,912.07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47,115,305.69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43,963,272.49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41,974,214.79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248,012,343.05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7.82%</w:t>
            </w:r>
          </w:p>
        </w:tc>
      </w:tr>
    </w:tbl>
    <w:p>
      <w:pPr>
        <w:pStyle w:val="BodyText"/>
        <w:spacing w:line="240" w:lineRule="auto" w:before="51"/>
        <w:ind w:left="154" w:right="889"/>
        <w:jc w:val="left"/>
      </w:pPr>
      <w:r>
        <w:rPr/>
        <w:t>主要客户其他情况说明</w:t>
      </w:r>
    </w:p>
    <w:p>
      <w:pPr>
        <w:pStyle w:val="BodyText"/>
        <w:spacing w:line="338" w:lineRule="auto" w:before="116"/>
        <w:ind w:left="513" w:right="889"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公司前五名客户与公司不存在关联关系，公司董事、监事、高级管理人员、核心技术人员、持股</w:t>
      </w:r>
      <w:r>
        <w:rPr>
          <w:rFonts w:ascii="宋体" w:hAnsi="宋体" w:cs="宋体" w:eastAsia="宋体" w:hint="default"/>
          <w:spacing w:val="-2"/>
        </w:rPr>
        <w:t>5%</w:t>
      </w:r>
      <w:r>
        <w:rPr>
          <w:spacing w:val="-2"/>
        </w:rPr>
        <w:t>以上股东、实际控制</w:t>
      </w:r>
    </w:p>
    <w:p>
      <w:pPr>
        <w:pStyle w:val="BodyText"/>
        <w:spacing w:line="676" w:lineRule="auto" w:before="2"/>
        <w:ind w:left="154" w:right="6072"/>
        <w:jc w:val="left"/>
      </w:pPr>
      <w:r>
        <w:rPr/>
        <w:pict>
          <v:shape style="position:absolute;margin-left:56.459999pt;margin-top:50.351711pt;width:479.2pt;height:60.8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78"/>
                    <w:gridCol w:w="4890"/>
                  </w:tblGrid>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603,051,539.88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23.82%</w:t>
                        </w:r>
                      </w:p>
                    </w:tc>
                  </w:tr>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t>人和其他关联方在主要客户中未直接或者间接拥有权益等。 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44"/>
        <w:ind w:left="154" w:right="889"/>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161,581,612.00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134,438,975.79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128,873,624.80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94,249,083.14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83,908,244.15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603,051,539.88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23.82%</w:t>
            </w:r>
          </w:p>
        </w:tc>
      </w:tr>
    </w:tbl>
    <w:p>
      <w:pPr>
        <w:pStyle w:val="BodyText"/>
        <w:spacing w:line="240" w:lineRule="auto" w:before="51"/>
        <w:ind w:left="154" w:right="889"/>
        <w:jc w:val="left"/>
      </w:pPr>
      <w:r>
        <w:rPr/>
        <w:t>主要供应商其他情况说明</w:t>
      </w:r>
    </w:p>
    <w:p>
      <w:pPr>
        <w:pStyle w:val="BodyText"/>
        <w:spacing w:line="338" w:lineRule="auto" w:before="116"/>
        <w:ind w:left="513" w:right="889"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公司与前五大供应商之间不存在关联关系，公司董事、监事、高级管理人员、核心技术人员、持股</w:t>
      </w:r>
      <w:r>
        <w:rPr>
          <w:rFonts w:ascii="宋体" w:hAnsi="宋体" w:cs="宋体" w:eastAsia="宋体" w:hint="default"/>
          <w:spacing w:val="-2"/>
        </w:rPr>
        <w:t>5%</w:t>
      </w:r>
      <w:r>
        <w:rPr>
          <w:spacing w:val="-2"/>
        </w:rPr>
        <w:t>以上股东、实际控</w:t>
      </w:r>
    </w:p>
    <w:p>
      <w:pPr>
        <w:pStyle w:val="BodyText"/>
        <w:spacing w:line="240" w:lineRule="auto" w:before="2"/>
        <w:ind w:right="889"/>
        <w:jc w:val="left"/>
      </w:pPr>
      <w:r>
        <w:rPr/>
        <w:t>制人和其他关联方没有在其他供应商中直接或间接拥有权益。</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89"/>
        <w:jc w:val="left"/>
        <w:rPr>
          <w:b w:val="0"/>
          <w:bCs w:val="0"/>
        </w:rPr>
      </w:pPr>
      <w:bookmarkStart w:name="3、费用" w:id="33"/>
      <w:bookmarkEnd w:id="33"/>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32,510,823.64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26,290,561.41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23.66%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主要系工资薪酬上升及区域销售中 心建设支出增加所致。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96,656,731.39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78,661,018.17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22.88%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主要系工资薪酬上升及区域销售中 心建设支出增加所致。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43,168,798.91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29,833,254.28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44.70%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主要系同比借款增加，导致利息成本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支出增加所致。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4、研发投入" w:id="34"/>
      <w:bookmarkEnd w:id="34"/>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rPr>
        <w:t>2017</w:t>
      </w:r>
      <w:r>
        <w:rPr/>
        <w:t>年度公司研发支出总额为</w:t>
      </w:r>
      <w:r>
        <w:rPr>
          <w:rFonts w:ascii="宋体" w:hAnsi="宋体" w:cs="宋体" w:eastAsia="宋体" w:hint="default"/>
        </w:rPr>
        <w:t>12,013.12</w:t>
      </w:r>
      <w:r>
        <w:rPr/>
        <w:t>万元，占公司最近一期经审计的归属于母公司所有者净资产的</w:t>
      </w:r>
      <w:r>
        <w:rPr>
          <w:rFonts w:ascii="宋体" w:hAnsi="宋体" w:cs="宋体" w:eastAsia="宋体" w:hint="default"/>
        </w:rPr>
        <w:t>5.90 %</w:t>
      </w:r>
      <w:r>
        <w:rPr/>
        <w:t>，占合并</w:t>
      </w:r>
    </w:p>
    <w:p>
      <w:pPr>
        <w:pStyle w:val="BodyText"/>
        <w:spacing w:line="360" w:lineRule="auto" w:before="2"/>
        <w:ind w:left="154" w:right="9222"/>
        <w:jc w:val="left"/>
      </w:pPr>
      <w:r>
        <w:rPr/>
        <w:t>营业收入的</w:t>
      </w:r>
      <w:r>
        <w:rPr>
          <w:rFonts w:ascii="宋体" w:hAnsi="宋体" w:cs="宋体" w:eastAsia="宋体" w:hint="default"/>
        </w:rPr>
        <w:t>3.79%</w:t>
      </w:r>
      <w:r>
        <w:rPr/>
        <w:t>。 公司研发投入情况</w:t>
      </w: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120,131,170.00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103,981,600.00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7"/>
        <w:ind w:left="154" w:right="889"/>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89"/>
        <w:jc w:val="left"/>
        <w:rPr>
          <w:b w:val="0"/>
          <w:bCs w:val="0"/>
        </w:rPr>
      </w:pPr>
      <w:bookmarkStart w:name="5、现金流" w:id="35"/>
      <w:bookmarkEnd w:id="35"/>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29"/>
        <w:gridCol w:w="2244"/>
        <w:gridCol w:w="2392"/>
        <w:gridCol w:w="2392"/>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2,789,770,070.31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2,381,862,764.81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17.13%</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2,968,068,642.73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2,493,742,332.49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19.02%</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-178,298,572.42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-111,879,567.68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-59.37%</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581,497,406.13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1,523,467.00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38,069.35%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41"/>
        <w:gridCol w:w="2244"/>
        <w:gridCol w:w="2392"/>
        <w:gridCol w:w="2392"/>
      </w:tblGrid>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697,575,711.08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8,163,434.26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8,445.13%</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-116,078,304.95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-6,639,967.26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-1,648.18%</w:t>
            </w:r>
            <w:r>
              <w:rPr>
                <w:rFonts w:ascii="Times New Roman"/>
                <w:sz w:val="18"/>
              </w:rPr>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2,011,379,738.62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-15.98%</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1,407,454,245.78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1,155,565,883.08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21.80%</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282,545,754.22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855,813,855.54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-66.99%</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-11,831,123.29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737,246,462.60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-101.60%</w:t>
            </w:r>
            <w:r>
              <w:rPr>
                <w:rFonts w:ascii="Times New Roman"/>
                <w:sz w:val="18"/>
              </w:rPr>
            </w:r>
          </w:p>
        </w:tc>
      </w:tr>
    </w:tbl>
    <w:p>
      <w:pPr>
        <w:pStyle w:val="BodyText"/>
        <w:spacing w:line="240" w:lineRule="auto" w:before="51"/>
        <w:ind w:left="154" w:right="889"/>
        <w:jc w:val="left"/>
      </w:pPr>
      <w:r>
        <w:rPr/>
        <w:t>相关数据同比发生重大变动的主要影响因素说明</w:t>
      </w:r>
    </w:p>
    <w:p>
      <w:pPr>
        <w:pStyle w:val="BodyText"/>
        <w:spacing w:line="240" w:lineRule="auto" w:before="117"/>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889"/>
        <w:jc w:val="left"/>
      </w:pPr>
      <w:r>
        <w:rPr/>
        <w:t>（</w:t>
      </w:r>
      <w:r>
        <w:rPr>
          <w:rFonts w:ascii="宋体" w:hAnsi="宋体" w:cs="宋体" w:eastAsia="宋体" w:hint="default"/>
        </w:rPr>
        <w:t>1</w:t>
      </w:r>
      <w:r>
        <w:rPr/>
        <w:t>）经营活动产生的现金流量净额同比减少</w:t>
      </w:r>
      <w:r>
        <w:rPr>
          <w:rFonts w:ascii="宋体" w:hAnsi="宋体" w:cs="宋体" w:eastAsia="宋体" w:hint="default"/>
        </w:rPr>
        <w:t>59.37%</w:t>
      </w:r>
      <w:r>
        <w:rPr/>
        <w:t>，主要系业主或甲方延长付款周期所致；</w:t>
      </w:r>
    </w:p>
    <w:p>
      <w:pPr>
        <w:pStyle w:val="BodyText"/>
        <w:spacing w:line="240" w:lineRule="auto" w:before="76"/>
        <w:ind w:right="889"/>
        <w:jc w:val="left"/>
      </w:pPr>
      <w:r>
        <w:rPr/>
        <w:t>（</w:t>
      </w:r>
      <w:r>
        <w:rPr>
          <w:rFonts w:ascii="宋体" w:hAnsi="宋体" w:cs="宋体" w:eastAsia="宋体" w:hint="default"/>
        </w:rPr>
        <w:t>2</w:t>
      </w:r>
      <w:r>
        <w:rPr/>
        <w:t>）投资活动产生的现金流量净额同比减少</w:t>
      </w:r>
      <w:r>
        <w:rPr>
          <w:rFonts w:ascii="宋体" w:hAnsi="宋体" w:cs="宋体" w:eastAsia="宋体" w:hint="default"/>
        </w:rPr>
        <w:t>1,648.18%</w:t>
      </w:r>
      <w:r>
        <w:rPr/>
        <w:t>，主要系本期购置股权、房产等投资活动导致净流出增加；</w:t>
      </w:r>
    </w:p>
    <w:p>
      <w:pPr>
        <w:pStyle w:val="BodyText"/>
        <w:spacing w:line="316" w:lineRule="auto" w:before="76"/>
        <w:ind w:left="154" w:right="1122"/>
        <w:jc w:val="left"/>
      </w:pPr>
      <w:r>
        <w:rPr/>
        <w:t>（</w:t>
      </w:r>
      <w:r>
        <w:rPr>
          <w:rFonts w:ascii="宋体" w:hAnsi="宋体" w:cs="宋体" w:eastAsia="宋体" w:hint="default"/>
        </w:rPr>
        <w:t>3</w:t>
      </w:r>
      <w:r>
        <w:rPr/>
        <w:t>）筹资活动产生的现金流量净额同比减少</w:t>
      </w:r>
      <w:r>
        <w:rPr>
          <w:rFonts w:ascii="宋体" w:hAnsi="宋体" w:cs="宋体" w:eastAsia="宋体" w:hint="default"/>
        </w:rPr>
        <w:t>66.99%</w:t>
      </w:r>
      <w:r>
        <w:rPr/>
        <w:t>，主要系上期存在大额股权融资净流入，本期筹资活动主要为银行短期 借款；</w:t>
      </w:r>
    </w:p>
    <w:p>
      <w:pPr>
        <w:pStyle w:val="BodyText"/>
        <w:spacing w:line="316" w:lineRule="auto" w:before="19"/>
        <w:ind w:right="889"/>
        <w:jc w:val="left"/>
      </w:pPr>
      <w:r>
        <w:rPr>
          <w:spacing w:val="-2"/>
        </w:rPr>
        <w:t>（</w:t>
      </w:r>
      <w:r>
        <w:rPr>
          <w:rFonts w:ascii="宋体" w:hAnsi="宋体" w:cs="宋体" w:eastAsia="宋体" w:hint="default"/>
          <w:spacing w:val="-2"/>
        </w:rPr>
        <w:t>4</w:t>
      </w:r>
      <w:r>
        <w:rPr>
          <w:spacing w:val="-2"/>
        </w:rPr>
        <w:t>）现金及现金等价物净增加额同比减少</w:t>
      </w:r>
      <w:r>
        <w:rPr>
          <w:rFonts w:ascii="宋体" w:hAnsi="宋体" w:cs="宋体" w:eastAsia="宋体" w:hint="default"/>
          <w:spacing w:val="-2"/>
        </w:rPr>
        <w:t>101.60%</w:t>
      </w:r>
      <w:r>
        <w:rPr>
          <w:spacing w:val="-2"/>
        </w:rPr>
        <w:t>，主要系因为受到经营活动、投资活动和筹资活动产生的现金流量净额综</w:t>
      </w:r>
      <w:r>
        <w:rPr>
          <w:spacing w:val="-58"/>
        </w:rPr>
        <w:t> </w:t>
      </w:r>
      <w:r>
        <w:rPr>
          <w:spacing w:val="-58"/>
        </w:rPr>
      </w:r>
      <w:r>
        <w:rPr/>
        <w:t>合影响所致。</w:t>
      </w:r>
    </w:p>
    <w:p>
      <w:pPr>
        <w:pStyle w:val="BodyText"/>
        <w:spacing w:line="240" w:lineRule="auto" w:before="59"/>
        <w:ind w:right="889"/>
        <w:jc w:val="left"/>
      </w:pPr>
      <w:r>
        <w:rPr/>
        <w:t>报告期内公司经营活动产生的现金净流量与本年度净利润存在重大差异的原因说明</w:t>
      </w:r>
    </w:p>
    <w:p>
      <w:pPr>
        <w:pStyle w:val="BodyText"/>
        <w:spacing w:line="240" w:lineRule="auto" w:before="117"/>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89"/>
        <w:jc w:val="left"/>
        <w:rPr>
          <w:b w:val="0"/>
          <w:bCs w:val="0"/>
        </w:rPr>
      </w:pPr>
      <w:bookmarkStart w:name="三、非主营业务分析" w:id="36"/>
      <w:bookmarkEnd w:id="36"/>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889"/>
        <w:jc w:val="left"/>
        <w:rPr>
          <w:b w:val="0"/>
          <w:bCs w:val="0"/>
        </w:rPr>
      </w:pPr>
      <w:bookmarkStart w:name="四、资产及负债状况分析" w:id="37"/>
      <w:bookmarkEnd w:id="37"/>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89"/>
        <w:jc w:val="left"/>
        <w:rPr>
          <w:b w:val="0"/>
          <w:bCs w:val="0"/>
        </w:rPr>
      </w:pPr>
      <w:bookmarkStart w:name="1、资产构成重大变动情况" w:id="38"/>
      <w:bookmarkEnd w:id="38"/>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418"/>
        <w:gridCol w:w="901"/>
        <w:gridCol w:w="1367"/>
        <w:gridCol w:w="892"/>
        <w:gridCol w:w="798"/>
        <w:gridCol w:w="2918"/>
      </w:tblGrid>
      <w:tr>
        <w:trPr>
          <w:trHeight w:val="384"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1,280,185,824.46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1,292,095,824.40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2,338,030,745.71</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56.61%</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1,753,029,741.39</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52.06%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4.55%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主要系收入增加、甲方回款周期延长</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r>
        <w:trPr>
          <w:trHeight w:val="39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123,982,177.00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76,584,304.52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8" w:type="dxa"/>
            <w:tcBorders>
              <w:top w:val="single" w:sz="4" w:space="0" w:color="000000"/>
              <w:left w:val="single" w:sz="13" w:space="0" w:color="D2D2D2"/>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50,377,882.17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主要系本期新购置股权投资所致。</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160,635,723.88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125,579,699.24</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761,233.92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970,000,000.00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669,000,000.00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主要系本期新增短期借款所致。</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主要系本期新增长期借款所致。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89"/>
        <w:jc w:val="left"/>
        <w:rPr>
          <w:b w:val="0"/>
          <w:bCs w:val="0"/>
        </w:rPr>
      </w:pPr>
      <w:bookmarkStart w:name="2、以公允价值计量的资产和负债" w:id="39"/>
      <w:bookmarkEnd w:id="39"/>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89"/>
        <w:jc w:val="left"/>
        <w:rPr>
          <w:b w:val="0"/>
          <w:bCs w:val="0"/>
        </w:rPr>
      </w:pPr>
      <w:bookmarkStart w:name="3、截至报告期末的资产权利受限情况" w:id="40"/>
      <w:bookmarkEnd w:id="40"/>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23" w:right="889"/>
        <w:jc w:val="left"/>
      </w:pPr>
      <w:r>
        <w:rPr/>
        <w:t>（</w:t>
      </w:r>
      <w:r>
        <w:rPr>
          <w:rFonts w:ascii="宋体" w:hAnsi="宋体" w:cs="宋体" w:eastAsia="宋体" w:hint="default"/>
        </w:rPr>
        <w:t>1</w:t>
      </w:r>
      <w:r>
        <w:rPr/>
        <w:t>）明细情况</w:t>
      </w:r>
    </w:p>
    <w:p>
      <w:pPr>
        <w:spacing w:line="240" w:lineRule="auto" w:before="3"/>
        <w:rPr>
          <w:rFonts w:ascii="宋体" w:hAnsi="宋体" w:cs="宋体" w:eastAsia="宋体" w:hint="default"/>
          <w:sz w:val="14"/>
          <w:szCs w:val="14"/>
        </w:rPr>
      </w:pPr>
    </w:p>
    <w:tbl>
      <w:tblPr>
        <w:tblW w:w="0" w:type="auto"/>
        <w:jc w:val="left"/>
        <w:tblInd w:w="153" w:type="dxa"/>
        <w:tblLayout w:type="fixed"/>
        <w:tblCellMar>
          <w:top w:w="0" w:type="dxa"/>
          <w:left w:w="0" w:type="dxa"/>
          <w:bottom w:w="0" w:type="dxa"/>
          <w:right w:w="0" w:type="dxa"/>
        </w:tblCellMar>
        <w:tblLook w:val="01E0"/>
      </w:tblPr>
      <w:tblGrid>
        <w:gridCol w:w="2752"/>
        <w:gridCol w:w="3219"/>
        <w:gridCol w:w="2825"/>
      </w:tblGrid>
      <w:tr>
        <w:trPr>
          <w:trHeight w:val="347" w:hRule="exact"/>
        </w:trPr>
        <w:tc>
          <w:tcPr>
            <w:tcW w:w="275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7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1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104"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282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06"/>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47" w:hRule="exact"/>
        </w:trPr>
        <w:tc>
          <w:tcPr>
            <w:tcW w:w="275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19"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13"/>
              <w:jc w:val="right"/>
              <w:rPr>
                <w:rFonts w:ascii="Times New Roman" w:hAnsi="Times New Roman" w:cs="Times New Roman" w:eastAsia="Times New Roman" w:hint="default"/>
                <w:sz w:val="18"/>
                <w:szCs w:val="18"/>
              </w:rPr>
            </w:pPr>
            <w:r>
              <w:rPr>
                <w:rFonts w:ascii="Times New Roman"/>
                <w:spacing w:val="-1"/>
                <w:sz w:val="18"/>
              </w:rPr>
              <w:t>25,814,769.95</w:t>
            </w:r>
          </w:p>
        </w:tc>
        <w:tc>
          <w:tcPr>
            <w:tcW w:w="282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保证金</w:t>
            </w:r>
          </w:p>
        </w:tc>
      </w:tr>
      <w:tr>
        <w:trPr>
          <w:trHeight w:val="348" w:hRule="exact"/>
        </w:trPr>
        <w:tc>
          <w:tcPr>
            <w:tcW w:w="275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19"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113"/>
              <w:jc w:val="right"/>
              <w:rPr>
                <w:rFonts w:ascii="Times New Roman" w:hAnsi="Times New Roman" w:cs="Times New Roman" w:eastAsia="Times New Roman" w:hint="default"/>
                <w:sz w:val="18"/>
                <w:szCs w:val="18"/>
              </w:rPr>
            </w:pPr>
            <w:r>
              <w:rPr>
                <w:rFonts w:ascii="Times New Roman"/>
                <w:sz w:val="18"/>
              </w:rPr>
              <w:t>879,000.00</w:t>
            </w:r>
          </w:p>
        </w:tc>
        <w:tc>
          <w:tcPr>
            <w:tcW w:w="282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9"/>
              <w:jc w:val="right"/>
              <w:rPr>
                <w:rFonts w:ascii="宋体" w:hAnsi="宋体" w:cs="宋体" w:eastAsia="宋体" w:hint="default"/>
                <w:sz w:val="18"/>
                <w:szCs w:val="18"/>
              </w:rPr>
            </w:pPr>
            <w:r>
              <w:rPr>
                <w:rFonts w:ascii="宋体" w:hAnsi="宋体" w:cs="宋体" w:eastAsia="宋体" w:hint="default"/>
                <w:sz w:val="18"/>
                <w:szCs w:val="18"/>
              </w:rPr>
              <w:t>已背书未终止确认的商业承兑汇票</w:t>
            </w:r>
          </w:p>
        </w:tc>
      </w:tr>
      <w:tr>
        <w:trPr>
          <w:trHeight w:val="270" w:hRule="exact"/>
        </w:trPr>
        <w:tc>
          <w:tcPr>
            <w:tcW w:w="2752"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219"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11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26,693,769.95</w:t>
            </w:r>
            <w:r>
              <w:rPr>
                <w:rFonts w:ascii="Times New Roman"/>
                <w:spacing w:val="-1"/>
                <w:sz w:val="18"/>
              </w:rPr>
            </w:r>
          </w:p>
        </w:tc>
        <w:tc>
          <w:tcPr>
            <w:tcW w:w="2825" w:type="dxa"/>
            <w:tcBorders>
              <w:top w:val="single" w:sz="6" w:space="0" w:color="000000"/>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8"/>
          <w:szCs w:val="8"/>
        </w:rPr>
      </w:pPr>
    </w:p>
    <w:p>
      <w:pPr>
        <w:pStyle w:val="BodyText"/>
        <w:spacing w:line="316" w:lineRule="auto" w:before="44"/>
        <w:ind w:left="154" w:right="889" w:firstLine="270"/>
        <w:jc w:val="left"/>
      </w:pPr>
      <w:r>
        <w:rPr>
          <w:spacing w:val="-2"/>
        </w:rPr>
        <w:t>（</w:t>
      </w:r>
      <w:r>
        <w:rPr>
          <w:rFonts w:ascii="宋体" w:hAnsi="宋体" w:cs="宋体" w:eastAsia="宋体" w:hint="default"/>
          <w:spacing w:val="-2"/>
        </w:rPr>
        <w:t>2</w:t>
      </w:r>
      <w:r>
        <w:rPr>
          <w:spacing w:val="-2"/>
        </w:rPr>
        <w:t>）期末，所有权受到限制的货币资金主要系因开具保函与银行承兑汇票而支付的保证金，应收票据主要系已背书未终</w:t>
      </w:r>
      <w:r>
        <w:rPr/>
        <w:t> 止确认的商业承兑汇票。</w:t>
      </w:r>
    </w:p>
    <w:p>
      <w:pPr>
        <w:spacing w:line="240" w:lineRule="auto" w:before="10"/>
        <w:rPr>
          <w:rFonts w:ascii="宋体" w:hAnsi="宋体" w:cs="宋体" w:eastAsia="宋体" w:hint="default"/>
          <w:sz w:val="20"/>
          <w:szCs w:val="20"/>
        </w:rPr>
      </w:pPr>
    </w:p>
    <w:p>
      <w:pPr>
        <w:pStyle w:val="Heading2"/>
        <w:spacing w:line="240" w:lineRule="auto"/>
        <w:ind w:left="154" w:right="889"/>
        <w:jc w:val="left"/>
        <w:rPr>
          <w:b w:val="0"/>
          <w:bCs w:val="0"/>
        </w:rPr>
      </w:pPr>
      <w:bookmarkStart w:name="五、投资状况分析" w:id="41"/>
      <w:bookmarkEnd w:id="41"/>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89"/>
        <w:jc w:val="left"/>
        <w:rPr>
          <w:b w:val="0"/>
          <w:bCs w:val="0"/>
        </w:rPr>
      </w:pPr>
      <w:bookmarkStart w:name="1、总体情况" w:id="42"/>
      <w:bookmarkEnd w:id="42"/>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103,889,998.48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报告期内获取的重大的股权投资情况" w:id="43"/>
      <w:bookmarkEnd w:id="43"/>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455"/>
        <w:gridCol w:w="538"/>
        <w:gridCol w:w="709"/>
        <w:gridCol w:w="566"/>
        <w:gridCol w:w="568"/>
        <w:gridCol w:w="992"/>
        <w:gridCol w:w="350"/>
        <w:gridCol w:w="502"/>
        <w:gridCol w:w="708"/>
        <w:gridCol w:w="426"/>
        <w:gridCol w:w="708"/>
        <w:gridCol w:w="566"/>
        <w:gridCol w:w="709"/>
        <w:gridCol w:w="924"/>
      </w:tblGrid>
      <w:tr>
        <w:trPr>
          <w:trHeight w:val="1649"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50" w:right="59" w:hanging="90"/>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1" w:right="41"/>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83" w:right="83"/>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0" w:right="78"/>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4" w:right="65"/>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7"/>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77" w:right="78"/>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6"/>
              <w:ind w:left="96"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165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深圳市赛 格物业管 理有限公 司</w:t>
            </w:r>
          </w:p>
        </w:tc>
        <w:tc>
          <w:tcPr>
            <w:tcW w:w="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物业 管理</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37,889,9</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98.48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自筹 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57"/>
              <w:jc w:val="both"/>
              <w:rPr>
                <w:rFonts w:ascii="宋体" w:hAnsi="宋体" w:cs="宋体" w:eastAsia="宋体" w:hint="default"/>
                <w:sz w:val="18"/>
                <w:szCs w:val="18"/>
              </w:rPr>
            </w:pPr>
            <w:r>
              <w:rPr>
                <w:rFonts w:ascii="宋体" w:hAnsi="宋体" w:cs="宋体" w:eastAsia="宋体" w:hint="default"/>
                <w:sz w:val="18"/>
                <w:szCs w:val="18"/>
              </w:rPr>
              <w:t>深圳市赛格 地产投资股 份有限公司</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长 期</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7"/>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已设立</w:t>
            </w: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2,564,91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6.80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详见巨潮 资讯网上 </w:t>
            </w:r>
            <w:r>
              <w:rPr>
                <w:rFonts w:ascii="宋体" w:hAnsi="宋体" w:cs="宋体" w:eastAsia="宋体" w:hint="default"/>
                <w:spacing w:val="-7"/>
                <w:sz w:val="18"/>
                <w:szCs w:val="18"/>
              </w:rPr>
              <w:t>公告（公告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w:t>
            </w:r>
          </w:p>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2017-039</w:t>
            </w:r>
            <w:r>
              <w:rPr>
                <w:rFonts w:ascii="宋体" w:hAnsi="宋体" w:cs="宋体" w:eastAsia="宋体" w:hint="default"/>
                <w:sz w:val="18"/>
                <w:szCs w:val="18"/>
              </w:rPr>
              <w:t>）</w:t>
            </w:r>
          </w:p>
        </w:tc>
      </w:tr>
      <w:tr>
        <w:trPr>
          <w:trHeight w:val="1923"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深圳市引 爆互联网 金融服务 有限公司</w:t>
            </w:r>
          </w:p>
        </w:tc>
        <w:tc>
          <w:tcPr>
            <w:tcW w:w="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金融 服务</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自筹 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7"/>
              <w:jc w:val="both"/>
              <w:rPr>
                <w:rFonts w:ascii="宋体" w:hAnsi="宋体" w:cs="宋体" w:eastAsia="宋体" w:hint="default"/>
                <w:sz w:val="18"/>
                <w:szCs w:val="18"/>
              </w:rPr>
            </w:pPr>
            <w:r>
              <w:rPr>
                <w:rFonts w:ascii="宋体" w:hAnsi="宋体" w:cs="宋体" w:eastAsia="宋体" w:hint="default"/>
                <w:sz w:val="18"/>
                <w:szCs w:val="18"/>
              </w:rPr>
              <w:t>前海金投天 诚（深圳） 投资管理企 业（有限合 伙）深圳市 前海金橙金</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长 期</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07"/>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已设立</w:t>
            </w: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-77,033.</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51"/>
        <w:gridCol w:w="455"/>
        <w:gridCol w:w="538"/>
        <w:gridCol w:w="709"/>
        <w:gridCol w:w="566"/>
        <w:gridCol w:w="568"/>
        <w:gridCol w:w="992"/>
        <w:gridCol w:w="350"/>
        <w:gridCol w:w="502"/>
        <w:gridCol w:w="708"/>
        <w:gridCol w:w="426"/>
        <w:gridCol w:w="708"/>
        <w:gridCol w:w="566"/>
        <w:gridCol w:w="709"/>
        <w:gridCol w:w="924"/>
      </w:tblGrid>
      <w:tr>
        <w:trPr>
          <w:trHeight w:val="674"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45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7"/>
              <w:jc w:val="left"/>
              <w:rPr>
                <w:rFonts w:ascii="宋体" w:hAnsi="宋体" w:cs="宋体" w:eastAsia="宋体" w:hint="default"/>
                <w:sz w:val="18"/>
                <w:szCs w:val="18"/>
              </w:rPr>
            </w:pPr>
            <w:r>
              <w:rPr>
                <w:rFonts w:ascii="宋体" w:hAnsi="宋体" w:cs="宋体" w:eastAsia="宋体" w:hint="default"/>
                <w:sz w:val="18"/>
                <w:szCs w:val="18"/>
              </w:rPr>
              <w:t>融信息服务 有限公司</w:t>
            </w:r>
          </w:p>
        </w:tc>
        <w:tc>
          <w:tcPr>
            <w:tcW w:w="3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深圳市中 装园林建 筑工程有 限公司</w:t>
            </w:r>
          </w:p>
        </w:tc>
        <w:tc>
          <w:tcPr>
            <w:tcW w:w="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建筑 施工</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增资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自筹 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长 期</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7"/>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10"/>
              <w:jc w:val="center"/>
              <w:rPr>
                <w:rFonts w:ascii="宋体" w:hAnsi="宋体" w:cs="宋体" w:eastAsia="宋体" w:hint="default"/>
                <w:sz w:val="18"/>
                <w:szCs w:val="18"/>
              </w:rPr>
            </w:pPr>
            <w:r>
              <w:rPr>
                <w:rFonts w:ascii="宋体" w:hAnsi="宋体" w:cs="宋体" w:eastAsia="宋体" w:hint="default"/>
                <w:sz w:val="18"/>
                <w:szCs w:val="18"/>
              </w:rPr>
              <w:t>已设立</w:t>
            </w: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5,406,56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0.83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详见巨潮 资讯网上 </w:t>
            </w:r>
            <w:r>
              <w:rPr>
                <w:rFonts w:ascii="宋体" w:hAnsi="宋体" w:cs="宋体" w:eastAsia="宋体" w:hint="default"/>
                <w:spacing w:val="-7"/>
                <w:sz w:val="18"/>
                <w:szCs w:val="18"/>
              </w:rPr>
              <w:t>公告（公告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w:t>
            </w:r>
          </w:p>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2017-042</w:t>
            </w:r>
            <w:r>
              <w:rPr>
                <w:rFonts w:ascii="宋体" w:hAnsi="宋体" w:cs="宋体" w:eastAsia="宋体" w:hint="default"/>
                <w:sz w:val="18"/>
                <w:szCs w:val="18"/>
              </w:rPr>
              <w:t>）</w:t>
            </w:r>
          </w:p>
        </w:tc>
      </w:tr>
      <w:tr>
        <w:trPr>
          <w:trHeight w:val="196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6"/>
              <w:jc w:val="both"/>
              <w:rPr>
                <w:rFonts w:ascii="宋体" w:hAnsi="宋体" w:cs="宋体" w:eastAsia="宋体" w:hint="default"/>
                <w:sz w:val="18"/>
                <w:szCs w:val="18"/>
              </w:rPr>
            </w:pPr>
            <w:r>
              <w:rPr>
                <w:rFonts w:ascii="宋体" w:hAnsi="宋体" w:cs="宋体" w:eastAsia="宋体" w:hint="default"/>
                <w:sz w:val="18"/>
                <w:szCs w:val="18"/>
              </w:rPr>
              <w:t>深圳市中 装新能源 科技有限 公司</w:t>
            </w:r>
          </w:p>
        </w:tc>
        <w:tc>
          <w:tcPr>
            <w:tcW w:w="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0"/>
              <w:jc w:val="both"/>
              <w:rPr>
                <w:rFonts w:ascii="宋体" w:hAnsi="宋体" w:cs="宋体" w:eastAsia="宋体" w:hint="default"/>
                <w:sz w:val="18"/>
                <w:szCs w:val="18"/>
              </w:rPr>
            </w:pPr>
            <w:r>
              <w:rPr>
                <w:rFonts w:ascii="宋体" w:hAnsi="宋体" w:cs="宋体" w:eastAsia="宋体" w:hint="default"/>
                <w:sz w:val="18"/>
                <w:szCs w:val="18"/>
              </w:rPr>
              <w:t>新能 源技 术服 务</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43"/>
              <w:jc w:val="right"/>
              <w:rPr>
                <w:rFonts w:ascii="宋体" w:hAnsi="宋体" w:cs="宋体" w:eastAsia="宋体" w:hint="default"/>
                <w:sz w:val="18"/>
                <w:szCs w:val="18"/>
              </w:rPr>
            </w:pPr>
            <w:r>
              <w:rPr>
                <w:rFonts w:ascii="宋体" w:hAnsi="宋体" w:cs="宋体" w:eastAsia="宋体" w:hint="default"/>
                <w:sz w:val="18"/>
                <w:szCs w:val="18"/>
              </w:rPr>
              <w:t>新设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自筹 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7"/>
              <w:jc w:val="both"/>
              <w:rPr>
                <w:rFonts w:ascii="宋体" w:hAnsi="宋体" w:cs="宋体" w:eastAsia="宋体" w:hint="default"/>
                <w:sz w:val="18"/>
                <w:szCs w:val="18"/>
              </w:rPr>
            </w:pPr>
            <w:r>
              <w:rPr>
                <w:rFonts w:ascii="宋体" w:hAnsi="宋体" w:cs="宋体" w:eastAsia="宋体" w:hint="default"/>
                <w:sz w:val="18"/>
                <w:szCs w:val="18"/>
              </w:rPr>
              <w:t>江苏德源实 业投资有限 公司深圳市 米琳金诺投 资发展有限 公司</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长 期</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7"/>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10"/>
              <w:jc w:val="center"/>
              <w:rPr>
                <w:rFonts w:ascii="宋体" w:hAnsi="宋体" w:cs="宋体" w:eastAsia="宋体" w:hint="default"/>
                <w:sz w:val="18"/>
                <w:szCs w:val="18"/>
              </w:rPr>
            </w:pPr>
            <w:r>
              <w:rPr>
                <w:rFonts w:ascii="宋体" w:hAnsi="宋体" w:cs="宋体" w:eastAsia="宋体" w:hint="default"/>
                <w:sz w:val="18"/>
                <w:szCs w:val="18"/>
              </w:rPr>
              <w:t>已设立</w:t>
            </w: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-517,301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详见巨潮 资讯网上 </w:t>
            </w:r>
            <w:r>
              <w:rPr>
                <w:rFonts w:ascii="宋体" w:hAnsi="宋体" w:cs="宋体" w:eastAsia="宋体" w:hint="default"/>
                <w:spacing w:val="-7"/>
                <w:sz w:val="18"/>
                <w:szCs w:val="18"/>
              </w:rPr>
              <w:t>公告（公告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w:t>
            </w:r>
          </w:p>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2017-045</w:t>
            </w:r>
            <w:r>
              <w:rPr>
                <w:rFonts w:ascii="宋体" w:hAnsi="宋体" w:cs="宋体" w:eastAsia="宋体" w:hint="default"/>
                <w:sz w:val="18"/>
                <w:szCs w:val="18"/>
              </w:rPr>
              <w:t>）</w:t>
            </w:r>
          </w:p>
        </w:tc>
      </w:tr>
      <w:tr>
        <w:trPr>
          <w:trHeight w:val="165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深圳市中 装城市建 设发展有 限公司</w:t>
            </w:r>
          </w:p>
        </w:tc>
        <w:tc>
          <w:tcPr>
            <w:tcW w:w="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0"/>
              <w:jc w:val="both"/>
              <w:rPr>
                <w:rFonts w:ascii="宋体" w:hAnsi="宋体" w:cs="宋体" w:eastAsia="宋体" w:hint="default"/>
                <w:sz w:val="18"/>
                <w:szCs w:val="18"/>
              </w:rPr>
            </w:pPr>
            <w:r>
              <w:rPr>
                <w:rFonts w:ascii="宋体" w:hAnsi="宋体" w:cs="宋体" w:eastAsia="宋体" w:hint="default"/>
                <w:sz w:val="18"/>
                <w:szCs w:val="18"/>
              </w:rPr>
              <w:t>投资 兴办 实业</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新设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自筹 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长 期</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7"/>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10"/>
              <w:jc w:val="center"/>
              <w:rPr>
                <w:rFonts w:ascii="宋体" w:hAnsi="宋体" w:cs="宋体" w:eastAsia="宋体" w:hint="default"/>
                <w:sz w:val="18"/>
                <w:szCs w:val="18"/>
              </w:rPr>
            </w:pPr>
            <w:r>
              <w:rPr>
                <w:rFonts w:ascii="宋体" w:hAnsi="宋体" w:cs="宋体" w:eastAsia="宋体" w:hint="default"/>
                <w:sz w:val="18"/>
                <w:szCs w:val="18"/>
              </w:rPr>
              <w:t>已设立</w:t>
            </w: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-67,370.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详见巨潮 咨询网公 </w:t>
            </w:r>
            <w:r>
              <w:rPr>
                <w:rFonts w:ascii="宋体" w:hAnsi="宋体" w:cs="宋体" w:eastAsia="宋体" w:hint="default"/>
                <w:spacing w:val="-7"/>
                <w:sz w:val="18"/>
                <w:szCs w:val="18"/>
              </w:rPr>
              <w:t>告（公告编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w:t>
            </w:r>
          </w:p>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2017-013</w:t>
            </w:r>
            <w:r>
              <w:rPr>
                <w:rFonts w:ascii="宋体" w:hAnsi="宋体" w:cs="宋体" w:eastAsia="宋体" w:hint="default"/>
                <w:sz w:val="18"/>
                <w:szCs w:val="18"/>
              </w:rPr>
              <w:t>）</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103,889,</w:t>
            </w:r>
          </w:p>
          <w:p>
            <w:pPr>
              <w:pStyle w:val="TableParagraph"/>
              <w:spacing w:line="240" w:lineRule="auto" w:before="105"/>
              <w:ind w:left="158" w:right="0"/>
              <w:jc w:val="center"/>
              <w:rPr>
                <w:rFonts w:ascii="Times New Roman" w:hAnsi="Times New Roman" w:cs="Times New Roman" w:eastAsia="Times New Roman" w:hint="default"/>
                <w:sz w:val="18"/>
                <w:szCs w:val="18"/>
              </w:rPr>
            </w:pPr>
            <w:r>
              <w:rPr>
                <w:rFonts w:ascii="Times New Roman"/>
                <w:sz w:val="18"/>
              </w:rPr>
              <w:t>998.48</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7,309,77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2.38</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979" w:top="1060" w:bottom="1160" w:left="980" w:right="0"/>
        </w:sectPr>
      </w:pPr>
    </w:p>
    <w:p>
      <w:pPr>
        <w:pStyle w:val="Heading3"/>
        <w:spacing w:line="240" w:lineRule="auto" w:before="35"/>
        <w:ind w:left="154" w:right="0"/>
        <w:jc w:val="left"/>
        <w:rPr>
          <w:b w:val="0"/>
          <w:bCs w:val="0"/>
        </w:rPr>
      </w:pPr>
      <w:r>
        <w:rPr/>
        <w:pict>
          <v:shape style="position:absolute;margin-left:290.859985pt;margin-top:-48.286339pt;width:17.054514pt;height:35.25pt;mso-position-horizontal-relative:page;mso-position-vertical-relative:paragraph;z-index:1216" type="#_x0000_t75" stroked="false">
            <v:imagedata r:id="rId14" o:title=""/>
          </v:shape>
        </w:pict>
      </w:r>
      <w:bookmarkStart w:name="3、报告期内正在进行的重大的非股权投资情况" w:id="44"/>
      <w:bookmarkEnd w:id="44"/>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5"/>
      <w:bookmarkEnd w:id="45"/>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6"/>
      <w:bookmarkEnd w:id="46"/>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募集资金总体使用情况" w:id="47"/>
      <w:bookmarkEnd w:id="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5179" w:space="3561"/>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68"/>
        <w:gridCol w:w="566"/>
        <w:gridCol w:w="851"/>
        <w:gridCol w:w="851"/>
        <w:gridCol w:w="851"/>
        <w:gridCol w:w="710"/>
        <w:gridCol w:w="708"/>
        <w:gridCol w:w="992"/>
        <w:gridCol w:w="993"/>
        <w:gridCol w:w="1843"/>
        <w:gridCol w:w="632"/>
      </w:tblGrid>
      <w:tr>
        <w:trPr>
          <w:trHeight w:val="1650"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8" w:right="99"/>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募集 方式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0" w:right="59"/>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0" w:right="5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 w:right="7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0" w:right="41"/>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0" w:right="40"/>
              <w:jc w:val="left"/>
              <w:rPr>
                <w:rFonts w:ascii="宋体" w:hAnsi="宋体" w:cs="宋体" w:eastAsia="宋体" w:hint="default"/>
                <w:sz w:val="18"/>
                <w:szCs w:val="18"/>
              </w:rPr>
            </w:pPr>
            <w:r>
              <w:rPr>
                <w:rFonts w:ascii="宋体" w:hAnsi="宋体" w:cs="宋体" w:eastAsia="宋体" w:hint="default"/>
                <w:sz w:val="18"/>
                <w:szCs w:val="18"/>
              </w:rPr>
              <w:t>尚未使用募 集资金总额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555" w:right="107" w:hanging="450"/>
              <w:jc w:val="left"/>
              <w:rPr>
                <w:rFonts w:ascii="宋体" w:hAnsi="宋体" w:cs="宋体" w:eastAsia="宋体" w:hint="default"/>
                <w:sz w:val="18"/>
                <w:szCs w:val="18"/>
              </w:rPr>
            </w:pPr>
            <w:r>
              <w:rPr>
                <w:rFonts w:ascii="宋体" w:hAnsi="宋体" w:cs="宋体" w:eastAsia="宋体" w:hint="default"/>
                <w:sz w:val="18"/>
                <w:szCs w:val="18"/>
              </w:rPr>
              <w:t>尚未使用募集资金用 途及去向</w:t>
            </w:r>
          </w:p>
        </w:tc>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0" w:right="41"/>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67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公开 发行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67,603.2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31,842.36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31,842.36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36,432.01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尚未使用的募集资金 将按募投项目计划投</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68"/>
        <w:gridCol w:w="566"/>
        <w:gridCol w:w="851"/>
        <w:gridCol w:w="851"/>
        <w:gridCol w:w="851"/>
        <w:gridCol w:w="710"/>
        <w:gridCol w:w="708"/>
        <w:gridCol w:w="992"/>
        <w:gridCol w:w="993"/>
        <w:gridCol w:w="1843"/>
        <w:gridCol w:w="632"/>
      </w:tblGrid>
      <w:tr>
        <w:trPr>
          <w:trHeight w:val="986" w:hRule="exact"/>
        </w:trPr>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3"/>
              <w:jc w:val="right"/>
              <w:rPr>
                <w:rFonts w:ascii="宋体" w:hAnsi="宋体" w:cs="宋体" w:eastAsia="宋体" w:hint="default"/>
                <w:sz w:val="18"/>
                <w:szCs w:val="18"/>
              </w:rPr>
            </w:pPr>
            <w:r>
              <w:rPr>
                <w:rFonts w:ascii="宋体" w:hAnsi="宋体" w:cs="宋体" w:eastAsia="宋体" w:hint="default"/>
                <w:sz w:val="18"/>
                <w:szCs w:val="18"/>
              </w:rPr>
              <w:t>股票</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pacing w:val="-2"/>
                <w:sz w:val="18"/>
                <w:szCs w:val="18"/>
              </w:rPr>
              <w:t>资进行使用，募集资金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按照募集资金三方监 管协议专户存储。</w:t>
            </w:r>
          </w:p>
        </w:tc>
        <w:tc>
          <w:tcPr>
            <w:tcW w:w="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67,603.2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31,842.36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31,842.36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5" w:right="0"/>
              <w:jc w:val="lef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36,432.01</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firstLine="36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日经中国证券监督管理委员会“证监许可﹝</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2351</w:t>
            </w:r>
            <w:r>
              <w:rPr>
                <w:rFonts w:ascii="宋体" w:hAnsi="宋体" w:cs="宋体" w:eastAsia="宋体" w:hint="default"/>
                <w:spacing w:val="-46"/>
                <w:sz w:val="18"/>
                <w:szCs w:val="18"/>
              </w:rPr>
              <w:t> </w:t>
            </w:r>
            <w:r>
              <w:rPr>
                <w:rFonts w:ascii="宋体" w:hAnsi="宋体" w:cs="宋体" w:eastAsia="宋体" w:hint="default"/>
                <w:sz w:val="18"/>
                <w:szCs w:val="18"/>
              </w:rPr>
              <w:t>号”文核准，向社会公开发行人民币 普通股（</w:t>
            </w: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w:t>
            </w:r>
            <w:r>
              <w:rPr>
                <w:rFonts w:ascii="宋体" w:hAnsi="宋体" w:cs="宋体" w:eastAsia="宋体" w:hint="default"/>
                <w:sz w:val="18"/>
                <w:szCs w:val="18"/>
              </w:rPr>
              <w:t>7,500</w:t>
            </w:r>
            <w:r>
              <w:rPr>
                <w:rFonts w:ascii="宋体" w:hAnsi="宋体" w:cs="宋体" w:eastAsia="宋体" w:hint="default"/>
                <w:spacing w:val="-51"/>
                <w:sz w:val="18"/>
                <w:szCs w:val="18"/>
              </w:rPr>
              <w:t> </w:t>
            </w:r>
            <w:r>
              <w:rPr>
                <w:rFonts w:ascii="宋体" w:hAnsi="宋体" w:cs="宋体" w:eastAsia="宋体" w:hint="default"/>
                <w:sz w:val="18"/>
                <w:szCs w:val="18"/>
              </w:rPr>
              <w:t>万股，每股发行价为人民币</w:t>
            </w:r>
            <w:r>
              <w:rPr>
                <w:rFonts w:ascii="宋体" w:hAnsi="宋体" w:cs="宋体" w:eastAsia="宋体" w:hint="default"/>
                <w:spacing w:val="-51"/>
                <w:sz w:val="18"/>
                <w:szCs w:val="18"/>
              </w:rPr>
              <w:t> </w:t>
            </w:r>
            <w:r>
              <w:rPr>
                <w:rFonts w:ascii="宋体" w:hAnsi="宋体" w:cs="宋体" w:eastAsia="宋体" w:hint="default"/>
                <w:sz w:val="18"/>
                <w:szCs w:val="18"/>
              </w:rPr>
              <w:t>10.23</w:t>
            </w:r>
            <w:r>
              <w:rPr>
                <w:rFonts w:ascii="宋体" w:hAnsi="宋体" w:cs="宋体" w:eastAsia="宋体" w:hint="default"/>
                <w:spacing w:val="-51"/>
                <w:sz w:val="18"/>
                <w:szCs w:val="18"/>
              </w:rPr>
              <w:t> </w:t>
            </w:r>
            <w:r>
              <w:rPr>
                <w:rFonts w:ascii="宋体" w:hAnsi="宋体" w:cs="宋体" w:eastAsia="宋体" w:hint="default"/>
                <w:sz w:val="18"/>
                <w:szCs w:val="18"/>
              </w:rPr>
              <w:t>元，募集资金总额为人民币</w:t>
            </w:r>
            <w:r>
              <w:rPr>
                <w:rFonts w:ascii="宋体" w:hAnsi="宋体" w:cs="宋体" w:eastAsia="宋体" w:hint="default"/>
                <w:spacing w:val="-51"/>
                <w:sz w:val="18"/>
                <w:szCs w:val="18"/>
              </w:rPr>
              <w:t> </w:t>
            </w:r>
            <w:r>
              <w:rPr>
                <w:rFonts w:ascii="宋体" w:hAnsi="宋体" w:cs="宋体" w:eastAsia="宋体" w:hint="default"/>
                <w:sz w:val="18"/>
                <w:szCs w:val="18"/>
              </w:rPr>
              <w:t>767,250,000.00</w:t>
            </w:r>
            <w:r>
              <w:rPr>
                <w:rFonts w:ascii="宋体" w:hAnsi="宋体" w:cs="宋体" w:eastAsia="宋体" w:hint="default"/>
                <w:spacing w:val="-51"/>
                <w:sz w:val="18"/>
                <w:szCs w:val="18"/>
              </w:rPr>
              <w:t> </w:t>
            </w:r>
            <w:r>
              <w:rPr>
                <w:rFonts w:ascii="宋体" w:hAnsi="宋体" w:cs="宋体" w:eastAsia="宋体" w:hint="default"/>
                <w:sz w:val="18"/>
                <w:szCs w:val="18"/>
              </w:rPr>
              <w:t>元，扣除发行费用人 民币</w:t>
            </w:r>
            <w:r>
              <w:rPr>
                <w:rFonts w:ascii="宋体" w:hAnsi="宋体" w:cs="宋体" w:eastAsia="宋体" w:hint="default"/>
                <w:spacing w:val="-46"/>
                <w:sz w:val="18"/>
                <w:szCs w:val="18"/>
              </w:rPr>
              <w:t> </w:t>
            </w:r>
            <w:r>
              <w:rPr>
                <w:rFonts w:ascii="宋体" w:hAnsi="宋体" w:cs="宋体" w:eastAsia="宋体" w:hint="default"/>
                <w:sz w:val="18"/>
                <w:szCs w:val="18"/>
              </w:rPr>
              <w:t>91,218,015.99</w:t>
            </w:r>
            <w:r>
              <w:rPr>
                <w:rFonts w:ascii="宋体" w:hAnsi="宋体" w:cs="宋体" w:eastAsia="宋体" w:hint="default"/>
                <w:spacing w:val="-46"/>
                <w:sz w:val="18"/>
                <w:szCs w:val="18"/>
              </w:rPr>
              <w:t> </w:t>
            </w:r>
            <w:r>
              <w:rPr>
                <w:rFonts w:ascii="宋体" w:hAnsi="宋体" w:cs="宋体" w:eastAsia="宋体" w:hint="default"/>
                <w:sz w:val="18"/>
                <w:szCs w:val="18"/>
              </w:rPr>
              <w:t>元，实际募集资金净额为人民币</w:t>
            </w:r>
            <w:r>
              <w:rPr>
                <w:rFonts w:ascii="宋体" w:hAnsi="宋体" w:cs="宋体" w:eastAsia="宋体" w:hint="default"/>
                <w:spacing w:val="-46"/>
                <w:sz w:val="18"/>
                <w:szCs w:val="18"/>
              </w:rPr>
              <w:t> </w:t>
            </w:r>
            <w:r>
              <w:rPr>
                <w:rFonts w:ascii="宋体" w:hAnsi="宋体" w:cs="宋体" w:eastAsia="宋体" w:hint="default"/>
                <w:sz w:val="18"/>
                <w:szCs w:val="18"/>
              </w:rPr>
              <w:t>676,031,984.01</w:t>
            </w:r>
            <w:r>
              <w:rPr>
                <w:rFonts w:ascii="宋体" w:hAnsi="宋体" w:cs="宋体" w:eastAsia="宋体" w:hint="default"/>
                <w:spacing w:val="-46"/>
                <w:sz w:val="18"/>
                <w:szCs w:val="18"/>
              </w:rPr>
              <w:t> </w:t>
            </w:r>
            <w:r>
              <w:rPr>
                <w:rFonts w:ascii="宋体" w:hAnsi="宋体" w:cs="宋体" w:eastAsia="宋体" w:hint="default"/>
                <w:sz w:val="18"/>
                <w:szCs w:val="18"/>
              </w:rPr>
              <w:t>元。上述募集资金到位情况业经天职国际会计师事</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务所（特殊普通合伙）审验，并出具了天职业字</w:t>
            </w:r>
            <w:r>
              <w:rPr>
                <w:rFonts w:ascii="宋体" w:hAnsi="宋体" w:cs="宋体" w:eastAsia="宋体" w:hint="default"/>
                <w:sz w:val="18"/>
                <w:szCs w:val="18"/>
              </w:rPr>
              <w:t>[2016] 16751</w:t>
            </w:r>
            <w:r>
              <w:rPr>
                <w:rFonts w:ascii="宋体" w:hAnsi="宋体" w:cs="宋体" w:eastAsia="宋体" w:hint="default"/>
                <w:spacing w:val="-46"/>
                <w:sz w:val="18"/>
                <w:szCs w:val="18"/>
              </w:rPr>
              <w:t> </w:t>
            </w:r>
            <w:r>
              <w:rPr>
                <w:rFonts w:ascii="宋体" w:hAnsi="宋体" w:cs="宋体" w:eastAsia="宋体" w:hint="default"/>
                <w:sz w:val="18"/>
                <w:szCs w:val="18"/>
              </w:rPr>
              <w:t>号验资报告。截至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日，累计使用募集资金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31,842.36</w:t>
            </w:r>
            <w:r>
              <w:rPr>
                <w:rFonts w:ascii="宋体" w:hAnsi="宋体" w:cs="宋体" w:eastAsia="宋体" w:hint="default"/>
                <w:spacing w:val="-46"/>
                <w:sz w:val="18"/>
                <w:szCs w:val="18"/>
              </w:rPr>
              <w:t> </w:t>
            </w:r>
            <w:r>
              <w:rPr>
                <w:rFonts w:ascii="宋体" w:hAnsi="宋体" w:cs="宋体" w:eastAsia="宋体" w:hint="default"/>
                <w:sz w:val="18"/>
                <w:szCs w:val="18"/>
              </w:rPr>
              <w:t>万元，募集资金账户余额为</w:t>
            </w:r>
            <w:r>
              <w:rPr>
                <w:rFonts w:ascii="宋体" w:hAnsi="宋体" w:cs="宋体" w:eastAsia="宋体" w:hint="default"/>
                <w:spacing w:val="-46"/>
                <w:sz w:val="18"/>
                <w:szCs w:val="18"/>
              </w:rPr>
              <w:t> </w:t>
            </w:r>
            <w:r>
              <w:rPr>
                <w:rFonts w:ascii="宋体" w:hAnsi="宋体" w:cs="宋体" w:eastAsia="宋体" w:hint="default"/>
                <w:sz w:val="18"/>
                <w:szCs w:val="18"/>
              </w:rPr>
              <w:t>36,432.01</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募集资金承诺项目情况" w:id="48"/>
      <w:bookmarkEnd w:id="48"/>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5"/>
        <w:gridCol w:w="854"/>
        <w:gridCol w:w="994"/>
        <w:gridCol w:w="848"/>
        <w:gridCol w:w="853"/>
        <w:gridCol w:w="850"/>
        <w:gridCol w:w="852"/>
        <w:gridCol w:w="850"/>
        <w:gridCol w:w="709"/>
        <w:gridCol w:w="566"/>
        <w:gridCol w:w="143"/>
        <w:gridCol w:w="636"/>
      </w:tblGrid>
      <w:tr>
        <w:trPr>
          <w:trHeight w:val="1338"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3" w:right="71" w:hanging="90"/>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33" w:right="29"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部分变更</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0" w:right="41"/>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 w:right="42"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0"/>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61" w:right="5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hanging="1"/>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部品部件工厂化 生产项目</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29,730.7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29,730.7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5,827.46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营销中心建设项 目</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9,608.97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9,608.97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3,828.34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设计研发中心建 设项目</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8,012.15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8,012.15</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3,647.68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信息化系统建设 项目</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2,283.15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2,283.15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504.03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补充公司流动资 金</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18,007.99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18,007.99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100.04%</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承诺投资项目小 计</w:t>
            </w:r>
          </w:p>
        </w:tc>
        <w:tc>
          <w:tcPr>
            <w:tcW w:w="85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67,634.97</w:t>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67,634.97</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22,369.4</w:t>
            </w:r>
          </w:p>
        </w:tc>
        <w:tc>
          <w:tcPr>
            <w:tcW w:w="850"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31,842.36</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10" w:space="0" w:color="D2D2D2"/>
              <w:right w:val="single" w:sz="9" w:space="0" w:color="D2D2D2"/>
            </w:tcBorders>
          </w:tcPr>
          <w:p>
            <w:pPr/>
          </w:p>
        </w:tc>
        <w:tc>
          <w:tcPr>
            <w:tcW w:w="70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415" w:type="dxa"/>
            <w:vMerge/>
            <w:tcBorders>
              <w:left w:val="single" w:sz="4" w:space="0" w:color="000000"/>
              <w:right w:val="single" w:sz="4" w:space="0" w:color="000000"/>
            </w:tcBorders>
            <w:shd w:val="clear" w:color="auto" w:fill="D2D2D2"/>
          </w:tcPr>
          <w:p>
            <w:pPr/>
          </w:p>
        </w:tc>
        <w:tc>
          <w:tcPr>
            <w:tcW w:w="8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59"/>
              <w:jc w:val="right"/>
              <w:rPr>
                <w:rFonts w:ascii="Times New Roman" w:hAnsi="Times New Roman" w:cs="Times New Roman" w:eastAsia="Times New Roman" w:hint="default"/>
                <w:sz w:val="18"/>
                <w:szCs w:val="18"/>
              </w:rPr>
            </w:pPr>
            <w:r>
              <w:rPr>
                <w:rFonts w:ascii="Times New Roman"/>
                <w:sz w:val="18"/>
              </w:rPr>
              <w:t>--</w:t>
            </w:r>
          </w:p>
        </w:tc>
        <w:tc>
          <w:tcPr>
            <w:tcW w:w="994" w:type="dxa"/>
            <w:vMerge/>
            <w:tcBorders>
              <w:left w:val="single" w:sz="9" w:space="0" w:color="D2D2D2"/>
              <w:right w:val="single" w:sz="4" w:space="0" w:color="000000"/>
            </w:tcBorders>
          </w:tcPr>
          <w:p>
            <w:pPr/>
          </w:p>
        </w:tc>
        <w:tc>
          <w:tcPr>
            <w:tcW w:w="848"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9" w:space="0" w:color="D2D2D2"/>
            </w:tcBorders>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59"/>
              <w:jc w:val="right"/>
              <w:rPr>
                <w:rFonts w:ascii="Times New Roman" w:hAnsi="Times New Roman" w:cs="Times New Roman" w:eastAsia="Times New Roman" w:hint="default"/>
                <w:sz w:val="18"/>
                <w:szCs w:val="18"/>
              </w:rPr>
            </w:pPr>
            <w:r>
              <w:rPr>
                <w:rFonts w:ascii="Times New Roman"/>
                <w:sz w:val="18"/>
              </w:rPr>
              <w:t>--</w:t>
            </w:r>
          </w:p>
        </w:tc>
        <w:tc>
          <w:tcPr>
            <w:tcW w:w="709" w:type="dxa"/>
            <w:vMerge/>
            <w:tcBorders>
              <w:left w:val="single" w:sz="10" w:space="0" w:color="D2D2D2"/>
              <w:right w:val="single" w:sz="9" w:space="0" w:color="D2D2D2"/>
            </w:tcBorders>
          </w:tcPr>
          <w:p>
            <w:pPr/>
          </w:p>
        </w:tc>
        <w:tc>
          <w:tcPr>
            <w:tcW w:w="70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85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9" w:space="0" w:color="D2D2D2"/>
              <w:bottom w:val="single" w:sz="4" w:space="0" w:color="000000"/>
              <w:right w:val="single" w:sz="4" w:space="0" w:color="000000"/>
            </w:tcBorders>
          </w:tcPr>
          <w:p>
            <w:pPr/>
          </w:p>
        </w:tc>
        <w:tc>
          <w:tcPr>
            <w:tcW w:w="848"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9" w:space="0" w:color="D2D2D2"/>
            </w:tcBorders>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10" w:space="0" w:color="D2D2D2"/>
              <w:bottom w:val="single" w:sz="4" w:space="0" w:color="000000"/>
              <w:right w:val="single" w:sz="9" w:space="0" w:color="D2D2D2"/>
            </w:tcBorders>
          </w:tcPr>
          <w:p>
            <w:pPr/>
          </w:p>
        </w:tc>
        <w:tc>
          <w:tcPr>
            <w:tcW w:w="70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无超募资金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9"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9"/>
              <w:jc w:val="righ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67,634.97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67,634.97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22,369.4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31,842.36</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9"/>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338"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未达到计划进度 或预计收益的情 </w:t>
            </w:r>
            <w:r>
              <w:rPr>
                <w:rFonts w:ascii="宋体" w:hAnsi="宋体" w:cs="宋体" w:eastAsia="宋体" w:hint="default"/>
                <w:spacing w:val="-10"/>
                <w:sz w:val="18"/>
                <w:szCs w:val="18"/>
              </w:rPr>
              <w:t>况和原因（分具体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8154"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 w:right="22" w:firstLine="360"/>
              <w:jc w:val="left"/>
              <w:rPr>
                <w:rFonts w:ascii="宋体" w:hAnsi="宋体" w:cs="宋体" w:eastAsia="宋体" w:hint="default"/>
                <w:sz w:val="18"/>
                <w:szCs w:val="18"/>
              </w:rPr>
            </w:pPr>
            <w:r>
              <w:rPr>
                <w:rFonts w:ascii="宋体" w:hAnsi="宋体" w:cs="宋体" w:eastAsia="宋体" w:hint="default"/>
                <w:sz w:val="18"/>
                <w:szCs w:val="18"/>
              </w:rPr>
              <w:t>信息化系统建设项目：本项目年度实际投资金额与计划投入金额存在一定差异，主要系项目实施过 程中，信息系统部分功能开发时间较长，后续将积极推进各功能模块的上线实施。</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line="312" w:lineRule="exact"/>
        <w:ind w:left="1577"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07.05pt;height:15.6pt;mso-position-horizontal-relative:char;mso-position-vertical-relative:line" coordorigin="0,0" coordsize="8141,312">
            <v:group style="position:absolute;left:0;top:0;width:8141;height:312" coordorigin="0,0" coordsize="8141,312">
              <v:shape style="position:absolute;left:0;top:0;width:8141;height:312" coordorigin="0,0" coordsize="8141,312" path="m0,312l8140,312,8140,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44"/>
        <w:ind w:left="0" w:right="1139"/>
        <w:jc w:val="right"/>
      </w:pPr>
      <w:r>
        <w:rPr/>
        <w:pict>
          <v:shape style="position:absolute;margin-left:56.459999pt;margin-top:-226.168304pt;width:479.2pt;height:466.7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8151"/>
                  </w:tblGrid>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项目可行性发生 重大变化的情况 说明</w:t>
                        </w:r>
                      </w:p>
                    </w:tc>
                    <w:tc>
                      <w:tcPr>
                        <w:tcW w:w="8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超募资金的金额 用途及使用进展 情况</w:t>
                        </w:r>
                      </w:p>
                    </w:tc>
                    <w:tc>
                      <w:tcPr>
                        <w:tcW w:w="8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募集资金投资项 目实施地点变更 情况</w:t>
                        </w:r>
                      </w:p>
                    </w:tc>
                    <w:tc>
                      <w:tcPr>
                        <w:tcW w:w="8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募集资金投资项 目实施方式调整 情况</w:t>
                        </w:r>
                      </w:p>
                    </w:tc>
                    <w:tc>
                      <w:tcPr>
                        <w:tcW w:w="8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123"/>
                          <w:jc w:val="both"/>
                          <w:rPr>
                            <w:rFonts w:ascii="宋体" w:hAnsi="宋体" w:cs="宋体" w:eastAsia="宋体" w:hint="default"/>
                            <w:sz w:val="18"/>
                            <w:szCs w:val="18"/>
                          </w:rPr>
                        </w:pPr>
                        <w:r>
                          <w:rPr>
                            <w:rFonts w:ascii="宋体" w:hAnsi="宋体" w:cs="宋体" w:eastAsia="宋体" w:hint="default"/>
                            <w:sz w:val="18"/>
                            <w:szCs w:val="18"/>
                          </w:rPr>
                          <w:t>募集资金投资项 目先期投入及置 换情况</w:t>
                        </w:r>
                      </w:p>
                    </w:tc>
                    <w:tc>
                      <w:tcPr>
                        <w:tcW w:w="8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2017 </w:t>
                        </w:r>
                        <w:r>
                          <w:rPr>
                            <w:rFonts w:ascii="宋体" w:hAnsi="宋体" w:cs="宋体" w:eastAsia="宋体" w:hint="default"/>
                            <w:sz w:val="18"/>
                            <w:szCs w:val="18"/>
                          </w:rPr>
                          <w:t>年 </w:t>
                        </w:r>
                        <w:r>
                          <w:rPr>
                            <w:rFonts w:ascii="宋体" w:hAnsi="宋体" w:cs="宋体" w:eastAsia="宋体" w:hint="default"/>
                            <w:sz w:val="18"/>
                            <w:szCs w:val="18"/>
                          </w:rPr>
                          <w:t>3 </w:t>
                        </w:r>
                        <w:r>
                          <w:rPr>
                            <w:rFonts w:ascii="宋体" w:hAnsi="宋体" w:cs="宋体" w:eastAsia="宋体" w:hint="default"/>
                            <w:sz w:val="18"/>
                            <w:szCs w:val="18"/>
                          </w:rPr>
                          <w:t>月 </w:t>
                        </w:r>
                        <w:r>
                          <w:rPr>
                            <w:rFonts w:ascii="宋体" w:hAnsi="宋体" w:cs="宋体" w:eastAsia="宋体" w:hint="default"/>
                            <w:sz w:val="18"/>
                            <w:szCs w:val="18"/>
                          </w:rPr>
                          <w:t>14 </w:t>
                        </w:r>
                        <w:r>
                          <w:rPr>
                            <w:rFonts w:ascii="宋体" w:hAnsi="宋体" w:cs="宋体" w:eastAsia="宋体" w:hint="default"/>
                            <w:sz w:val="18"/>
                            <w:szCs w:val="18"/>
                          </w:rPr>
                          <w:t>日第二届董事会第十一次会议审议通</w:t>
                        </w:r>
                        <w:r>
                          <w:rPr>
                            <w:rFonts w:ascii="宋体" w:hAnsi="宋体" w:cs="宋体" w:eastAsia="宋体" w:hint="default"/>
                            <w:spacing w:val="-6"/>
                            <w:sz w:val="18"/>
                            <w:szCs w:val="18"/>
                          </w:rPr>
                          <w:t>过</w:t>
                        </w:r>
                        <w:r>
                          <w:rPr>
                            <w:rFonts w:ascii="宋体" w:hAnsi="宋体" w:cs="宋体" w:eastAsia="宋体" w:hint="default"/>
                            <w:sz w:val="18"/>
                            <w:szCs w:val="18"/>
                          </w:rPr>
                          <w:t>《关于以募集资金置换先期投入的议案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全体董事一致同意公司以募集资金 </w:t>
                        </w:r>
                        <w:r>
                          <w:rPr>
                            <w:rFonts w:ascii="宋体" w:hAnsi="宋体" w:cs="宋体" w:eastAsia="宋体" w:hint="default"/>
                            <w:sz w:val="18"/>
                            <w:szCs w:val="18"/>
                          </w:rPr>
                          <w:t>9,472.96</w:t>
                        </w:r>
                        <w:r>
                          <w:rPr>
                            <w:rFonts w:ascii="宋体" w:hAnsi="宋体" w:cs="宋体" w:eastAsia="宋体" w:hint="default"/>
                            <w:spacing w:val="-6"/>
                            <w:sz w:val="18"/>
                            <w:szCs w:val="18"/>
                          </w:rPr>
                          <w:t> </w:t>
                        </w:r>
                        <w:r>
                          <w:rPr>
                            <w:rFonts w:ascii="宋体" w:hAnsi="宋体" w:cs="宋体" w:eastAsia="宋体" w:hint="default"/>
                            <w:sz w:val="18"/>
                            <w:szCs w:val="18"/>
                          </w:rPr>
                          <w:t>万元置换预先已投入募集资金投资项目的自筹资金。截至</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2017 </w:t>
                        </w:r>
                        <w:r>
                          <w:rPr>
                            <w:rFonts w:ascii="宋体" w:hAnsi="宋体" w:cs="宋体" w:eastAsia="宋体" w:hint="default"/>
                            <w:sz w:val="18"/>
                            <w:szCs w:val="18"/>
                          </w:rPr>
                          <w:t>年 </w:t>
                        </w:r>
                        <w:r>
                          <w:rPr>
                            <w:rFonts w:ascii="宋体" w:hAnsi="宋体" w:cs="宋体" w:eastAsia="宋体" w:hint="default"/>
                            <w:sz w:val="18"/>
                            <w:szCs w:val="18"/>
                          </w:rPr>
                          <w:t>12 </w:t>
                        </w:r>
                        <w:r>
                          <w:rPr>
                            <w:rFonts w:ascii="宋体" w:hAnsi="宋体" w:cs="宋体" w:eastAsia="宋体" w:hint="default"/>
                            <w:sz w:val="18"/>
                            <w:szCs w:val="18"/>
                          </w:rPr>
                          <w:t>月 </w:t>
                        </w:r>
                        <w:r>
                          <w:rPr>
                            <w:rFonts w:ascii="宋体" w:hAnsi="宋体" w:cs="宋体" w:eastAsia="宋体" w:hint="default"/>
                            <w:sz w:val="18"/>
                            <w:szCs w:val="18"/>
                          </w:rPr>
                          <w:t>31 </w:t>
                        </w:r>
                        <w:r>
                          <w:rPr>
                            <w:rFonts w:ascii="宋体" w:hAnsi="宋体" w:cs="宋体" w:eastAsia="宋体" w:hint="default"/>
                            <w:sz w:val="18"/>
                            <w:szCs w:val="18"/>
                          </w:rPr>
                          <w:t>日止，上述预先投入募集资金投资项目的自筹资金已置换完成。</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用闲置募集资金 暂时补充流动资 金情况</w:t>
                        </w:r>
                      </w:p>
                    </w:tc>
                    <w:tc>
                      <w:tcPr>
                        <w:tcW w:w="8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项目实施出现募 集资金结余的金 额及原因</w:t>
                        </w:r>
                      </w:p>
                    </w:tc>
                    <w:tc>
                      <w:tcPr>
                        <w:tcW w:w="8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尚未使用的募集 资金用途及去向</w:t>
                        </w:r>
                      </w:p>
                    </w:tc>
                    <w:tc>
                      <w:tcPr>
                        <w:tcW w:w="8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尚未使用的募集资金将按募投项目计划投资进行使用，募集资金按照募集资金三方监管协议专户存储。</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募集资金使用及 披露中存在的问 题或其他情况</w:t>
                        </w:r>
                      </w:p>
                    </w:tc>
                    <w:tc>
                      <w:tcPr>
                        <w:tcW w:w="8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3"/>
        <w:spacing w:line="240" w:lineRule="auto" w:before="35"/>
        <w:ind w:left="154" w:right="889"/>
        <w:jc w:val="left"/>
        <w:rPr>
          <w:b w:val="0"/>
          <w:bCs w:val="0"/>
        </w:rPr>
      </w:pPr>
      <w:bookmarkStart w:name="（3）募集资金变更项目情况" w:id="49"/>
      <w:bookmarkEnd w:id="49"/>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889"/>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89"/>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89"/>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889"/>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89"/>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89"/>
        <w:jc w:val="left"/>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spacing w:line="326" w:lineRule="auto" w:before="0"/>
        <w:ind w:left="513" w:right="889" w:firstLine="1"/>
        <w:jc w:val="left"/>
        <w:rPr>
          <w:rFonts w:ascii="宋体" w:hAnsi="宋体" w:cs="宋体" w:eastAsia="宋体" w:hint="default"/>
          <w:sz w:val="18"/>
          <w:szCs w:val="18"/>
        </w:rPr>
      </w:pPr>
      <w:r>
        <w:rPr>
          <w:rFonts w:ascii="宋体" w:hAnsi="宋体" w:cs="宋体" w:eastAsia="宋体" w:hint="default"/>
          <w:b/>
          <w:bCs/>
          <w:sz w:val="18"/>
          <w:szCs w:val="18"/>
        </w:rPr>
        <w:t>（一）公司发展战略及经营计划</w:t>
      </w:r>
      <w:r>
        <w:rPr>
          <w:rFonts w:ascii="宋体" w:hAnsi="宋体" w:cs="宋体" w:eastAsia="宋体" w:hint="default"/>
          <w:b/>
          <w:bCs/>
          <w:w w:val="99"/>
          <w:sz w:val="18"/>
          <w:szCs w:val="18"/>
        </w:rPr>
        <w:t> </w:t>
      </w:r>
      <w:r>
        <w:rPr>
          <w:rFonts w:ascii="宋体" w:hAnsi="宋体" w:cs="宋体" w:eastAsia="宋体" w:hint="default"/>
          <w:spacing w:val="-2"/>
          <w:sz w:val="18"/>
          <w:szCs w:val="18"/>
        </w:rPr>
        <w:t>面对不断变化的市场形势，公司将在</w:t>
      </w:r>
      <w:r>
        <w:rPr>
          <w:rFonts w:ascii="宋体" w:hAnsi="宋体" w:cs="宋体" w:eastAsia="宋体" w:hint="default"/>
          <w:spacing w:val="-2"/>
          <w:sz w:val="18"/>
          <w:szCs w:val="18"/>
        </w:rPr>
        <w:t>2018</w:t>
      </w:r>
      <w:r>
        <w:rPr>
          <w:rFonts w:ascii="宋体" w:hAnsi="宋体" w:cs="宋体" w:eastAsia="宋体" w:hint="default"/>
          <w:spacing w:val="-2"/>
          <w:sz w:val="18"/>
          <w:szCs w:val="18"/>
        </w:rPr>
        <w:t>年，继续致力于企业的战略转型，以建筑装饰设计和施工为主业，向行业上下</w:t>
      </w:r>
    </w:p>
    <w:p>
      <w:pPr>
        <w:pStyle w:val="BodyText"/>
        <w:spacing w:line="316" w:lineRule="auto" w:before="11"/>
        <w:ind w:right="889"/>
        <w:jc w:val="left"/>
      </w:pPr>
      <w:r>
        <w:rPr>
          <w:spacing w:val="-2"/>
        </w:rPr>
        <w:t>游整合，完善产业链条的各业务资质，逐步从专业的工程承包商，向城乡建设综合服务商转型。公司在</w:t>
      </w:r>
      <w:r>
        <w:rPr>
          <w:rFonts w:ascii="宋体" w:hAnsi="宋体" w:cs="宋体" w:eastAsia="宋体" w:hint="default"/>
          <w:spacing w:val="-2"/>
        </w:rPr>
        <w:t>2018</w:t>
      </w:r>
      <w:r>
        <w:rPr>
          <w:spacing w:val="-2"/>
        </w:rPr>
        <w:t>年的经营计划如</w:t>
      </w:r>
      <w:r>
        <w:rPr>
          <w:spacing w:val="-62"/>
        </w:rPr>
        <w:t> </w:t>
      </w:r>
      <w:r>
        <w:rPr/>
        <w:t>下：</w:t>
      </w:r>
    </w:p>
    <w:p>
      <w:pPr>
        <w:pStyle w:val="BodyText"/>
        <w:spacing w:line="316" w:lineRule="auto" w:before="26"/>
        <w:ind w:right="1132" w:firstLine="360"/>
        <w:jc w:val="both"/>
      </w:pPr>
      <w:r>
        <w:rPr>
          <w:spacing w:val="-2"/>
        </w:rPr>
        <w:t>首先，公司以绿色建筑、环保节能为指导思想，以“大客户、大项目”为导向，以发展构建以室内外装饰、幕墙设计与</w:t>
      </w:r>
      <w:r>
        <w:rPr/>
        <w:t> 施工为主，进一步夯实传统业务。</w:t>
      </w:r>
    </w:p>
    <w:p>
      <w:pPr>
        <w:pStyle w:val="BodyText"/>
        <w:spacing w:line="316" w:lineRule="auto" w:before="26"/>
        <w:ind w:left="154" w:right="1133" w:firstLine="360"/>
        <w:jc w:val="both"/>
      </w:pPr>
      <w:r>
        <w:rPr>
          <w:spacing w:val="-2"/>
        </w:rPr>
        <w:t>第二，适时发展家装板块业务，完善产业链，进一步改善公司整体经营性现金流，同时打造包括公装、家装、幕墙、园</w:t>
      </w:r>
      <w:r>
        <w:rPr/>
        <w:t> 林、安防、消防、机电等一体化服务的大装饰平台。</w:t>
      </w:r>
    </w:p>
    <w:p>
      <w:pPr>
        <w:pStyle w:val="BodyText"/>
        <w:spacing w:line="316" w:lineRule="auto" w:before="26"/>
        <w:ind w:left="154" w:right="1049" w:firstLine="360"/>
        <w:jc w:val="both"/>
      </w:pPr>
      <w:r>
        <w:rPr>
          <w:spacing w:val="-2"/>
        </w:rPr>
        <w:t>第三，利用平台优势，积极展开行业上下游并购整合，完善规划设计、建筑设计、房建总包、市政总包等业务资质，同</w:t>
      </w:r>
      <w:r>
        <w:rPr/>
        <w:t> 时积极寻求符合国家发展战略、满足人居生活需求的新型材料项目，为未来发展知名的城乡建设综合服务提供商奠定基础。</w:t>
      </w:r>
    </w:p>
    <w:p>
      <w:pPr>
        <w:pStyle w:val="BodyText"/>
        <w:spacing w:line="316" w:lineRule="auto" w:before="25"/>
        <w:ind w:left="154" w:right="1129" w:firstLine="360"/>
        <w:jc w:val="both"/>
      </w:pPr>
      <w:r>
        <w:rPr/>
        <w:t>第四，通过大力引进业内人才，探索平台加合伙模式，积极探索、推进</w:t>
      </w:r>
      <w:r>
        <w:rPr>
          <w:rFonts w:ascii="宋体" w:hAnsi="宋体" w:cs="宋体" w:eastAsia="宋体" w:hint="default"/>
        </w:rPr>
        <w:t>EPC</w:t>
      </w:r>
      <w:r>
        <w:rPr/>
        <w:t>业务、以投带建业务、新能源业务以及海外 业务，在“大市场”中寻求优质项目落地，为公司未来持续发展提供巨大的业务空间。</w:t>
      </w:r>
    </w:p>
    <w:p>
      <w:pPr>
        <w:pStyle w:val="BodyText"/>
        <w:spacing w:line="316" w:lineRule="auto" w:before="26"/>
        <w:ind w:right="1132" w:firstLine="360"/>
        <w:jc w:val="both"/>
      </w:pPr>
      <w:r>
        <w:rPr>
          <w:spacing w:val="-2"/>
        </w:rPr>
        <w:t>第五，进一步完善内控管理制度，致力于提高项目履约能力，致力于提高项目盈利水平，致力于优化项目资金管理，以</w:t>
      </w:r>
      <w:r>
        <w:rPr/>
        <w:t> 此提高公司精细化管理水平，提高项目品质。</w:t>
      </w:r>
    </w:p>
    <w:p>
      <w:pPr>
        <w:pStyle w:val="BodyText"/>
        <w:spacing w:line="316" w:lineRule="auto" w:before="26"/>
        <w:ind w:right="1132" w:firstLine="360"/>
        <w:jc w:val="both"/>
      </w:pPr>
      <w:r>
        <w:rPr>
          <w:spacing w:val="-2"/>
        </w:rPr>
        <w:t>第六，加强高层管理水平，通过具有竞争力的薪酬待遇及激励计划吸纳优秀的高级管理人才，在海内外聘请具有丰富施</w:t>
      </w:r>
      <w:r>
        <w:rPr/>
        <w:t> 工经验的项目经理和国际一流装饰设计人才，打造强大的管理团队、设计团队。</w:t>
      </w:r>
    </w:p>
    <w:p>
      <w:pPr>
        <w:pStyle w:val="BodyText"/>
        <w:spacing w:line="316" w:lineRule="auto" w:before="26"/>
        <w:ind w:right="1131" w:firstLine="360"/>
        <w:jc w:val="both"/>
      </w:pPr>
      <w:r>
        <w:rPr>
          <w:spacing w:val="-2"/>
        </w:rPr>
        <w:t>第七，坚持科技创新路线，在惠州工业园区进行部品部件基地建设，进行智慧装配式基地建设，同时建立新材料、新工</w:t>
      </w:r>
      <w:r>
        <w:rPr/>
        <w:t> 艺的国家级技术中心，不断提高公司甚至整个行业的新材料研发、建筑施工工艺方面的技术水平和科技含量。</w:t>
      </w:r>
    </w:p>
    <w:p>
      <w:pPr>
        <w:pStyle w:val="Heading5"/>
        <w:spacing w:line="326" w:lineRule="auto" w:before="26"/>
        <w:ind w:left="513" w:right="7862" w:firstLine="1"/>
        <w:jc w:val="left"/>
        <w:rPr>
          <w:b w:val="0"/>
          <w:bCs w:val="0"/>
        </w:rPr>
      </w:pPr>
      <w:r>
        <w:rPr/>
        <w:t>（二）未来发展面临的主要风险</w:t>
      </w:r>
      <w:r>
        <w:rPr>
          <w:w w:val="99"/>
        </w:rPr>
        <w:t> </w:t>
      </w:r>
      <w:r>
        <w:rPr>
          <w:rFonts w:ascii="宋体" w:hAnsi="宋体" w:cs="宋体" w:eastAsia="宋体" w:hint="default"/>
        </w:rPr>
        <w:t>1</w:t>
      </w:r>
      <w:r>
        <w:rPr/>
        <w:t>、宏观经济波动的风险</w:t>
      </w:r>
      <w:r>
        <w:rPr>
          <w:b w:val="0"/>
          <w:bCs w:val="0"/>
        </w:rPr>
      </w:r>
    </w:p>
    <w:p>
      <w:pPr>
        <w:pStyle w:val="BodyText"/>
        <w:spacing w:line="316" w:lineRule="auto" w:before="17"/>
        <w:ind w:right="1131" w:firstLine="360"/>
        <w:jc w:val="both"/>
      </w:pPr>
      <w:r>
        <w:rPr>
          <w:spacing w:val="-2"/>
        </w:rPr>
        <w:t>公司所处的行业为建筑装饰业，建筑装饰行业的发展状况与国家的经济发展水平密切相关，宏观经济增长的周期性波动</w:t>
      </w:r>
      <w:r>
        <w:rPr/>
        <w:t> </w:t>
      </w:r>
      <w:r>
        <w:rPr>
          <w:spacing w:val="-2"/>
        </w:rPr>
        <w:t>对建筑装饰行业有较大影响。国家宏观调控政策和行业产业政策的变化会对基础设施建设、房地产开发以及商业投资活动等</w:t>
      </w:r>
      <w:r>
        <w:rPr>
          <w:spacing w:val="-64"/>
        </w:rPr>
        <w:t> </w:t>
      </w:r>
      <w:r>
        <w:rPr>
          <w:spacing w:val="-64"/>
        </w:rPr>
      </w:r>
      <w:r>
        <w:rPr>
          <w:spacing w:val="-2"/>
        </w:rPr>
        <w:t>造成直接影响，从而对建筑装饰行业的业务需求和业务结构带来较大影响。近年来，受益于中国经济稳定持续的增长，公司</w:t>
      </w:r>
      <w:r>
        <w:rPr>
          <w:spacing w:val="-66"/>
        </w:rPr>
        <w:t> </w:t>
      </w:r>
      <w:r>
        <w:rPr>
          <w:spacing w:val="-66"/>
        </w:rPr>
      </w:r>
      <w:r>
        <w:rPr>
          <w:spacing w:val="-2"/>
        </w:rPr>
        <w:t>经营规模和经营业绩不断提升。报告期内，本公司主营业务收入保持持续稳定的增长，但如果宏观经济或产业政策发生重大</w:t>
      </w:r>
      <w:r>
        <w:rPr>
          <w:spacing w:val="-66"/>
        </w:rPr>
        <w:t> </w:t>
      </w:r>
      <w:r>
        <w:rPr>
          <w:spacing w:val="-66"/>
        </w:rPr>
      </w:r>
      <w:r>
        <w:rPr>
          <w:spacing w:val="-2"/>
        </w:rPr>
        <w:t>变化，公司经营业绩可能受行业需求的影响出现波动。由于本公司所处行业对宏观经济景气度的敏感性，本公司提醒投资者</w:t>
      </w:r>
      <w:r>
        <w:rPr>
          <w:spacing w:val="-66"/>
        </w:rPr>
        <w:t> </w:t>
      </w:r>
      <w:r>
        <w:rPr>
          <w:spacing w:val="-66"/>
        </w:rPr>
      </w:r>
      <w:r>
        <w:rPr/>
        <w:t>注意宏观经济景气度变化导致公司经营业绩波动的风险。</w:t>
      </w:r>
    </w:p>
    <w:p>
      <w:pPr>
        <w:spacing w:line="326" w:lineRule="auto" w:before="26"/>
        <w:ind w:left="513" w:right="889"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、房地产行业政策调控带来的风险</w:t>
      </w:r>
      <w:r>
        <w:rPr>
          <w:rFonts w:ascii="宋体" w:hAnsi="宋体" w:cs="宋体" w:eastAsia="宋体" w:hint="default"/>
          <w:b/>
          <w:bCs/>
          <w:w w:val="99"/>
          <w:sz w:val="18"/>
          <w:szCs w:val="18"/>
        </w:rPr>
        <w:t> </w:t>
      </w:r>
      <w:r>
        <w:rPr>
          <w:rFonts w:ascii="宋体" w:hAnsi="宋体" w:cs="宋体" w:eastAsia="宋体" w:hint="default"/>
          <w:spacing w:val="-2"/>
          <w:sz w:val="18"/>
          <w:szCs w:val="18"/>
        </w:rPr>
        <w:t>住宅装饰行业与房地产行业存在一定的关联性。近年来，为了调整房市结构、防止房价上涨过快，挤压房市泡沫以避免</w:t>
      </w:r>
    </w:p>
    <w:p>
      <w:pPr>
        <w:pStyle w:val="BodyText"/>
        <w:spacing w:line="316" w:lineRule="auto" w:before="11"/>
        <w:ind w:right="889"/>
        <w:jc w:val="left"/>
      </w:pPr>
      <w:r>
        <w:rPr>
          <w:spacing w:val="-2"/>
        </w:rPr>
        <w:t>出现大的资产泡沫化，国家采取了金融、税收、行政等一系列手段对房地产行业进行宏观调控。但是，我国政府对房地产的</w:t>
      </w:r>
      <w:r>
        <w:rPr>
          <w:spacing w:val="-66"/>
        </w:rPr>
        <w:t> </w:t>
      </w:r>
      <w:r>
        <w:rPr>
          <w:spacing w:val="-66"/>
        </w:rPr>
      </w:r>
      <w:r>
        <w:rPr>
          <w:spacing w:val="-4"/>
        </w:rPr>
        <w:t>持续调控，主要是调整住房供应结构，并不会影响房地产业作为国民经济支柱产业的重要地位，未来住宅开发建设中小户型、</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both"/>
      </w:pPr>
      <w:r>
        <w:rPr>
          <w:spacing w:val="-2"/>
        </w:rPr>
        <w:t>经济适用房、保障房等比重将逐步提高，从而带动自住型刚性需求的增长；此外，国家和地方政府不断出台扶持政策，引导</w:t>
      </w:r>
      <w:r>
        <w:rPr>
          <w:spacing w:val="-66"/>
        </w:rPr>
        <w:t> </w:t>
      </w:r>
      <w:r>
        <w:rPr>
          <w:spacing w:val="-66"/>
        </w:rPr>
      </w:r>
      <w:r>
        <w:rPr>
          <w:spacing w:val="-2"/>
        </w:rPr>
        <w:t>和鼓励新建商品住宅实现一次装修到位或采取菜单式装修模式，逐步达到取消毛坯房，直接向消费者提供全装修成品房的目</w:t>
      </w:r>
      <w:r>
        <w:rPr>
          <w:spacing w:val="-63"/>
        </w:rPr>
        <w:t> </w:t>
      </w:r>
      <w:r>
        <w:rPr>
          <w:spacing w:val="-63"/>
        </w:rPr>
      </w:r>
      <w:r>
        <w:rPr>
          <w:spacing w:val="-2"/>
        </w:rPr>
        <w:t>标。因此，目前，国家房地产调控政策对住宅精装修业务的发展影响有限。但是，如果政府继续出台更为严厉的房地产调控</w:t>
      </w:r>
      <w:r>
        <w:rPr>
          <w:spacing w:val="-65"/>
        </w:rPr>
        <w:t> </w:t>
      </w:r>
      <w:r>
        <w:rPr>
          <w:spacing w:val="-65"/>
        </w:rPr>
      </w:r>
      <w:r>
        <w:rPr/>
        <w:t>政策，则可能会在业务订单量、施工进度及客户回款等方面对公司住宅精装修业务带来不利影响。</w:t>
      </w:r>
    </w:p>
    <w:p>
      <w:pPr>
        <w:spacing w:line="326" w:lineRule="auto" w:before="26"/>
        <w:ind w:left="513" w:right="889"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、应收账款产生坏账的风险</w:t>
      </w:r>
      <w:r>
        <w:rPr>
          <w:rFonts w:ascii="宋体" w:hAnsi="宋体" w:cs="宋体" w:eastAsia="宋体" w:hint="default"/>
          <w:b/>
          <w:bCs/>
          <w:w w:val="99"/>
          <w:sz w:val="18"/>
          <w:szCs w:val="18"/>
        </w:rPr>
        <w:t> </w:t>
      </w:r>
      <w:r>
        <w:rPr>
          <w:rFonts w:ascii="宋体" w:hAnsi="宋体" w:cs="宋体" w:eastAsia="宋体" w:hint="default"/>
          <w:spacing w:val="-2"/>
          <w:sz w:val="18"/>
          <w:szCs w:val="18"/>
        </w:rPr>
        <w:t>公司应收账款余额较大，应收账款净额占总资产比例较高是由所处行业的特点决定的。随着本公司业务规模的扩大，公</w:t>
      </w:r>
    </w:p>
    <w:p>
      <w:pPr>
        <w:pStyle w:val="BodyText"/>
        <w:spacing w:line="316" w:lineRule="auto" w:before="11"/>
        <w:ind w:right="1131"/>
        <w:jc w:val="both"/>
      </w:pPr>
      <w:r>
        <w:rPr>
          <w:spacing w:val="-2"/>
        </w:rPr>
        <w:t>司应收账款余额总体上呈增加趋势，应收账款净额占总资产的比例预计仍将可能保持较高水平。如果未来宏观经济发生不利</w:t>
      </w:r>
      <w:r>
        <w:rPr>
          <w:spacing w:val="-64"/>
        </w:rPr>
        <w:t> </w:t>
      </w:r>
      <w:r>
        <w:rPr>
          <w:spacing w:val="-64"/>
        </w:rPr>
      </w:r>
      <w:r>
        <w:rPr>
          <w:spacing w:val="-2"/>
        </w:rPr>
        <w:t>变化或者货币资金环境趋紧等因素导致公司应收账款不能及时回收将影响公司的资金周转速度和经营活动现金流量，从而对</w:t>
      </w:r>
      <w:r>
        <w:rPr>
          <w:spacing w:val="-64"/>
        </w:rPr>
        <w:t> </w:t>
      </w:r>
      <w:r>
        <w:rPr>
          <w:spacing w:val="-64"/>
        </w:rPr>
      </w:r>
      <w:r>
        <w:rPr/>
        <w:t>公司的生产经营及业绩水平造成不利影响。</w:t>
      </w:r>
    </w:p>
    <w:p>
      <w:pPr>
        <w:pStyle w:val="BodyText"/>
        <w:spacing w:line="326" w:lineRule="auto" w:before="25"/>
        <w:ind w:left="513" w:right="889"/>
        <w:jc w:val="left"/>
      </w:pPr>
      <w:r>
        <w:rPr>
          <w:rFonts w:ascii="宋体" w:hAnsi="宋体" w:cs="宋体" w:eastAsia="宋体" w:hint="default"/>
          <w:b/>
          <w:bCs/>
        </w:rPr>
        <w:t>4</w:t>
      </w:r>
      <w:r>
        <w:rPr>
          <w:rFonts w:ascii="宋体" w:hAnsi="宋体" w:cs="宋体" w:eastAsia="宋体" w:hint="default"/>
          <w:b/>
          <w:bCs/>
        </w:rPr>
        <w:t>、市场竞争风险</w:t>
      </w:r>
      <w:r>
        <w:rPr>
          <w:rFonts w:ascii="宋体" w:hAnsi="宋体" w:cs="宋体" w:eastAsia="宋体" w:hint="default"/>
          <w:b/>
          <w:bCs/>
          <w:w w:val="99"/>
        </w:rPr>
        <w:t> </w:t>
      </w:r>
      <w:r>
        <w:rPr>
          <w:spacing w:val="-2"/>
        </w:rPr>
        <w:t>随着国内建筑装饰企业的快速发展，已经有相当一部分企业在建筑装饰的设计、施工及综合配套服务等方面具备了较强</w:t>
      </w:r>
    </w:p>
    <w:p>
      <w:pPr>
        <w:pStyle w:val="BodyText"/>
        <w:spacing w:line="316" w:lineRule="auto" w:before="11"/>
        <w:ind w:right="889"/>
        <w:jc w:val="left"/>
      </w:pPr>
      <w:r>
        <w:rPr/>
        <w:t>的竞争实力，并陆续通过</w:t>
      </w:r>
      <w:r>
        <w:rPr>
          <w:rFonts w:ascii="宋体" w:hAnsi="宋体" w:cs="宋体" w:eastAsia="宋体" w:hint="default"/>
        </w:rPr>
        <w:t>IPO</w:t>
      </w:r>
      <w:r>
        <w:rPr/>
        <w:t>、借壳等方式进入资本市场，与此同时中国建筑装饰市场的巨大需求吸引了较多的大型外资建</w:t>
      </w:r>
      <w:r>
        <w:rPr>
          <w:spacing w:val="-83"/>
        </w:rPr>
        <w:t> </w:t>
      </w:r>
      <w:r>
        <w:rPr>
          <w:spacing w:val="-83"/>
        </w:rPr>
      </w:r>
      <w:r>
        <w:rPr>
          <w:spacing w:val="-4"/>
        </w:rPr>
        <w:t>筑装饰企业进入国内市场，公司当前面临着较为激烈的市场竞争。虽然公司已经具有较为全面的业务资质，拥有丰富的施工、</w:t>
      </w:r>
      <w:r>
        <w:rPr>
          <w:spacing w:val="-44"/>
        </w:rPr>
        <w:t> </w:t>
      </w:r>
      <w:r>
        <w:rPr>
          <w:spacing w:val="-44"/>
        </w:rPr>
      </w:r>
      <w:r>
        <w:rPr/>
        <w:t>设计经验和人才储备，但随着市场竞争加剧，公司的行业地位、市场份额、盈利水平等方面都会面临较大的竞争。</w:t>
      </w:r>
    </w:p>
    <w:p>
      <w:pPr>
        <w:spacing w:line="326" w:lineRule="auto" w:before="26"/>
        <w:ind w:left="514" w:right="889" w:firstLine="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、业务扩张带来的管理风险</w:t>
      </w:r>
      <w:r>
        <w:rPr>
          <w:rFonts w:ascii="宋体" w:hAnsi="宋体" w:cs="宋体" w:eastAsia="宋体" w:hint="default"/>
          <w:b/>
          <w:bCs/>
          <w:w w:val="99"/>
          <w:sz w:val="18"/>
          <w:szCs w:val="18"/>
        </w:rPr>
        <w:t> </w:t>
      </w:r>
      <w:r>
        <w:rPr>
          <w:rFonts w:ascii="宋体" w:hAnsi="宋体" w:cs="宋体" w:eastAsia="宋体" w:hint="default"/>
          <w:spacing w:val="-2"/>
          <w:sz w:val="18"/>
          <w:szCs w:val="18"/>
        </w:rPr>
        <w:t>公司上市以后，经营规模必将持续扩大。伴随着业务的快速增长，公司的人员不断增长、经营区域不断扩大，管理难度</w:t>
      </w:r>
    </w:p>
    <w:p>
      <w:pPr>
        <w:pStyle w:val="BodyText"/>
        <w:spacing w:line="316" w:lineRule="auto" w:before="11"/>
        <w:ind w:left="154" w:right="1032"/>
        <w:jc w:val="left"/>
      </w:pPr>
      <w:r>
        <w:rPr/>
        <w:t>不断加大。近年来，公司虽然已根据实际情况建立起一套完整的内部控制制度，但是随着公司业务的不断拓展和规模扩张， </w:t>
      </w:r>
      <w:r>
        <w:rPr>
          <w:spacing w:val="-2"/>
        </w:rPr>
        <w:t>公司将面临管理模式、人才储备、技术创新及市场开拓等多方面的挑战。如果公司管理水平和人才储备不能适应公司规模迅</w:t>
      </w:r>
      <w:r>
        <w:rPr>
          <w:spacing w:val="-66"/>
        </w:rPr>
        <w:t> </w:t>
      </w:r>
      <w:r>
        <w:rPr>
          <w:spacing w:val="-66"/>
        </w:rPr>
      </w:r>
      <w:r>
        <w:rPr>
          <w:spacing w:val="-2"/>
        </w:rPr>
        <w:t>速扩张的需要，组织架构和管理模式未能随着公司规模的扩大而及时调整和完善，将难以保证公司管理水平与经营规模同步</w:t>
      </w:r>
      <w:r>
        <w:rPr>
          <w:spacing w:val="-64"/>
        </w:rPr>
        <w:t> </w:t>
      </w:r>
      <w:r>
        <w:rPr>
          <w:spacing w:val="-64"/>
        </w:rPr>
      </w:r>
      <w:r>
        <w:rPr/>
        <w:t>增长，使公司面临一定的管理风险。</w:t>
      </w:r>
    </w:p>
    <w:p>
      <w:pPr>
        <w:pStyle w:val="Heading5"/>
        <w:spacing w:line="240" w:lineRule="auto" w:before="27"/>
        <w:ind w:left="514" w:right="889"/>
        <w:jc w:val="left"/>
        <w:rPr>
          <w:b w:val="0"/>
          <w:bCs w:val="0"/>
        </w:rPr>
      </w:pPr>
      <w:r>
        <w:rPr>
          <w:rFonts w:ascii="宋体" w:hAnsi="宋体" w:cs="宋体" w:eastAsia="宋体" w:hint="default"/>
        </w:rPr>
        <w:t>6</w:t>
      </w:r>
      <w:r>
        <w:rPr/>
        <w:t>、业务转型升级及开拓新兴市场不达预期的风险</w:t>
      </w:r>
      <w:r>
        <w:rPr>
          <w:b w:val="0"/>
          <w:bCs w:val="0"/>
        </w:rPr>
      </w:r>
    </w:p>
    <w:p>
      <w:pPr>
        <w:pStyle w:val="BodyText"/>
        <w:spacing w:line="319" w:lineRule="auto" w:before="86"/>
        <w:ind w:left="154" w:right="1130" w:firstLine="360"/>
        <w:jc w:val="both"/>
      </w:pPr>
      <w:r>
        <w:rPr>
          <w:rFonts w:ascii="宋体" w:hAnsi="宋体" w:cs="宋体" w:eastAsia="宋体" w:hint="default"/>
        </w:rPr>
        <w:t>2017</w:t>
      </w:r>
      <w:r>
        <w:rPr/>
        <w:t>年，公司将积极致力于传统装饰主业转型升级，并积极开拓</w:t>
      </w:r>
      <w:r>
        <w:rPr>
          <w:rFonts w:ascii="宋体" w:hAnsi="宋体" w:cs="宋体" w:eastAsia="宋体" w:hint="default"/>
        </w:rPr>
        <w:t>PPP</w:t>
      </w:r>
      <w:r>
        <w:rPr/>
        <w:t>业务、新能源业务以及海外业务等新兴市场，在此 </w:t>
      </w:r>
      <w:r>
        <w:rPr>
          <w:spacing w:val="-2"/>
        </w:rPr>
        <w:t>过程中将不可避免的遇到人才瓶颈、技术瓶颈、管理瓶颈等困难。如业务转型升级及开拓新兴市场不达预期，会对公司短期</w:t>
      </w:r>
      <w:r>
        <w:rPr>
          <w:spacing w:val="-66"/>
        </w:rPr>
        <w:t> </w:t>
      </w:r>
      <w:r>
        <w:rPr>
          <w:spacing w:val="-66"/>
        </w:rPr>
      </w:r>
      <w:r>
        <w:rPr/>
        <w:t>业绩产生较大影响。</w:t>
      </w:r>
    </w:p>
    <w:p>
      <w:pPr>
        <w:spacing w:line="240" w:lineRule="auto" w:before="7"/>
        <w:rPr>
          <w:rFonts w:ascii="宋体" w:hAnsi="宋体" w:cs="宋体" w:eastAsia="宋体" w:hint="default"/>
          <w:sz w:val="20"/>
          <w:szCs w:val="20"/>
        </w:rPr>
      </w:pPr>
    </w:p>
    <w:p>
      <w:pPr>
        <w:pStyle w:val="Heading2"/>
        <w:spacing w:line="240" w:lineRule="auto"/>
        <w:ind w:left="154" w:right="889"/>
        <w:jc w:val="left"/>
        <w:rPr>
          <w:b w:val="0"/>
          <w:bCs w:val="0"/>
        </w:rPr>
      </w:pPr>
      <w:bookmarkStart w:name="十、接待调研、沟通、采访等活动" w:id="56"/>
      <w:bookmarkEnd w:id="56"/>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889"/>
        <w:jc w:val="left"/>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02"/>
        <w:gridCol w:w="1417"/>
        <w:gridCol w:w="1559"/>
        <w:gridCol w:w="4892"/>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2"/>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4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pacing w:val="-1"/>
                <w:sz w:val="18"/>
                <w:szCs w:val="18"/>
              </w:rPr>
              <w:t>主要了解公司经营情况和新业务进展情况。具体详见公司披露</w:t>
            </w:r>
            <w:r>
              <w:rPr>
                <w:rFonts w:ascii="宋体" w:hAnsi="宋体" w:cs="宋体" w:eastAsia="宋体" w:hint="default"/>
                <w:sz w:val="18"/>
                <w:szCs w:val="18"/>
              </w:rPr>
              <w:t> 于：深交所互动易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中投资者关系活动记录表（</w:t>
            </w:r>
            <w:r>
              <w:rPr>
                <w:rFonts w:ascii="Times New Roman" w:hAnsi="Times New Roman" w:cs="Times New Roman" w:eastAsia="Times New Roman" w:hint="default"/>
                <w:sz w:val="18"/>
                <w:szCs w:val="18"/>
              </w:rPr>
              <w:t>2017-001</w:t>
            </w:r>
            <w:r>
              <w:rPr>
                <w:rFonts w:ascii="宋体" w:hAnsi="宋体" w:cs="宋体" w:eastAsia="宋体" w:hint="default"/>
                <w:sz w:val="18"/>
                <w:szCs w:val="18"/>
              </w:rPr>
              <w:t>）</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pacing w:val="-1"/>
                <w:sz w:val="18"/>
                <w:szCs w:val="18"/>
              </w:rPr>
              <w:t>主要了解公司经营情况和新业务进展情况。具体详见公司披露</w:t>
            </w:r>
            <w:r>
              <w:rPr>
                <w:rFonts w:ascii="宋体" w:hAnsi="宋体" w:cs="宋体" w:eastAsia="宋体" w:hint="default"/>
                <w:sz w:val="18"/>
                <w:szCs w:val="18"/>
              </w:rPr>
              <w:t> 于：深交所互动易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中投资者关系活动记录表（</w:t>
            </w:r>
            <w:r>
              <w:rPr>
                <w:rFonts w:ascii="Times New Roman" w:hAnsi="Times New Roman" w:cs="Times New Roman" w:eastAsia="Times New Roman" w:hint="default"/>
                <w:sz w:val="18"/>
                <w:szCs w:val="18"/>
              </w:rPr>
              <w:t>2017-002</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221"/>
        <w:jc w:val="center"/>
        <w:rPr>
          <w:b w:val="0"/>
          <w:bCs w:val="0"/>
        </w:rPr>
      </w:pPr>
      <w:bookmarkStart w:name="第五节 重要事项" w:id="58"/>
      <w:bookmarkEnd w:id="58"/>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59"/>
      <w:bookmarkEnd w:id="59"/>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516" w:right="889"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根据中国证监会《关于进一步落实上市公司现金分红有关事项的通知》和深圳证监局《关于认真贯彻落实（关于进一步</w:t>
      </w:r>
    </w:p>
    <w:p>
      <w:pPr>
        <w:pStyle w:val="BodyText"/>
        <w:spacing w:line="316" w:lineRule="auto" w:before="2"/>
        <w:ind w:right="1132"/>
        <w:jc w:val="both"/>
      </w:pPr>
      <w:r>
        <w:rPr>
          <w:spacing w:val="-2"/>
        </w:rPr>
        <w:t>落实上市公司现金分红有关事项的通知）有关要求的通知》（深证局公司字【</w:t>
      </w:r>
      <w:r>
        <w:rPr>
          <w:rFonts w:ascii="宋体" w:hAnsi="宋体" w:cs="宋体" w:eastAsia="宋体" w:hint="default"/>
          <w:spacing w:val="-2"/>
        </w:rPr>
        <w:t>2012</w:t>
      </w:r>
      <w:r>
        <w:rPr>
          <w:spacing w:val="-2"/>
        </w:rPr>
        <w:t>】</w:t>
      </w:r>
      <w:r>
        <w:rPr>
          <w:rFonts w:ascii="宋体" w:hAnsi="宋体" w:cs="宋体" w:eastAsia="宋体" w:hint="default"/>
          <w:spacing w:val="-2"/>
        </w:rPr>
        <w:t>43</w:t>
      </w:r>
      <w:r>
        <w:rPr>
          <w:spacing w:val="-2"/>
        </w:rPr>
        <w:t>号）（以下简称“通知”）文件的要</w:t>
      </w:r>
      <w:r>
        <w:rPr>
          <w:spacing w:val="-63"/>
        </w:rPr>
        <w:t> </w:t>
      </w:r>
      <w:r>
        <w:rPr>
          <w:spacing w:val="-63"/>
        </w:rPr>
      </w:r>
      <w:r>
        <w:rPr>
          <w:spacing w:val="-2"/>
        </w:rPr>
        <w:t>求，公司对利润分配政策等进行了专项研究论证，经公司董事会、监事会、股东大会审议通过，明确了实施现金分红的条件</w:t>
      </w:r>
      <w:r>
        <w:rPr>
          <w:spacing w:val="-66"/>
        </w:rPr>
        <w:t> </w:t>
      </w:r>
      <w:r>
        <w:rPr>
          <w:spacing w:val="-66"/>
        </w:rPr>
      </w:r>
      <w:r>
        <w:rPr/>
        <w:t>和分配比例。公司上市后，以现金方式分配的利润均超过当年实现的可供分配利润的</w:t>
      </w:r>
      <w:r>
        <w:rPr>
          <w:rFonts w:ascii="宋体" w:hAnsi="宋体" w:cs="宋体" w:eastAsia="宋体" w:hint="default"/>
        </w:rPr>
        <w:t>10%</w:t>
      </w:r>
      <w:r>
        <w:rPr/>
        <w:t>，公司的现金分红方案符合《公司 章程》，中国证监会、深交所相关规定。</w:t>
      </w:r>
    </w:p>
    <w:p>
      <w:pPr>
        <w:pStyle w:val="BodyText"/>
        <w:spacing w:line="316" w:lineRule="auto" w:before="19"/>
        <w:ind w:right="1029" w:firstLine="360"/>
        <w:jc w:val="left"/>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12</w:t>
      </w:r>
      <w:r>
        <w:rPr/>
        <w:t>日，公司</w:t>
      </w:r>
      <w:r>
        <w:rPr>
          <w:rFonts w:ascii="宋体" w:hAnsi="宋体" w:cs="宋体" w:eastAsia="宋体" w:hint="default"/>
        </w:rPr>
        <w:t>2016</w:t>
      </w:r>
      <w:r>
        <w:rPr/>
        <w:t>年度股东大会审议通过，决议以公司未来实施分配方案时股权登记日的总股本为基数，向全 体股东每</w:t>
      </w:r>
      <w:r>
        <w:rPr>
          <w:rFonts w:ascii="宋体" w:hAnsi="宋体" w:cs="宋体" w:eastAsia="宋体" w:hint="default"/>
        </w:rPr>
        <w:t>10</w:t>
      </w:r>
      <w:r>
        <w:rPr/>
        <w:t>股派发</w:t>
      </w:r>
      <w:r>
        <w:rPr>
          <w:rFonts w:ascii="宋体" w:hAnsi="宋体" w:cs="宋体" w:eastAsia="宋体" w:hint="default"/>
        </w:rPr>
        <w:t>2.00</w:t>
      </w:r>
      <w:r>
        <w:rPr/>
        <w:t>元人民币现金（含税；扣税后，</w:t>
      </w:r>
      <w:r>
        <w:rPr>
          <w:rFonts w:ascii="宋体" w:hAnsi="宋体" w:cs="宋体" w:eastAsia="宋体" w:hint="default"/>
        </w:rPr>
        <w:t>QFII</w:t>
      </w:r>
      <w:r>
        <w:rPr/>
        <w:t>、</w:t>
      </w:r>
      <w:r>
        <w:rPr>
          <w:rFonts w:ascii="宋体" w:hAnsi="宋体" w:cs="宋体" w:eastAsia="宋体" w:hint="default"/>
        </w:rPr>
        <w:t>RQFII</w:t>
      </w:r>
      <w:r>
        <w:rPr/>
        <w:t>以及持有股改限售股、首发限售股的个人和证券投资基 </w:t>
      </w:r>
      <w:r>
        <w:rPr>
          <w:spacing w:val="-2"/>
        </w:rPr>
        <w:t>金每</w:t>
      </w:r>
      <w:r>
        <w:rPr>
          <w:rFonts w:ascii="宋体" w:hAnsi="宋体" w:cs="宋体" w:eastAsia="宋体" w:hint="default"/>
          <w:spacing w:val="-2"/>
        </w:rPr>
        <w:t>10</w:t>
      </w:r>
      <w:r>
        <w:rPr>
          <w:spacing w:val="-2"/>
        </w:rPr>
        <w:t>股派</w:t>
      </w:r>
      <w:r>
        <w:rPr>
          <w:rFonts w:ascii="宋体" w:hAnsi="宋体" w:cs="宋体" w:eastAsia="宋体" w:hint="default"/>
          <w:spacing w:val="-2"/>
        </w:rPr>
        <w:t>1.80</w:t>
      </w:r>
      <w:r>
        <w:rPr>
          <w:spacing w:val="-2"/>
        </w:rPr>
        <w:t>元；持有非股改、非首发限售股及无限售流通股的个人股息红利税实行差别化税率征收，先按每</w:t>
      </w:r>
      <w:r>
        <w:rPr>
          <w:rFonts w:ascii="宋体" w:hAnsi="宋体" w:cs="宋体" w:eastAsia="宋体" w:hint="default"/>
          <w:spacing w:val="-2"/>
        </w:rPr>
        <w:t>10</w:t>
      </w:r>
      <w:r>
        <w:rPr>
          <w:spacing w:val="-2"/>
        </w:rPr>
        <w:t>股派</w:t>
      </w:r>
      <w:r>
        <w:rPr>
          <w:rFonts w:ascii="宋体" w:hAnsi="宋体" w:cs="宋体" w:eastAsia="宋体" w:hint="default"/>
          <w:spacing w:val="-2"/>
        </w:rPr>
        <w:t>2.00</w:t>
      </w:r>
      <w:r>
        <w:rPr>
          <w:rFonts w:ascii="宋体" w:hAnsi="宋体" w:cs="宋体" w:eastAsia="宋体" w:hint="default"/>
          <w:spacing w:val="-54"/>
        </w:rPr>
        <w:t> </w:t>
      </w:r>
      <w:r>
        <w:rPr>
          <w:spacing w:val="-2"/>
        </w:rPr>
        <w:t>元，权益登记日后根据投资者减持股票情况，再按实际持股期限补缴税款；持有非股改、非首发限售股及无限售流通股的证</w:t>
      </w:r>
      <w:r>
        <w:rPr>
          <w:spacing w:val="-66"/>
        </w:rPr>
        <w:t> </w:t>
      </w:r>
      <w:r>
        <w:rPr>
          <w:spacing w:val="-66"/>
        </w:rPr>
      </w:r>
      <w:r>
        <w:rPr>
          <w:spacing w:val="-3"/>
        </w:rPr>
        <w:t>券投资基金所涉红利税，对香港投资者持有基金份额部分按</w:t>
      </w:r>
      <w:r>
        <w:rPr>
          <w:rFonts w:ascii="宋体" w:hAnsi="宋体" w:cs="宋体" w:eastAsia="宋体" w:hint="default"/>
          <w:spacing w:val="-3"/>
        </w:rPr>
        <w:t>10%</w:t>
      </w:r>
      <w:r>
        <w:rPr>
          <w:rFonts w:ascii="宋体" w:hAnsi="宋体" w:cs="宋体" w:eastAsia="宋体" w:hint="default"/>
          <w:spacing w:val="19"/>
        </w:rPr>
        <w:t> </w:t>
      </w:r>
      <w:r>
        <w:rPr>
          <w:spacing w:val="-4"/>
        </w:rPr>
        <w:t>征收，对内地投资者持有基金份额部分实行差别化税率征收；</w:t>
      </w:r>
      <w:r>
        <w:rPr/>
        <w:t> 对于</w:t>
      </w:r>
      <w:r>
        <w:rPr>
          <w:rFonts w:ascii="宋体" w:hAnsi="宋体" w:cs="宋体" w:eastAsia="宋体" w:hint="default"/>
        </w:rPr>
        <w:t>QFII</w:t>
      </w:r>
      <w:r>
        <w:rPr/>
        <w:t>、</w:t>
      </w:r>
      <w:r>
        <w:rPr>
          <w:rFonts w:ascii="宋体" w:hAnsi="宋体" w:cs="宋体" w:eastAsia="宋体" w:hint="default"/>
        </w:rPr>
        <w:t>RQFII</w:t>
      </w:r>
      <w:r>
        <w:rPr/>
        <w:t>外的其他非居民企业，本公司未代扣代缴所得税，由纳税人在所得发生地缴纳。同时，以资本公积金向全 体股东每</w:t>
      </w:r>
      <w:r>
        <w:rPr>
          <w:rFonts w:ascii="宋体" w:hAnsi="宋体" w:cs="宋体" w:eastAsia="宋体" w:hint="default"/>
        </w:rPr>
        <w:t>10</w:t>
      </w:r>
      <w:r>
        <w:rPr/>
        <w:t>股转增</w:t>
      </w:r>
      <w:r>
        <w:rPr>
          <w:rFonts w:ascii="宋体" w:hAnsi="宋体" w:cs="宋体" w:eastAsia="宋体" w:hint="default"/>
        </w:rPr>
        <w:t>10</w:t>
      </w:r>
      <w:r>
        <w:rPr/>
        <w:t>股。</w:t>
      </w:r>
    </w:p>
    <w:p>
      <w:pPr>
        <w:pStyle w:val="BodyText"/>
        <w:spacing w:line="319" w:lineRule="auto" w:before="19"/>
        <w:ind w:right="1040" w:firstLine="360"/>
        <w:jc w:val="left"/>
      </w:pPr>
      <w:r>
        <w:rPr>
          <w:spacing w:val="-10"/>
        </w:rPr>
        <w:t>公司于</w:t>
      </w:r>
      <w:r>
        <w:rPr>
          <w:rFonts w:ascii="宋体" w:hAnsi="宋体" w:cs="宋体" w:eastAsia="宋体" w:hint="default"/>
          <w:spacing w:val="-10"/>
        </w:rPr>
        <w:t>2017</w:t>
      </w:r>
      <w:r>
        <w:rPr>
          <w:spacing w:val="-10"/>
        </w:rPr>
        <w:t>年</w:t>
      </w:r>
      <w:r>
        <w:rPr>
          <w:rFonts w:ascii="宋体" w:hAnsi="宋体" w:cs="宋体" w:eastAsia="宋体" w:hint="default"/>
          <w:spacing w:val="-10"/>
        </w:rPr>
        <w:t>6</w:t>
      </w:r>
      <w:r>
        <w:rPr>
          <w:spacing w:val="-10"/>
        </w:rPr>
        <w:t>月</w:t>
      </w:r>
      <w:r>
        <w:rPr>
          <w:rFonts w:ascii="宋体" w:hAnsi="宋体" w:cs="宋体" w:eastAsia="宋体" w:hint="default"/>
          <w:spacing w:val="-10"/>
        </w:rPr>
        <w:t>6</w:t>
      </w:r>
      <w:r>
        <w:rPr>
          <w:spacing w:val="-10"/>
        </w:rPr>
        <w:t>日在《证券时报》、《证券日报》、《中国证券报》、《上海证券报》及巨潮资讯网（</w:t>
      </w:r>
      <w:hyperlink r:id="rId13">
        <w:r>
          <w:rPr>
            <w:rFonts w:ascii="宋体" w:hAnsi="宋体" w:cs="宋体" w:eastAsia="宋体" w:hint="default"/>
            <w:spacing w:val="-10"/>
          </w:rPr>
          <w:t>www.cninfo.com.cn</w:t>
        </w:r>
      </w:hyperlink>
      <w:r>
        <w:rPr>
          <w:spacing w:val="-10"/>
        </w:rPr>
        <w:t>）</w:t>
      </w:r>
      <w:r>
        <w:rPr/>
        <w:t> </w:t>
      </w:r>
      <w:r>
        <w:rPr>
          <w:spacing w:val="-3"/>
        </w:rPr>
        <w:t>上刊登了《深圳市中装建设集团股份有限公司</w:t>
      </w:r>
      <w:r>
        <w:rPr>
          <w:rFonts w:ascii="宋体" w:hAnsi="宋体" w:cs="宋体" w:eastAsia="宋体" w:hint="default"/>
          <w:spacing w:val="-3"/>
        </w:rPr>
        <w:t>2016</w:t>
      </w:r>
      <w:r>
        <w:rPr>
          <w:spacing w:val="-3"/>
        </w:rPr>
        <w:t>年年度权益分派实施公告》（</w:t>
      </w:r>
      <w:r>
        <w:rPr>
          <w:rFonts w:ascii="宋体" w:hAnsi="宋体" w:cs="宋体" w:eastAsia="宋体" w:hint="default"/>
          <w:spacing w:val="-3"/>
        </w:rPr>
        <w:t>2017-040</w:t>
      </w:r>
      <w:r>
        <w:rPr>
          <w:spacing w:val="-3"/>
        </w:rPr>
        <w:t>），以公司现有总股本</w:t>
      </w:r>
      <w:r>
        <w:rPr>
          <w:rFonts w:ascii="宋体" w:hAnsi="宋体" w:cs="宋体" w:eastAsia="宋体" w:hint="default"/>
          <w:spacing w:val="-3"/>
        </w:rPr>
        <w:t>300,000,000</w:t>
      </w:r>
      <w:r>
        <w:rPr>
          <w:rFonts w:ascii="宋体" w:hAnsi="宋体" w:cs="宋体" w:eastAsia="宋体" w:hint="default"/>
          <w:spacing w:val="-65"/>
        </w:rPr>
        <w:t> </w:t>
      </w:r>
      <w:r>
        <w:rPr>
          <w:spacing w:val="-2"/>
        </w:rPr>
        <w:t>股为基数，向全体股东每</w:t>
      </w:r>
      <w:r>
        <w:rPr>
          <w:rFonts w:ascii="宋体" w:hAnsi="宋体" w:cs="宋体" w:eastAsia="宋体" w:hint="default"/>
          <w:spacing w:val="-2"/>
        </w:rPr>
        <w:t>10</w:t>
      </w:r>
      <w:r>
        <w:rPr>
          <w:spacing w:val="-2"/>
        </w:rPr>
        <w:t>股派</w:t>
      </w:r>
      <w:r>
        <w:rPr>
          <w:rFonts w:ascii="宋体" w:hAnsi="宋体" w:cs="宋体" w:eastAsia="宋体" w:hint="default"/>
          <w:spacing w:val="-2"/>
        </w:rPr>
        <w:t>2.00</w:t>
      </w:r>
      <w:r>
        <w:rPr>
          <w:spacing w:val="-2"/>
        </w:rPr>
        <w:t>元人民币现金，同时，以资本公积金向全体股东每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股。上述利润分配方案已</w:t>
      </w:r>
      <w:r>
        <w:rPr>
          <w:spacing w:val="-56"/>
        </w:rPr>
        <w:t> </w:t>
      </w:r>
      <w:r>
        <w:rPr>
          <w:spacing w:val="-56"/>
        </w:rPr>
      </w:r>
      <w:r>
        <w:rPr/>
        <w:t>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14</w:t>
      </w:r>
      <w:r>
        <w:rPr/>
        <w:t>日实施完毕。</w:t>
      </w:r>
    </w:p>
    <w:tbl>
      <w:tblPr>
        <w:tblW w:w="0" w:type="auto"/>
        <w:jc w:val="left"/>
        <w:tblInd w:w="160" w:type="dxa"/>
        <w:tblLayout w:type="fixed"/>
        <w:tblCellMar>
          <w:top w:w="0" w:type="dxa"/>
          <w:left w:w="0" w:type="dxa"/>
          <w:bottom w:w="0" w:type="dxa"/>
          <w:right w:w="0" w:type="dxa"/>
        </w:tblCellMar>
        <w:tblLook w:val="01E0"/>
      </w:tblPr>
      <w:tblGrid>
        <w:gridCol w:w="6499"/>
        <w:gridCol w:w="3059"/>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现金分红政策没有进行调整或变更</w:t>
            </w:r>
          </w:p>
        </w:tc>
      </w:tr>
    </w:tbl>
    <w:p>
      <w:pPr>
        <w:pStyle w:val="BodyText"/>
        <w:spacing w:line="240" w:lineRule="auto" w:before="58"/>
        <w:ind w:left="154" w:right="889"/>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3"/>
        <w:ind w:left="514" w:right="88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年，公司并未制定股利分配方案、资本公积转增股本方案。</w:t>
      </w:r>
    </w:p>
    <w:p>
      <w:pPr>
        <w:pStyle w:val="BodyText"/>
        <w:spacing w:line="300" w:lineRule="auto" w:before="101"/>
        <w:ind w:right="1128" w:firstLine="360"/>
        <w:jc w:val="left"/>
      </w:pPr>
      <w:r>
        <w:rPr>
          <w:rFonts w:ascii="Times New Roman" w:hAnsi="Times New Roman" w:cs="Times New Roman" w:eastAsia="Times New Roman" w:hint="default"/>
          <w:spacing w:val="-2"/>
        </w:rPr>
        <w:t>2016</w:t>
      </w:r>
      <w:r>
        <w:rPr>
          <w:spacing w:val="-2"/>
        </w:rPr>
        <w:t>年，公司以</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日的总股本</w:t>
      </w:r>
      <w:r>
        <w:rPr>
          <w:rFonts w:ascii="宋体" w:hAnsi="宋体" w:cs="宋体" w:eastAsia="宋体" w:hint="default"/>
          <w:spacing w:val="-2"/>
        </w:rPr>
        <w:t>300,000,000</w:t>
      </w:r>
      <w:r>
        <w:rPr>
          <w:spacing w:val="-2"/>
        </w:rPr>
        <w:t>股为基数，向全体股东每</w:t>
      </w:r>
      <w:r>
        <w:rPr>
          <w:rFonts w:ascii="宋体" w:hAnsi="宋体" w:cs="宋体" w:eastAsia="宋体" w:hint="default"/>
          <w:spacing w:val="-2"/>
        </w:rPr>
        <w:t>10</w:t>
      </w:r>
      <w:r>
        <w:rPr>
          <w:spacing w:val="-2"/>
        </w:rPr>
        <w:t>股派发现金股利</w:t>
      </w:r>
      <w:r>
        <w:rPr>
          <w:rFonts w:ascii="宋体" w:hAnsi="宋体" w:cs="宋体" w:eastAsia="宋体" w:hint="default"/>
          <w:spacing w:val="-2"/>
        </w:rPr>
        <w:t>2</w:t>
      </w:r>
      <w:r>
        <w:rPr>
          <w:spacing w:val="-2"/>
        </w:rPr>
        <w:t>元（含</w:t>
      </w:r>
      <w:r>
        <w:rPr>
          <w:spacing w:val="47"/>
        </w:rPr>
        <w:t> </w:t>
      </w:r>
      <w:r>
        <w:rPr>
          <w:spacing w:val="-19"/>
        </w:rPr>
        <w:t>税），不送红</w:t>
      </w:r>
      <w:r>
        <w:rPr/>
        <w:t> 股，以资本公积金每</w:t>
      </w:r>
      <w:r>
        <w:rPr>
          <w:rFonts w:ascii="宋体" w:hAnsi="宋体" w:cs="宋体" w:eastAsia="宋体" w:hint="default"/>
        </w:rPr>
        <w:t>10</w:t>
      </w:r>
      <w:r>
        <w:rPr/>
        <w:t>股转增</w:t>
      </w:r>
      <w:r>
        <w:rPr>
          <w:rFonts w:ascii="宋体" w:hAnsi="宋体" w:cs="宋体" w:eastAsia="宋体" w:hint="default"/>
        </w:rPr>
        <w:t>10</w:t>
      </w:r>
      <w:r>
        <w:rPr/>
        <w:t>股。</w:t>
      </w:r>
    </w:p>
    <w:p>
      <w:pPr>
        <w:pStyle w:val="BodyText"/>
        <w:spacing w:line="240" w:lineRule="auto" w:before="31"/>
        <w:ind w:left="514" w:right="889"/>
        <w:jc w:val="left"/>
      </w:pPr>
      <w:r>
        <w:rPr>
          <w:rFonts w:ascii="Times New Roman" w:hAnsi="Times New Roman" w:cs="Times New Roman" w:eastAsia="Times New Roman" w:hint="default"/>
        </w:rPr>
        <w:t>2017</w:t>
      </w:r>
      <w:r>
        <w:rPr/>
        <w:t>年，公司以截至</w:t>
      </w:r>
      <w:r>
        <w:rPr>
          <w:rFonts w:ascii="宋体" w:hAnsi="宋体" w:cs="宋体" w:eastAsia="宋体" w:hint="default"/>
        </w:rPr>
        <w:t>2017</w:t>
      </w:r>
      <w:r>
        <w:rPr/>
        <w:t>年度经审计的可供分配利润向全体股东派发现金股利（含税）</w:t>
      </w:r>
      <w:r>
        <w:rPr>
          <w:rFonts w:ascii="宋体" w:hAnsi="宋体" w:cs="宋体" w:eastAsia="宋体" w:hint="default"/>
        </w:rPr>
        <w:t>3,000</w:t>
      </w:r>
      <w:r>
        <w:rPr/>
        <w:t>万元，即每</w:t>
      </w:r>
      <w:r>
        <w:rPr>
          <w:rFonts w:ascii="宋体" w:hAnsi="宋体" w:cs="宋体" w:eastAsia="宋体" w:hint="default"/>
        </w:rPr>
        <w:t>10</w:t>
      </w:r>
      <w:r>
        <w:rPr/>
        <w:t>股派发现金</w:t>
      </w:r>
    </w:p>
    <w:p>
      <w:pPr>
        <w:pStyle w:val="BodyText"/>
        <w:spacing w:line="240" w:lineRule="auto" w:before="63"/>
        <w:ind w:right="889"/>
        <w:jc w:val="left"/>
      </w:pPr>
      <w:r>
        <w:rPr/>
        <w:t>（含税）</w:t>
      </w:r>
      <w:r>
        <w:rPr>
          <w:rFonts w:ascii="宋体" w:hAnsi="宋体" w:cs="宋体" w:eastAsia="宋体" w:hint="default"/>
        </w:rPr>
        <w:t>0.5</w:t>
      </w:r>
      <w:r>
        <w:rPr/>
        <w:t>元。</w:t>
      </w:r>
    </w:p>
    <w:p>
      <w:pPr>
        <w:spacing w:line="240" w:lineRule="auto" w:before="6"/>
        <w:rPr>
          <w:rFonts w:ascii="宋体" w:hAnsi="宋体" w:cs="宋体" w:eastAsia="宋体" w:hint="default"/>
          <w:sz w:val="29"/>
          <w:szCs w:val="29"/>
        </w:rPr>
      </w:pPr>
    </w:p>
    <w:p>
      <w:pPr>
        <w:pStyle w:val="BodyText"/>
        <w:spacing w:line="240" w:lineRule="auto" w:before="44"/>
        <w:ind w:left="154" w:right="889"/>
        <w:jc w:val="left"/>
      </w:pPr>
      <w:r>
        <w:rPr/>
        <w:t>公司近三年（包括本报告期）普通股现金分红情况表</w:t>
      </w:r>
    </w:p>
    <w:p>
      <w:pPr>
        <w:pStyle w:val="BodyText"/>
        <w:spacing w:line="240" w:lineRule="auto" w:before="117"/>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1842"/>
        <w:gridCol w:w="1949"/>
        <w:gridCol w:w="1879"/>
        <w:gridCol w:w="1416"/>
        <w:gridCol w:w="1487"/>
      </w:tblGrid>
      <w:tr>
        <w:trPr>
          <w:trHeight w:val="161" w:hRule="exact"/>
        </w:trPr>
        <w:tc>
          <w:tcPr>
            <w:tcW w:w="994" w:type="dxa"/>
            <w:vMerge w:val="restart"/>
            <w:tcBorders>
              <w:top w:val="single" w:sz="4" w:space="0" w:color="000000"/>
              <w:left w:val="single" w:sz="4" w:space="0" w:color="000000"/>
              <w:right w:val="single" w:sz="4" w:space="0" w:color="000000"/>
            </w:tcBorders>
            <w:shd w:val="clear" w:color="auto" w:fill="D2D2D2"/>
          </w:tcPr>
          <w:p>
            <w:pPr/>
          </w:p>
        </w:tc>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94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8" w:right="69"/>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属于上市公司普通股股 东的净利润</w:t>
            </w:r>
          </w:p>
        </w:tc>
        <w:tc>
          <w:tcPr>
            <w:tcW w:w="187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3" w:right="35"/>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市公司普通股股东的净 利润的比率</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1842" w:type="dxa"/>
            <w:vMerge/>
            <w:tcBorders>
              <w:left w:val="single" w:sz="4" w:space="0" w:color="000000"/>
              <w:bottom w:val="nil" w:sz="6" w:space="0" w:color="auto"/>
              <w:right w:val="single" w:sz="4" w:space="0" w:color="000000"/>
            </w:tcBorders>
            <w:shd w:val="clear" w:color="auto" w:fill="D2D2D2"/>
          </w:tcPr>
          <w:p>
            <w:pPr/>
          </w:p>
        </w:tc>
        <w:tc>
          <w:tcPr>
            <w:tcW w:w="1949" w:type="dxa"/>
            <w:vMerge/>
            <w:tcBorders>
              <w:left w:val="single" w:sz="4" w:space="0" w:color="000000"/>
              <w:right w:val="single" w:sz="4" w:space="0" w:color="000000"/>
            </w:tcBorders>
            <w:shd w:val="clear" w:color="auto" w:fill="D2D2D2"/>
          </w:tcPr>
          <w:p>
            <w:pPr/>
          </w:p>
        </w:tc>
        <w:tc>
          <w:tcPr>
            <w:tcW w:w="1879"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3" w:right="71"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48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9" w:right="107"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392"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8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righ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1949" w:type="dxa"/>
            <w:vMerge/>
            <w:tcBorders>
              <w:left w:val="single" w:sz="4" w:space="0" w:color="000000"/>
              <w:right w:val="single" w:sz="4" w:space="0" w:color="000000"/>
            </w:tcBorders>
            <w:shd w:val="clear" w:color="auto" w:fill="D2D2D2"/>
          </w:tcPr>
          <w:p>
            <w:pPr/>
          </w:p>
        </w:tc>
        <w:tc>
          <w:tcPr>
            <w:tcW w:w="1879"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1487" w:type="dxa"/>
            <w:vMerge/>
            <w:tcBorders>
              <w:left w:val="single" w:sz="4" w:space="0" w:color="000000"/>
              <w:right w:val="single" w:sz="4" w:space="0" w:color="000000"/>
            </w:tcBorders>
            <w:shd w:val="clear" w:color="auto" w:fill="D2D2D2"/>
          </w:tcPr>
          <w:p>
            <w:pPr/>
          </w:p>
        </w:tc>
      </w:tr>
      <w:tr>
        <w:trPr>
          <w:trHeight w:val="156" w:hRule="exact"/>
        </w:trPr>
        <w:tc>
          <w:tcPr>
            <w:tcW w:w="994" w:type="dxa"/>
            <w:vMerge w:val="restart"/>
            <w:tcBorders>
              <w:top w:val="nil" w:sz="6" w:space="0" w:color="auto"/>
              <w:left w:val="single" w:sz="4" w:space="0" w:color="000000"/>
              <w:right w:val="single" w:sz="4" w:space="0" w:color="000000"/>
            </w:tcBorders>
            <w:shd w:val="clear" w:color="auto" w:fill="D2D2D2"/>
          </w:tcPr>
          <w:p>
            <w:pPr/>
          </w:p>
        </w:tc>
        <w:tc>
          <w:tcPr>
            <w:tcW w:w="1842" w:type="dxa"/>
            <w:vMerge w:val="restart"/>
            <w:tcBorders>
              <w:top w:val="nil" w:sz="6" w:space="0" w:color="auto"/>
              <w:left w:val="single" w:sz="4" w:space="0" w:color="000000"/>
              <w:right w:val="single" w:sz="4" w:space="0" w:color="000000"/>
            </w:tcBorders>
            <w:shd w:val="clear" w:color="auto" w:fill="D2D2D2"/>
          </w:tcPr>
          <w:p>
            <w:pPr/>
          </w:p>
        </w:tc>
        <w:tc>
          <w:tcPr>
            <w:tcW w:w="1949" w:type="dxa"/>
            <w:vMerge/>
            <w:tcBorders>
              <w:left w:val="single" w:sz="4" w:space="0" w:color="000000"/>
              <w:right w:val="single" w:sz="4" w:space="0" w:color="000000"/>
            </w:tcBorders>
            <w:shd w:val="clear" w:color="auto" w:fill="D2D2D2"/>
          </w:tcPr>
          <w:p>
            <w:pPr/>
          </w:p>
        </w:tc>
        <w:tc>
          <w:tcPr>
            <w:tcW w:w="1879"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48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1842" w:type="dxa"/>
            <w:vMerge/>
            <w:tcBorders>
              <w:left w:val="single" w:sz="4" w:space="0" w:color="000000"/>
              <w:bottom w:val="single" w:sz="4" w:space="0" w:color="000000"/>
              <w:right w:val="single" w:sz="4" w:space="0" w:color="000000"/>
            </w:tcBorders>
            <w:shd w:val="clear" w:color="auto" w:fill="D2D2D2"/>
          </w:tcPr>
          <w:p>
            <w:pPr/>
          </w:p>
        </w:tc>
        <w:tc>
          <w:tcPr>
            <w:tcW w:w="1949" w:type="dxa"/>
            <w:vMerge/>
            <w:tcBorders>
              <w:left w:val="single" w:sz="4" w:space="0" w:color="000000"/>
              <w:bottom w:val="single" w:sz="4" w:space="0" w:color="000000"/>
              <w:right w:val="single" w:sz="4" w:space="0" w:color="000000"/>
            </w:tcBorders>
            <w:shd w:val="clear" w:color="auto" w:fill="D2D2D2"/>
          </w:tcPr>
          <w:p>
            <w:pPr/>
          </w:p>
        </w:tc>
        <w:tc>
          <w:tcPr>
            <w:tcW w:w="1879"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160,749,979.46</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156,183,203.24</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153,811,235.88</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889"/>
        <w:jc w:val="left"/>
      </w:pPr>
      <w:r>
        <w:rPr/>
        <w:t>公司报告期内盈利且母公司可供普通股股东分配利润为正但未提出普通股现金红利分配预案</w:t>
      </w:r>
    </w:p>
    <w:p>
      <w:pPr>
        <w:pStyle w:val="BodyText"/>
        <w:spacing w:line="240" w:lineRule="auto" w:before="117"/>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89"/>
        <w:jc w:val="left"/>
        <w:rPr>
          <w:b w:val="0"/>
          <w:bCs w:val="0"/>
        </w:rPr>
      </w:pPr>
      <w:bookmarkStart w:name="二、本报告期利润分配及资本公积金转增股本预案" w:id="60"/>
      <w:bookmarkEnd w:id="60"/>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686,698,410.87</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 w:right="20" w:firstLine="36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年，公司以截至</w:t>
            </w:r>
            <w:r>
              <w:rPr>
                <w:rFonts w:ascii="宋体" w:hAnsi="宋体" w:cs="宋体" w:eastAsia="宋体" w:hint="default"/>
                <w:spacing w:val="-51"/>
                <w:sz w:val="18"/>
                <w:szCs w:val="18"/>
              </w:rPr>
              <w:t> </w:t>
            </w: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年度经审计的可供分配利润向全体股东派发现金股利（含税）</w:t>
            </w:r>
            <w:r>
              <w:rPr>
                <w:rFonts w:ascii="宋体" w:hAnsi="宋体" w:cs="宋体" w:eastAsia="宋体" w:hint="default"/>
                <w:sz w:val="18"/>
                <w:szCs w:val="18"/>
              </w:rPr>
              <w:t>3,000</w:t>
            </w:r>
            <w:r>
              <w:rPr>
                <w:rFonts w:ascii="宋体" w:hAnsi="宋体" w:cs="宋体" w:eastAsia="宋体" w:hint="default"/>
                <w:spacing w:val="-51"/>
                <w:sz w:val="18"/>
                <w:szCs w:val="18"/>
              </w:rPr>
              <w:t> </w:t>
            </w:r>
            <w:r>
              <w:rPr>
                <w:rFonts w:ascii="宋体" w:hAnsi="宋体" w:cs="宋体" w:eastAsia="宋体" w:hint="default"/>
                <w:sz w:val="18"/>
                <w:szCs w:val="18"/>
              </w:rPr>
              <w:t>万元，即每</w:t>
            </w:r>
            <w:r>
              <w:rPr>
                <w:rFonts w:ascii="宋体" w:hAnsi="宋体" w:cs="宋体" w:eastAsia="宋体" w:hint="default"/>
                <w:spacing w:val="-51"/>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股派发 现金（含税）</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元，不送红股，不以资本公积金转增股本。</w:t>
            </w:r>
          </w:p>
        </w:tc>
      </w:tr>
    </w:tbl>
    <w:p>
      <w:pPr>
        <w:spacing w:line="240" w:lineRule="auto" w:before="2"/>
        <w:rPr>
          <w:rFonts w:ascii="宋体" w:hAnsi="宋体" w:cs="宋体" w:eastAsia="宋体" w:hint="default"/>
          <w:sz w:val="18"/>
          <w:szCs w:val="18"/>
        </w:rPr>
      </w:pPr>
    </w:p>
    <w:p>
      <w:pPr>
        <w:pStyle w:val="Heading2"/>
        <w:spacing w:line="240" w:lineRule="auto" w:before="26"/>
        <w:ind w:left="154" w:right="889"/>
        <w:jc w:val="left"/>
        <w:rPr>
          <w:b w:val="0"/>
          <w:bCs w:val="0"/>
        </w:rPr>
      </w:pPr>
      <w:bookmarkStart w:name="三、承诺事项履行情况" w:id="61"/>
      <w:bookmarkEnd w:id="61"/>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889"/>
        <w:jc w:val="left"/>
        <w:rPr>
          <w:b w:val="0"/>
          <w:bCs w:val="0"/>
        </w:rPr>
      </w:pPr>
      <w:bookmarkStart w:name="1、公司实际控制人、股东、关联方、收购人以及公司等承诺相关方在报告期内履行完毕及" w:id="62"/>
      <w:bookmarkEnd w:id="62"/>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74"/>
        <w:gridCol w:w="1288"/>
        <w:gridCol w:w="992"/>
        <w:gridCol w:w="3119"/>
        <w:gridCol w:w="566"/>
        <w:gridCol w:w="1134"/>
        <w:gridCol w:w="496"/>
      </w:tblGrid>
      <w:tr>
        <w:trPr>
          <w:trHeight w:val="161"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4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2" w:right="61"/>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1" w:hRule="exact"/>
        </w:trPr>
        <w:tc>
          <w:tcPr>
            <w:tcW w:w="1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2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31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496" w:type="dxa"/>
            <w:vMerge/>
            <w:tcBorders>
              <w:left w:val="single" w:sz="4" w:space="0" w:color="000000"/>
              <w:right w:val="single" w:sz="4" w:space="0" w:color="000000"/>
            </w:tcBorders>
            <w:shd w:val="clear" w:color="auto" w:fill="D2D2D2"/>
          </w:tcPr>
          <w:p>
            <w:pPr/>
          </w:p>
        </w:tc>
      </w:tr>
      <w:tr>
        <w:trPr>
          <w:trHeight w:val="161"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49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39"/>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1"/>
              <w:ind w:left="27" w:right="0"/>
              <w:jc w:val="left"/>
              <w:rPr>
                <w:rFonts w:ascii="宋体" w:hAnsi="宋体" w:cs="宋体" w:eastAsia="宋体" w:hint="default"/>
                <w:sz w:val="18"/>
                <w:szCs w:val="18"/>
              </w:rPr>
            </w:pPr>
            <w:r>
              <w:rPr>
                <w:rFonts w:ascii="宋体" w:hAnsi="宋体" w:cs="宋体" w:eastAsia="宋体" w:hint="default"/>
                <w:sz w:val="18"/>
                <w:szCs w:val="18"/>
              </w:rPr>
              <w:t>深圳市中装建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4"/>
              <w:jc w:val="center"/>
              <w:rPr>
                <w:rFonts w:ascii="宋体" w:hAnsi="宋体" w:cs="宋体" w:eastAsia="宋体" w:hint="default"/>
                <w:sz w:val="18"/>
                <w:szCs w:val="18"/>
              </w:rPr>
            </w:pPr>
            <w:r>
              <w:rPr>
                <w:rFonts w:ascii="宋体" w:hAnsi="宋体" w:cs="宋体" w:eastAsia="宋体" w:hint="default"/>
                <w:sz w:val="18"/>
                <w:szCs w:val="18"/>
              </w:rPr>
              <w:t>股份回购、</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公司承诺</w:t>
            </w:r>
            <w:r>
              <w:rPr>
                <w:rFonts w:ascii="宋体" w:hAnsi="宋体" w:cs="宋体" w:eastAsia="宋体" w:hint="default"/>
                <w:spacing w:val="-72"/>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
                <w:sz w:val="18"/>
                <w:szCs w:val="18"/>
              </w:rPr>
              <w:t>如</w:t>
            </w:r>
            <w:r>
              <w:rPr>
                <w:rFonts w:ascii="宋体" w:hAnsi="宋体" w:cs="宋体" w:eastAsia="宋体" w:hint="default"/>
                <w:sz w:val="18"/>
                <w:szCs w:val="18"/>
              </w:rPr>
              <w:t>本公司首次公开发行股票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正常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277"/>
        <w:gridCol w:w="992"/>
        <w:gridCol w:w="3119"/>
        <w:gridCol w:w="566"/>
        <w:gridCol w:w="1134"/>
        <w:gridCol w:w="496"/>
      </w:tblGrid>
      <w:tr>
        <w:trPr>
          <w:trHeight w:val="4731"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时所作承诺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2"/>
              <w:jc w:val="left"/>
              <w:rPr>
                <w:rFonts w:ascii="宋体" w:hAnsi="宋体" w:cs="宋体" w:eastAsia="宋体" w:hint="default"/>
                <w:sz w:val="18"/>
                <w:szCs w:val="18"/>
              </w:rPr>
            </w:pPr>
            <w:r>
              <w:rPr>
                <w:rFonts w:ascii="宋体" w:hAnsi="宋体" w:cs="宋体" w:eastAsia="宋体" w:hint="default"/>
                <w:sz w:val="18"/>
                <w:szCs w:val="18"/>
              </w:rPr>
              <w:t>设集团股份有 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7"/>
              <w:jc w:val="left"/>
              <w:rPr>
                <w:rFonts w:ascii="宋体" w:hAnsi="宋体" w:cs="宋体" w:eastAsia="宋体" w:hint="default"/>
                <w:sz w:val="18"/>
                <w:szCs w:val="18"/>
              </w:rPr>
            </w:pPr>
            <w:r>
              <w:rPr>
                <w:rFonts w:ascii="宋体" w:hAnsi="宋体" w:cs="宋体" w:eastAsia="宋体" w:hint="default"/>
                <w:sz w:val="18"/>
                <w:szCs w:val="18"/>
              </w:rPr>
              <w:t>赔偿损失承 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并上市招股说明书中有虚假记载、误导 性陈述或者重大遗漏，对判断本公司是 否符合法律规定的发行条件构成重大、 实质影响的，并已由人民法院作出相关 判决的，本公司将依法回购首次公开发 行的全部新股，回购价格为首次公开发 行股票时的发行价格（如遇除权、除息 事项，则上述股票回购价格的计算方法 按照证券交易所的有关规定作除权除息 </w:t>
            </w:r>
            <w:r>
              <w:rPr>
                <w:rFonts w:ascii="宋体" w:hAnsi="宋体" w:cs="宋体" w:eastAsia="宋体" w:hint="default"/>
                <w:spacing w:val="-10"/>
                <w:sz w:val="18"/>
                <w:szCs w:val="18"/>
              </w:rPr>
              <w:t>处理，下同）。如本公司首次公开发行股</w:t>
            </w:r>
            <w:r>
              <w:rPr>
                <w:rFonts w:ascii="宋体" w:hAnsi="宋体" w:cs="宋体" w:eastAsia="宋体" w:hint="default"/>
                <w:sz w:val="18"/>
                <w:szCs w:val="18"/>
              </w:rPr>
              <w:t> 票并上市招股说明书中有虚假记载、误 导性陈述或者重大遗漏，致使投资者在 证券交易中遭受损失，并已由人民法院 作出相关判决的，本公司将依法赔偿投 资者损失。</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1"/>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9099"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16"/>
              <w:jc w:val="left"/>
              <w:rPr>
                <w:rFonts w:ascii="宋体" w:hAnsi="宋体" w:cs="宋体" w:eastAsia="宋体" w:hint="default"/>
                <w:sz w:val="18"/>
                <w:szCs w:val="18"/>
              </w:rPr>
            </w:pPr>
            <w:r>
              <w:rPr>
                <w:rFonts w:ascii="宋体" w:hAnsi="宋体" w:cs="宋体" w:eastAsia="宋体" w:hint="default"/>
                <w:sz w:val="18"/>
                <w:szCs w:val="18"/>
              </w:rPr>
              <w:t>深圳市中装建 设集团股份有 限公司、庄重、 庄展诺、庄小 </w:t>
            </w:r>
            <w:r>
              <w:rPr>
                <w:rFonts w:ascii="宋体" w:hAnsi="宋体" w:cs="宋体" w:eastAsia="宋体" w:hint="default"/>
                <w:spacing w:val="-6"/>
                <w:sz w:val="18"/>
                <w:szCs w:val="18"/>
              </w:rPr>
              <w:t>红、庄超喜、赵</w:t>
            </w:r>
            <w:r>
              <w:rPr>
                <w:rFonts w:ascii="宋体" w:hAnsi="宋体" w:cs="宋体" w:eastAsia="宋体" w:hint="default"/>
                <w:sz w:val="18"/>
                <w:szCs w:val="18"/>
              </w:rPr>
              <w:t> </w:t>
            </w:r>
            <w:r>
              <w:rPr>
                <w:rFonts w:ascii="宋体" w:hAnsi="宋体" w:cs="宋体" w:eastAsia="宋体" w:hint="default"/>
                <w:spacing w:val="-6"/>
                <w:sz w:val="18"/>
                <w:szCs w:val="18"/>
              </w:rPr>
              <w:t>海峰、何斌、廖</w:t>
            </w:r>
            <w:r>
              <w:rPr>
                <w:rFonts w:ascii="宋体" w:hAnsi="宋体" w:cs="宋体" w:eastAsia="宋体" w:hint="default"/>
                <w:sz w:val="18"/>
                <w:szCs w:val="18"/>
              </w:rPr>
              <w:t> 伟潭、于桂添、 何玉辉、张水 霞、张雄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pacing w:val="-4"/>
                <w:w w:val="99"/>
                <w:sz w:val="18"/>
                <w:szCs w:val="18"/>
              </w:rPr>
              <w:t>公司承诺：</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如果本公司首次公开发行股</w:t>
            </w:r>
            <w:r>
              <w:rPr>
                <w:rFonts w:ascii="宋体" w:hAnsi="宋体" w:cs="宋体" w:eastAsia="宋体" w:hint="default"/>
                <w:sz w:val="18"/>
                <w:szCs w:val="18"/>
              </w:rPr>
              <w:t> 票并上市招股说明书中有虚假记载、误 导性陈述或者重大遗漏，对判断发行人 是否符合法律规定的发行条件构成重 大、实质影响的，并已由人民法院作出 相关判决的，本人将依法购回已转让的 原限售股份（即本人在中装建设首次公 </w:t>
            </w:r>
            <w:r>
              <w:rPr>
                <w:rFonts w:ascii="宋体" w:hAnsi="宋体" w:cs="宋体" w:eastAsia="宋体" w:hint="default"/>
                <w:spacing w:val="-10"/>
                <w:sz w:val="18"/>
                <w:szCs w:val="18"/>
              </w:rPr>
              <w:t>开发行新股时所公开发售的股份），购回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价格为中装建设首次公开发行股票时的 发行价格。如果本公司首次公开发行股 票并上市招股说明书中有虚假记载、误 导性陈述或者重大遗漏，致使投资者在 证券交易中遭受损失，并已由人民法院 作出相关判决的，本人将依法赔偿投资 者损失。本人严格履行上述承诺内容。 若本人违反相关承诺，本人将在发行人 股东大会上公开说明未履行的具体原因 并向发行人股东和社会公众投资者道 歉，并在违反相关承诺发生之日起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10"/>
                <w:sz w:val="18"/>
                <w:szCs w:val="18"/>
              </w:rPr>
              <w:t>工作日内，暂停在发行人处领取薪酬（或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津贴）及股东分红，直至按承诺采取相 应的回购或赔偿措施并实施完毕时为 止。</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公司全体董事、监事、高级管理 </w:t>
            </w:r>
            <w:r>
              <w:rPr>
                <w:rFonts w:ascii="宋体" w:hAnsi="宋体" w:cs="宋体" w:eastAsia="宋体" w:hint="default"/>
                <w:spacing w:val="-4"/>
                <w:w w:val="99"/>
                <w:sz w:val="18"/>
                <w:szCs w:val="18"/>
              </w:rPr>
              <w:t>人员承诺：</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如本公司首次公开发行股票</w:t>
            </w:r>
            <w:r>
              <w:rPr>
                <w:rFonts w:ascii="宋体" w:hAnsi="宋体" w:cs="宋体" w:eastAsia="宋体" w:hint="default"/>
                <w:sz w:val="18"/>
                <w:szCs w:val="18"/>
              </w:rPr>
              <w:t> 并上市招股说明书中有虚假记载、误导 性陈述或者重大遗漏，致使投资者在证 券交易中遭受损失，并已由人民法院作 出相关判决的，本人将依法赔偿投资者 损失。本人严格履行上述承诺内容，如</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83.368011pt;margin-top:329.119995pt;width:70.1pt;height:124.85pt;mso-position-horizontal-relative:page;mso-position-vertical-relative:page;z-index:-896608" type="#_x0000_t202" filled="false" stroked="false">
            <v:textbox inset="0,0,0,0">
              <w:txbxContent>
                <w:p>
                  <w:pPr>
                    <w:pStyle w:val="BodyText"/>
                    <w:spacing w:line="240" w:lineRule="auto" w:before="51"/>
                    <w:ind w:left="0" w:right="0"/>
                    <w:jc w:val="left"/>
                  </w:pPr>
                  <w:r>
                    <w:rPr/>
                    <w:t>展诺承诺：</w:t>
                  </w:r>
                </w:p>
              </w:txbxContent>
            </v:textbox>
            <w10:wrap type="none"/>
          </v:shape>
        </w:pict>
      </w:r>
      <w:r>
        <w:rPr/>
        <w:pict>
          <v:shape style="position:absolute;margin-left:329.377014pt;margin-top:734.459961pt;width:124.05pt;height:22.4pt;mso-position-horizontal-relative:page;mso-position-vertical-relative:page;z-index:-896584" type="#_x0000_t202" filled="false" stroked="false">
            <v:textbox inset="0,0,0,0">
              <w:txbxContent>
                <w:p>
                  <w:pPr>
                    <w:pStyle w:val="BodyText"/>
                    <w:spacing w:line="240" w:lineRule="auto" w:before="146"/>
                    <w:ind w:left="0" w:right="0"/>
                    <w:jc w:val="left"/>
                  </w:pPr>
                  <w:r>
                    <w:rPr/>
                    <w:t>转让价格不低于发行价；</w:t>
                  </w:r>
                </w:p>
              </w:txbxContent>
            </v:textbox>
            <w10:wrap type="none"/>
          </v:shape>
        </w:pict>
      </w:r>
      <w:r>
        <w:rPr/>
        <w:pict>
          <v:group style="position:absolute;margin-left:425.579987pt;margin-top:72.47998pt;width:27.85pt;height:111.3pt;mso-position-horizontal-relative:page;mso-position-vertical-relative:page;z-index:-896560" coordorigin="8512,1450" coordsize="557,2226">
            <v:shape style="position:absolute;left:8512;top:1450;width:557;height:2226" coordorigin="8512,1450" coordsize="557,2226" path="m8512,3675l9068,3675,9068,1450,8512,1450,8512,3675xe" filled="true" fillcolor="#ffffff" stroked="false">
              <v:path arrowok="t"/>
              <v:fill type="solid"/>
            </v:shape>
            <w10:wrap type="none"/>
          </v:group>
        </w:pict>
      </w:r>
      <w:r>
        <w:rPr/>
        <w:pict>
          <v:group style="position:absolute;margin-left:425.579987pt;margin-top:329.119995pt;width:27.85pt;height:124.85pt;mso-position-horizontal-relative:page;mso-position-vertical-relative:page;z-index:-896536" coordorigin="8512,6582" coordsize="557,2497">
            <v:shape style="position:absolute;left:8512;top:6582;width:557;height:2497" coordorigin="8512,6582" coordsize="557,2497" path="m8512,9079l9068,9079,9068,6582,8512,6582,8512,9079xe" filled="true" fillcolor="#ffffff" stroked="false">
              <v:path arrowok="t"/>
              <v:fill type="solid"/>
            </v:shape>
            <w10:wrap type="none"/>
          </v:group>
        </w:pict>
      </w:r>
      <w:r>
        <w:rPr/>
        <w:pict>
          <v:group style="position:absolute;margin-left:425.579987pt;margin-top:520.359985pt;width:27.85pt;height:124.8pt;mso-position-horizontal-relative:page;mso-position-vertical-relative:page;z-index:-896512" coordorigin="8512,10407" coordsize="557,2496">
            <v:shape style="position:absolute;left:8512;top:10407;width:557;height:2496" coordorigin="8512,10407" coordsize="557,2496" path="m8512,12903l9068,12903,9068,10407,8512,10407,8512,12903xe" filled="true" fillcolor="#ffffff" stroked="false">
              <v:path arrowok="t"/>
              <v:fill type="solid"/>
            </v:shape>
            <w10:wrap type="none"/>
          </v:group>
        </w:pict>
      </w:r>
      <w:r>
        <w:rPr/>
        <w:pict>
          <v:group style="position:absolute;margin-left:425.579987pt;margin-top:734.459961pt;width:27.85pt;height:22.4pt;mso-position-horizontal-relative:page;mso-position-vertical-relative:page;z-index:-896488" coordorigin="8512,14689" coordsize="557,448">
            <v:shape style="position:absolute;left:8512;top:14689;width:557;height:448" coordorigin="8512,14689" coordsize="557,448" path="m8512,15137l9068,15137,9068,14689,8512,14689,8512,1513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277"/>
        <w:gridCol w:w="992"/>
        <w:gridCol w:w="3119"/>
        <w:gridCol w:w="566"/>
        <w:gridCol w:w="1134"/>
        <w:gridCol w:w="496"/>
      </w:tblGrid>
      <w:tr>
        <w:trPr>
          <w:trHeight w:val="317"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有违反，本人将在发行人股东大会上公</w:t>
            </w:r>
          </w:p>
        </w:tc>
        <w:tc>
          <w:tcPr>
            <w:tcW w:w="566"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496" w:type="dxa"/>
            <w:vMerge w:val="restart"/>
            <w:tcBorders>
              <w:top w:val="single" w:sz="4"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开说明未履行的具体原因并向发行人股</w:t>
            </w:r>
          </w:p>
        </w:tc>
        <w:tc>
          <w:tcPr>
            <w:tcW w:w="566"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东和社会公众投资者道歉，并在违反承</w:t>
            </w:r>
          </w:p>
        </w:tc>
        <w:tc>
          <w:tcPr>
            <w:tcW w:w="566"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诺发生之日起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个工作日内，暂停在发</w:t>
            </w:r>
          </w:p>
        </w:tc>
        <w:tc>
          <w:tcPr>
            <w:tcW w:w="566"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行人处领取薪酬（如有</w:t>
            </w:r>
            <w:r>
              <w:rPr>
                <w:rFonts w:ascii="宋体" w:hAnsi="宋体" w:cs="宋体" w:eastAsia="宋体" w:hint="default"/>
                <w:spacing w:val="-90"/>
                <w:sz w:val="18"/>
                <w:szCs w:val="18"/>
              </w:rPr>
              <w:t>）</w:t>
            </w:r>
            <w:r>
              <w:rPr>
                <w:rFonts w:ascii="宋体" w:hAnsi="宋体" w:cs="宋体" w:eastAsia="宋体" w:hint="default"/>
                <w:sz w:val="18"/>
                <w:szCs w:val="18"/>
              </w:rPr>
              <w:t>、津贴（如有</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34"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及股东分</w:t>
            </w:r>
            <w:r>
              <w:rPr>
                <w:rFonts w:ascii="宋体" w:hAnsi="宋体" w:cs="宋体" w:eastAsia="宋体" w:hint="default"/>
                <w:spacing w:val="-45"/>
                <w:sz w:val="18"/>
                <w:szCs w:val="18"/>
              </w:rPr>
              <w:t>红</w:t>
            </w: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直至按承诺采取相</w:t>
            </w:r>
          </w:p>
        </w:tc>
        <w:tc>
          <w:tcPr>
            <w:tcW w:w="566"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应的赔偿措施并实施完毕时为止。</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96" w:type="dxa"/>
            <w:vMerge/>
            <w:tcBorders>
              <w:left w:val="single" w:sz="4" w:space="0" w:color="000000"/>
              <w:bottom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公司控股股东庄小红及实际控制人庄</w:t>
            </w:r>
          </w:p>
        </w:tc>
        <w:tc>
          <w:tcPr>
            <w:tcW w:w="56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9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重、庄小红和庄展诺承诺：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如应有权部</w:t>
            </w:r>
          </w:p>
        </w:tc>
        <w:tc>
          <w:tcPr>
            <w:tcW w:w="56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庄重、庄小红、 庄展诺</w:t>
            </w:r>
          </w:p>
        </w:tc>
        <w:tc>
          <w:tcPr>
            <w:tcW w:w="992" w:type="dxa"/>
            <w:tcBorders>
              <w:top w:val="nil" w:sz="6" w:space="0" w:color="auto"/>
              <w:left w:val="single" w:sz="9"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6" w:right="57"/>
              <w:jc w:val="both"/>
              <w:rPr>
                <w:rFonts w:ascii="宋体" w:hAnsi="宋体" w:cs="宋体" w:eastAsia="宋体" w:hint="default"/>
                <w:sz w:val="18"/>
                <w:szCs w:val="18"/>
              </w:rPr>
            </w:pPr>
            <w:r>
              <w:rPr>
                <w:rFonts w:ascii="宋体" w:hAnsi="宋体" w:cs="宋体" w:eastAsia="宋体" w:hint="default"/>
                <w:sz w:val="18"/>
                <w:szCs w:val="18"/>
              </w:rPr>
              <w:t>补缴社会保 险或住房公 积金承诺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4"/>
              <w:jc w:val="both"/>
              <w:rPr>
                <w:rFonts w:ascii="宋体" w:hAnsi="宋体" w:cs="宋体" w:eastAsia="宋体" w:hint="default"/>
                <w:sz w:val="18"/>
                <w:szCs w:val="18"/>
              </w:rPr>
            </w:pPr>
            <w:r>
              <w:rPr>
                <w:rFonts w:ascii="宋体" w:hAnsi="宋体" w:cs="宋体" w:eastAsia="宋体" w:hint="default"/>
                <w:sz w:val="18"/>
                <w:szCs w:val="18"/>
              </w:rPr>
              <w:t>门要求或根据其决定，中装建设或其子 公司需要为其员工补缴社保或住房公积 金，或者中装建设或其子公司因未为员 工缴纳住房公积金而受到任何罚款或其 他损失，本人愿意在无需中装建设或其</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13"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子公司支付任何对价的情况下承担所有</w:t>
            </w:r>
          </w:p>
        </w:tc>
        <w:tc>
          <w:tcPr>
            <w:tcW w:w="56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相关金钱赔付义务和责任。</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9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实际控制人庄重、庄小红、庄</w:t>
            </w:r>
          </w:p>
        </w:tc>
        <w:tc>
          <w:tcPr>
            <w:tcW w:w="56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9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自中装建设股票在证券交易所上市交易</w:t>
            </w:r>
          </w:p>
        </w:tc>
        <w:tc>
          <w:tcPr>
            <w:tcW w:w="56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之日起三十六个月内，不转让或者委托</w:t>
            </w:r>
          </w:p>
        </w:tc>
        <w:tc>
          <w:tcPr>
            <w:tcW w:w="56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他人管理本人所持中装建设的股份，也</w:t>
            </w:r>
          </w:p>
        </w:tc>
        <w:tc>
          <w:tcPr>
            <w:tcW w:w="56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不要求发行人回购本人所持有的该公司</w:t>
            </w:r>
          </w:p>
        </w:tc>
        <w:tc>
          <w:tcPr>
            <w:tcW w:w="56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股份。如发行人上市后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个月内股票连</w:t>
            </w:r>
          </w:p>
        </w:tc>
        <w:tc>
          <w:tcPr>
            <w:tcW w:w="56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个交易日的收盘价均低于发行价</w:t>
            </w:r>
          </w:p>
        </w:tc>
        <w:tc>
          <w:tcPr>
            <w:tcW w:w="56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（如遇除权、除息事项，则上述股票收</w:t>
            </w:r>
          </w:p>
        </w:tc>
        <w:tc>
          <w:tcPr>
            <w:tcW w:w="56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1253"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6"/>
              <w:jc w:val="left"/>
              <w:rPr>
                <w:rFonts w:ascii="宋体" w:hAnsi="宋体" w:cs="宋体" w:eastAsia="宋体" w:hint="default"/>
                <w:sz w:val="18"/>
                <w:szCs w:val="18"/>
              </w:rPr>
            </w:pPr>
            <w:r>
              <w:rPr>
                <w:rFonts w:ascii="宋体" w:hAnsi="宋体" w:cs="宋体" w:eastAsia="宋体" w:hint="default"/>
                <w:sz w:val="18"/>
                <w:szCs w:val="18"/>
              </w:rPr>
              <w:t>庄重、庄小红、 </w:t>
            </w:r>
            <w:r>
              <w:rPr>
                <w:rFonts w:ascii="宋体" w:hAnsi="宋体" w:cs="宋体" w:eastAsia="宋体" w:hint="default"/>
                <w:spacing w:val="-6"/>
                <w:sz w:val="18"/>
                <w:szCs w:val="18"/>
              </w:rPr>
              <w:t>庄展诺、深圳市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中装建设集团 股份有限公司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57"/>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盘价的计算方法按照证券交易所的有关 </w:t>
            </w:r>
            <w:r>
              <w:rPr>
                <w:rFonts w:ascii="宋体" w:hAnsi="宋体" w:cs="宋体" w:eastAsia="宋体" w:hint="default"/>
                <w:spacing w:val="-10"/>
                <w:sz w:val="18"/>
                <w:szCs w:val="18"/>
              </w:rPr>
              <w:t>规定作除权除息处理，下同），或者上市</w:t>
            </w:r>
            <w:r>
              <w:rPr>
                <w:rFonts w:ascii="宋体" w:hAnsi="宋体" w:cs="宋体" w:eastAsia="宋体" w:hint="default"/>
                <w:sz w:val="18"/>
                <w:szCs w:val="18"/>
              </w:rPr>
              <w:t>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个月期末收盘价低于发行价，本人</w:t>
            </w:r>
          </w:p>
          <w:p>
            <w:pPr>
              <w:pStyle w:val="TableParagraph"/>
              <w:spacing w:line="248"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持有发行人股票的锁定期限自动延长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个月。股份锁定期满后两年内，本人转</w:t>
            </w:r>
          </w:p>
        </w:tc>
        <w:tc>
          <w:tcPr>
            <w:tcW w:w="56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让的股份不超过上市时本人所持中装建</w:t>
            </w:r>
          </w:p>
        </w:tc>
        <w:tc>
          <w:tcPr>
            <w:tcW w:w="56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设股票数量的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，且转让价格不低于</w:t>
            </w:r>
          </w:p>
        </w:tc>
        <w:tc>
          <w:tcPr>
            <w:tcW w:w="56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发行价（如遇除权、除息事项，则上述</w:t>
            </w:r>
          </w:p>
        </w:tc>
        <w:tc>
          <w:tcPr>
            <w:tcW w:w="56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股票转让价格的计算方法按照证券交易</w:t>
            </w:r>
          </w:p>
        </w:tc>
        <w:tc>
          <w:tcPr>
            <w:tcW w:w="56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所的有关规定作除权除息处理，下同</w:t>
            </w:r>
            <w:r>
              <w:rPr>
                <w:rFonts w:ascii="宋体" w:hAnsi="宋体" w:cs="宋体" w:eastAsia="宋体" w:hint="default"/>
                <w:spacing w:val="-90"/>
                <w:sz w:val="18"/>
                <w:szCs w:val="18"/>
              </w:rPr>
              <w:t>）</w:t>
            </w:r>
            <w:r>
              <w:rPr>
                <w:rFonts w:ascii="宋体" w:hAnsi="宋体" w:cs="宋体" w:eastAsia="宋体" w:hint="default"/>
                <w:sz w:val="18"/>
                <w:szCs w:val="18"/>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本人在转让所持中装建设股票时，将在</w:t>
            </w:r>
          </w:p>
        </w:tc>
        <w:tc>
          <w:tcPr>
            <w:tcW w:w="56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减持前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个交易日通过中装建设公告。</w:t>
            </w:r>
          </w:p>
        </w:tc>
        <w:tc>
          <w:tcPr>
            <w:tcW w:w="56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9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发行人股东邓会生承诺：自中装建设股</w:t>
            </w:r>
          </w:p>
        </w:tc>
        <w:tc>
          <w:tcPr>
            <w:tcW w:w="56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96"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98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邓会生</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9" w:lineRule="auto"/>
              <w:ind w:left="22" w:right="57"/>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票在证券交易所上市交易之日起三十六 个月内，不转让或者委托他人管理本人 所持中装建设的股份，也不要求发行人 回购本人所持有的该公司股份。发行人 上市前本人所持有的股票在锁定期满后</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两年内转让的，</w:t>
            </w:r>
          </w:p>
        </w:tc>
        <w:tc>
          <w:tcPr>
            <w:tcW w:w="56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9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277"/>
        <w:gridCol w:w="992"/>
        <w:gridCol w:w="3119"/>
        <w:gridCol w:w="566"/>
        <w:gridCol w:w="1134"/>
        <w:gridCol w:w="498"/>
      </w:tblGrid>
      <w:tr>
        <w:trPr>
          <w:trHeight w:val="1611"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如发行人上市后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个交易日的收盘价均低于发行价，或者 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个月期末收盘价低于发行价， 本人持有发行人股票的锁定期限自动延 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98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pacing w:val="-6"/>
                <w:sz w:val="18"/>
                <w:szCs w:val="18"/>
              </w:rPr>
              <w:t>陈一、鼎润天成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57"/>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发行人股东陈一、鼎润天成承诺：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自中</w:t>
            </w:r>
            <w:r>
              <w:rPr>
                <w:rFonts w:ascii="宋体" w:hAnsi="宋体" w:cs="宋体" w:eastAsia="宋体" w:hint="default"/>
                <w:sz w:val="18"/>
                <w:szCs w:val="18"/>
              </w:rPr>
              <w:t> 装建设股票在证券交易所上市交易之日 起十二个月内，不转让或者委托他人管 理本人（本企业）所持中装建设股份， 也不要求发行人回购本人（本企业）所 持有的该公司股份。股份锁定期满后两 年内，本人（本企业）转让的股份不超 过上市时本人（本企业）所持中装建设 股票数量的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，转让价格为届时市场 价格。本人（本企业）在转让所持中装 建设股票时，将在减持前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个交易日通 过中装建设公告。</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03"/>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2898" w:hRule="exact"/>
        </w:trPr>
        <w:tc>
          <w:tcPr>
            <w:tcW w:w="198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6"/>
                <w:sz w:val="18"/>
                <w:szCs w:val="18"/>
              </w:rPr>
              <w:t>昆山中科、刘广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华、福州中科、 </w:t>
            </w:r>
            <w:r>
              <w:rPr>
                <w:rFonts w:ascii="宋体" w:hAnsi="宋体" w:cs="宋体" w:eastAsia="宋体" w:hint="default"/>
                <w:spacing w:val="-6"/>
                <w:sz w:val="18"/>
                <w:szCs w:val="18"/>
              </w:rPr>
              <w:t>国投衡盈、上海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融银、盐城中 科、骥业投资、 </w:t>
            </w:r>
            <w:r>
              <w:rPr>
                <w:rFonts w:ascii="宋体" w:hAnsi="宋体" w:cs="宋体" w:eastAsia="宋体" w:hint="default"/>
                <w:spacing w:val="-6"/>
                <w:sz w:val="18"/>
                <w:szCs w:val="18"/>
              </w:rPr>
              <w:t>华浩投资、江西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中嘉、中科汇通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6" w:right="57"/>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发行人股东昆山中科、刘广华、福州中 科、国投衡盈、上海融银、盐城中科、 骥业投资、华浩投资、江西中嘉、中科 汇通（深圳）承诺：自中装建设股票在 证券交易所上市交易之日起十二个月 内，不转让或者委托他人管理本人（本 企业）所持中装建设股份，也不要求发 行人回购本人（本企业）所持有的该公 司股份。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03"/>
              <w:jc w:val="both"/>
              <w:rPr>
                <w:rFonts w:ascii="宋体" w:hAnsi="宋体" w:cs="宋体" w:eastAsia="宋体" w:hint="default"/>
                <w:sz w:val="18"/>
                <w:szCs w:val="18"/>
              </w:rPr>
            </w:pPr>
            <w:r>
              <w:rPr>
                <w:rFonts w:ascii="宋体" w:hAnsi="宋体" w:cs="宋体" w:eastAsia="宋体" w:hint="default"/>
                <w:sz w:val="18"/>
                <w:szCs w:val="18"/>
              </w:rPr>
              <w:t>已履 行完 毕</w:t>
            </w:r>
          </w:p>
        </w:tc>
      </w:tr>
      <w:tr>
        <w:trPr>
          <w:trHeight w:val="5355"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6"/>
                <w:sz w:val="18"/>
                <w:szCs w:val="18"/>
              </w:rPr>
              <w:t>庄小红、庄展诺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57"/>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股东庄小红和庄展诺承诺：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本人作为持</w:t>
            </w:r>
            <w:r>
              <w:rPr>
                <w:rFonts w:ascii="宋体" w:hAnsi="宋体" w:cs="宋体" w:eastAsia="宋体" w:hint="default"/>
                <w:sz w:val="18"/>
                <w:szCs w:val="18"/>
              </w:rPr>
              <w:t> 有中装建设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以上股份的股东，在股 份锁定期满后，可根据需要以集中竞价 交易、大宗交易、协议转让或其他合法 的方式转让所持中装建设的部分股票。 其中，锁定期满后两年内转让的股份不 超过上市时本人所持中装建设股票数量 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，且转让价格不低于发行价（如 遇除权、除息事项，则上述股票转让价 格的计算方法按照证券交易所的有关规 </w:t>
            </w:r>
            <w:r>
              <w:rPr>
                <w:rFonts w:ascii="宋体" w:hAnsi="宋体" w:cs="宋体" w:eastAsia="宋体" w:hint="default"/>
                <w:spacing w:val="-10"/>
                <w:sz w:val="18"/>
                <w:szCs w:val="18"/>
              </w:rPr>
              <w:t>定作除权除息处理，下同）。本人在转让</w:t>
            </w:r>
            <w:r>
              <w:rPr>
                <w:rFonts w:ascii="宋体" w:hAnsi="宋体" w:cs="宋体" w:eastAsia="宋体" w:hint="default"/>
                <w:sz w:val="18"/>
                <w:szCs w:val="18"/>
              </w:rPr>
              <w:t> 所持中装建设股票时，将在减持前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交易日通过中装建设公告。本人将忠实 履行承诺，且保证不会因控股地位、职 务变更、离职等原因不遵守上述承诺。 如本人未能履行上述承诺，则因未履行 上述承诺而获得的收入归公司所有，本</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03"/>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83.313995pt;margin-top:231.019989pt;width:70.150pt;height:163.8pt;mso-position-horizontal-relative:page;mso-position-vertical-relative:page;z-index:-8964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3"/>
                      <w:szCs w:val="23"/>
                    </w:rPr>
                  </w:pPr>
                </w:p>
                <w:p>
                  <w:pPr>
                    <w:pStyle w:val="BodyText"/>
                    <w:spacing w:line="240" w:lineRule="auto"/>
                    <w:ind w:left="0" w:right="0"/>
                    <w:jc w:val="left"/>
                  </w:pPr>
                  <w:r>
                    <w:rPr/>
                    <w:t>（本企业）</w:t>
                  </w:r>
                </w:p>
              </w:txbxContent>
            </v:textbox>
            <w10:wrap type="none"/>
          </v:shape>
        </w:pict>
      </w:r>
      <w:r>
        <w:rPr/>
        <w:pict>
          <v:shape style="position:absolute;margin-left:383.313995pt;margin-top:461.259979pt;width:70.150pt;height:163.8pt;mso-position-horizontal-relative:page;mso-position-vertical-relative:page;z-index:-8964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0"/>
                      <w:szCs w:val="20"/>
                    </w:rPr>
                  </w:pPr>
                </w:p>
                <w:p>
                  <w:pPr>
                    <w:pStyle w:val="BodyText"/>
                    <w:spacing w:line="240" w:lineRule="auto"/>
                    <w:ind w:left="0" w:right="0"/>
                    <w:jc w:val="left"/>
                  </w:pPr>
                  <w:r>
                    <w:rPr/>
                    <w:t>（本企业）</w:t>
                  </w:r>
                </w:p>
              </w:txbxContent>
            </v:textbox>
            <w10:wrap type="none"/>
          </v:shape>
        </w:pict>
      </w:r>
      <w:r>
        <w:rPr/>
        <w:pict>
          <v:shape style="position:absolute;margin-left:293.377014pt;margin-top:625.539978pt;width:160.050pt;height:38pt;mso-position-horizontal-relative:page;mso-position-vertical-relative:page;z-index:-896392" type="#_x0000_t202" filled="false" stroked="false">
            <v:textbox inset="0,0,0,0">
              <w:txbxContent>
                <w:p>
                  <w:pPr>
                    <w:pStyle w:val="BodyText"/>
                    <w:spacing w:line="240" w:lineRule="auto" w:before="51"/>
                    <w:ind w:left="0" w:right="0"/>
                    <w:jc w:val="left"/>
                  </w:pPr>
                  <w:r>
                    <w:rPr/>
                    <w:t>启动和停止股价稳定措施的条件：</w:t>
                  </w:r>
                </w:p>
              </w:txbxContent>
            </v:textbox>
            <w10:wrap type="none"/>
          </v:shape>
        </w:pict>
      </w:r>
      <w:r>
        <w:rPr/>
        <w:pict>
          <v:group style="position:absolute;margin-left:425.579987pt;margin-top:461.259979pt;width:27.85pt;height:202.3pt;mso-position-horizontal-relative:page;mso-position-vertical-relative:page;z-index:-896368" coordorigin="8512,9225" coordsize="557,4046">
            <v:group style="position:absolute;left:8512;top:9225;width:557;height:3276" coordorigin="8512,9225" coordsize="557,3276">
              <v:shape style="position:absolute;left:8512;top:9225;width:557;height:3276" coordorigin="8512,9225" coordsize="557,3276" path="m8512,12501l9068,12501,9068,9225,8512,9225,8512,12501xe" filled="true" fillcolor="#ffffff" stroked="false">
                <v:path arrowok="t"/>
                <v:fill type="solid"/>
              </v:shape>
            </v:group>
            <v:group style="position:absolute;left:8512;top:12511;width:557;height:760" coordorigin="8512,12511" coordsize="557,760">
              <v:shape style="position:absolute;left:8512;top:12511;width:557;height:760" coordorigin="8512,12511" coordsize="557,760" path="m8512,13270l9068,13270,9068,12511,8512,12511,8512,1327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277"/>
        <w:gridCol w:w="992"/>
        <w:gridCol w:w="3119"/>
        <w:gridCol w:w="566"/>
        <w:gridCol w:w="1134"/>
        <w:gridCol w:w="496"/>
      </w:tblGrid>
      <w:tr>
        <w:trPr>
          <w:trHeight w:val="3171"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人还将在公司股东大会上公开说明未履 行的具体原因并向发行人股东和社会公 众投资者道歉。如果因未履行上述承诺 给公司或者其他投资者造成损失的，本 人自违约之日起将应得的现金分红及薪 酬由中装建设直接用于执行未履行的承 诺或用于赔偿因本人未履行承诺而给上 市公司或投资者带来的损失，直至本人 履行承诺或依法弥补完上市公司、投资 者的损失为止。</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198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陈一、鼎润天成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57"/>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股东陈一和鼎润天成承诺：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本人（本企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业）作为持有中装建设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 股东，在股份锁定期满后，可根据需要 以集中竞价交易、大宗交易、协议转让 或其他合法的方式转让所持中装建设的 部分股票。其中，股份锁定期满后两年 内，本人（本企业）转让的股份数不超 过期满前直接持有的股份数的</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，转</w:t>
            </w:r>
            <w:r>
              <w:rPr>
                <w:rFonts w:ascii="宋体" w:hAnsi="宋体" w:cs="宋体" w:eastAsia="宋体" w:hint="default"/>
                <w:spacing w:val="-14"/>
                <w:sz w:val="18"/>
                <w:szCs w:val="18"/>
              </w:rPr>
              <w:t> </w:t>
            </w:r>
            <w:r>
              <w:rPr>
                <w:rFonts w:ascii="宋体" w:hAnsi="宋体" w:cs="宋体" w:eastAsia="宋体" w:hint="default"/>
                <w:spacing w:val="-4"/>
                <w:sz w:val="18"/>
                <w:szCs w:val="18"/>
              </w:rPr>
              <w:t>让价格为届时市场价格。本人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在转让所持中装建设股票时，将在减持 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个交易日通过中装建设公告。本人</w:t>
            </w:r>
          </w:p>
          <w:p>
            <w:pPr>
              <w:pStyle w:val="TableParagraph"/>
              <w:spacing w:line="316" w:lineRule="auto" w:before="3"/>
              <w:ind w:left="22" w:right="21"/>
              <w:jc w:val="both"/>
              <w:rPr>
                <w:rFonts w:ascii="宋体" w:hAnsi="宋体" w:cs="宋体" w:eastAsia="宋体" w:hint="default"/>
                <w:sz w:val="18"/>
                <w:szCs w:val="18"/>
              </w:rPr>
            </w:pPr>
            <w:r>
              <w:rPr>
                <w:rFonts w:ascii="宋体" w:hAnsi="宋体" w:cs="宋体" w:eastAsia="宋体" w:hint="default"/>
                <w:spacing w:val="-10"/>
                <w:sz w:val="18"/>
                <w:szCs w:val="18"/>
              </w:rPr>
              <w:t>（本企业）将忠实履行承诺，如本人（本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企业）未能履行上述承诺，则因未履行 上述承诺而获得的收入归公司所有，本 人（本企业）还将在公司股东大会上公 开说明未履行的具体原因并向发行人股 东和社会公众投资者道歉。如果因未履 行上述承诺给公司或者其他投资者造成 损失的，本人（本企业）自违约之日起 将应得的现金分红由中装建设直接用于 执行未履行的承诺或用于赔偿因本人</w:t>
            </w:r>
          </w:p>
          <w:p>
            <w:pPr>
              <w:pStyle w:val="TableParagraph"/>
              <w:spacing w:line="319" w:lineRule="auto" w:before="19"/>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（本企业）未履行承诺而给上市公司或 </w:t>
            </w:r>
            <w:r>
              <w:rPr>
                <w:rFonts w:ascii="宋体" w:hAnsi="宋体" w:cs="宋体" w:eastAsia="宋体" w:hint="default"/>
                <w:spacing w:val="-4"/>
                <w:sz w:val="18"/>
                <w:szCs w:val="18"/>
              </w:rPr>
              <w:t>投资者带来的损失，直至本人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履行承诺或依法弥补完上市公司、投资 者的损失为止。</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27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5"/>
                <w:sz w:val="20"/>
                <w:szCs w:val="20"/>
              </w:rPr>
              <w:pict>
                <v:group style="width:27.85pt;height:163.8pt;mso-position-horizontal-relative:char;mso-position-vertical-relative:line" coordorigin="0,0" coordsize="557,3276">
                  <v:group style="position:absolute;left:0;top:0;width:557;height:3276" coordorigin="0,0" coordsize="557,3276">
                    <v:shape style="position:absolute;left:0;top:0;width:557;height:3276" coordorigin="0,0" coordsize="557,3276" path="m0,3276l557,3276,557,0,0,0,0,3276xe" filled="true" fillcolor="#ffffff" stroked="false">
                      <v:path arrowok="t"/>
                      <v:fill type="solid"/>
                    </v:shape>
                  </v:group>
                </v:group>
              </w:pict>
            </w:r>
            <w:r>
              <w:rPr>
                <w:rFonts w:ascii="Times New Roman" w:hAnsi="Times New Roman" w:cs="Times New Roman" w:eastAsia="Times New Roman" w:hint="default"/>
                <w:position w:val="-65"/>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2859"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
              <w:jc w:val="left"/>
              <w:rPr>
                <w:rFonts w:ascii="宋体" w:hAnsi="宋体" w:cs="宋体" w:eastAsia="宋体" w:hint="default"/>
                <w:sz w:val="18"/>
                <w:szCs w:val="18"/>
              </w:rPr>
            </w:pPr>
            <w:r>
              <w:rPr>
                <w:rFonts w:ascii="宋体" w:hAnsi="宋体" w:cs="宋体" w:eastAsia="宋体" w:hint="default"/>
                <w:sz w:val="18"/>
                <w:szCs w:val="18"/>
              </w:rPr>
              <w:t>庄重、庄小红、 庄展诺、赵海 </w:t>
            </w:r>
            <w:r>
              <w:rPr>
                <w:rFonts w:ascii="宋体" w:hAnsi="宋体" w:cs="宋体" w:eastAsia="宋体" w:hint="default"/>
                <w:spacing w:val="-6"/>
                <w:sz w:val="18"/>
                <w:szCs w:val="18"/>
              </w:rPr>
              <w:t>峰、于桂添、何</w:t>
            </w:r>
            <w:r>
              <w:rPr>
                <w:rFonts w:ascii="宋体" w:hAnsi="宋体" w:cs="宋体" w:eastAsia="宋体" w:hint="default"/>
                <w:sz w:val="18"/>
                <w:szCs w:val="18"/>
              </w:rPr>
              <w:t> </w:t>
            </w:r>
            <w:r>
              <w:rPr>
                <w:rFonts w:ascii="宋体" w:hAnsi="宋体" w:cs="宋体" w:eastAsia="宋体" w:hint="default"/>
                <w:spacing w:val="-6"/>
                <w:sz w:val="18"/>
                <w:szCs w:val="18"/>
              </w:rPr>
              <w:t>斌、庄超喜、廖</w:t>
            </w:r>
            <w:r>
              <w:rPr>
                <w:rFonts w:ascii="宋体" w:hAnsi="宋体" w:cs="宋体" w:eastAsia="宋体" w:hint="default"/>
                <w:sz w:val="18"/>
                <w:szCs w:val="18"/>
              </w:rPr>
              <w:t> 伟潭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02" w:lineRule="auto"/>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 价承诺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（一） 本公司上市后三年内，当公司股票连续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个交易日的收盘价低于每股净资产</w:t>
            </w:r>
          </w:p>
          <w:p>
            <w:pPr>
              <w:pStyle w:val="TableParagraph"/>
              <w:spacing w:line="312" w:lineRule="auto"/>
              <w:ind w:left="22" w:right="22"/>
              <w:jc w:val="both"/>
              <w:rPr>
                <w:rFonts w:ascii="宋体" w:hAnsi="宋体" w:cs="宋体" w:eastAsia="宋体" w:hint="default"/>
                <w:sz w:val="18"/>
                <w:szCs w:val="18"/>
              </w:rPr>
            </w:pPr>
            <w:r>
              <w:rPr>
                <w:rFonts w:ascii="宋体" w:hAnsi="宋体" w:cs="宋体" w:eastAsia="宋体" w:hint="default"/>
                <w:sz w:val="18"/>
                <w:szCs w:val="18"/>
              </w:rPr>
              <w:t>（指公司上一年度末经审计的每股净资 产，下同）时，应当在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日内召开董事 </w:t>
            </w:r>
            <w:r>
              <w:rPr>
                <w:rFonts w:ascii="宋体" w:hAnsi="宋体" w:cs="宋体" w:eastAsia="宋体" w:hint="default"/>
                <w:spacing w:val="-6"/>
                <w:sz w:val="18"/>
                <w:szCs w:val="18"/>
              </w:rPr>
              <w:t>会、</w:t>
            </w:r>
            <w:r>
              <w:rPr>
                <w:rFonts w:ascii="Times New Roman" w:hAnsi="Times New Roman" w:cs="Times New Roman" w:eastAsia="Times New Roman" w:hint="default"/>
                <w:spacing w:val="-6"/>
                <w:sz w:val="18"/>
                <w:szCs w:val="18"/>
              </w:rPr>
              <w:t>25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日内召开股东大会，审议稳定股 价具体方案，明确该等具体方案的实施 期间，并在股东大会审议通过该等方案 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个交易日内启动稳定股价具体方</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8.380005pt;margin-top:72.47998pt;width:115.05pt;height:686.5pt;mso-position-horizontal-relative:page;mso-position-vertical-relative:page;z-index:-8963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pStyle w:val="BodyText"/>
                    <w:spacing w:line="240" w:lineRule="auto"/>
                    <w:ind w:left="0" w:right="0" w:firstLine="162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left="0" w:right="0"/>
                    <w:jc w:val="left"/>
                  </w:pPr>
                  <w:r>
                    <w:rPr/>
                    <w:t>股价稳定措施启动时，</w:t>
                  </w:r>
                </w:p>
              </w:txbxContent>
            </v:textbox>
            <w10:wrap type="none"/>
          </v:shape>
        </w:pict>
      </w:r>
      <w:r>
        <w:rPr/>
        <w:pict>
          <v:group style="position:absolute;margin-left:56.459999pt;margin-top:71.759979pt;width:478.95pt;height:688pt;mso-position-horizontal-relative:page;mso-position-vertical-relative:page;z-index:-896320" coordorigin="1129,1435" coordsize="9579,13760">
            <v:group style="position:absolute;left:1139;top:1450;width:1976;height:13730" coordorigin="1139,1450" coordsize="1976,13730">
              <v:shape style="position:absolute;left:1139;top:1450;width:1976;height:13730" coordorigin="1139,1450" coordsize="1976,13730" path="m1139,15179l3114,15179,3114,1450,1139,1450,1139,15179xe" filled="true" fillcolor="#d2d2d2" stroked="false">
                <v:path arrowok="t"/>
                <v:fill type="solid"/>
              </v:shape>
            </v:group>
            <v:group style="position:absolute;left:1139;top:1445;width:1976;height:2" coordorigin="1139,1445" coordsize="1976,2">
              <v:shape style="position:absolute;left:1139;top:1445;width:1976;height:2" coordorigin="1139,1445" coordsize="1976,0" path="m1139,1445l3114,1445e" filled="false" stroked="true" strokeweight=".48pt" strokecolor="#000000">
                <v:path arrowok="t"/>
              </v:shape>
            </v:group>
            <v:group style="position:absolute;left:3124;top:1445;width:1268;height:2" coordorigin="3124,1445" coordsize="1268,2">
              <v:shape style="position:absolute;left:3124;top:1445;width:1268;height:2" coordorigin="3124,1445" coordsize="1268,0" path="m3124,1445l4391,1445e" filled="false" stroked="true" strokeweight=".48pt" strokecolor="#000000">
                <v:path arrowok="t"/>
              </v:shape>
            </v:group>
            <v:group style="position:absolute;left:4401;top:1445;width:982;height:2" coordorigin="4401,1445" coordsize="982,2">
              <v:shape style="position:absolute;left:4401;top:1445;width:982;height:2" coordorigin="4401,1445" coordsize="982,0" path="m4401,1445l5383,1445e" filled="false" stroked="true" strokeweight=".48pt" strokecolor="#000000">
                <v:path arrowok="t"/>
              </v:shape>
            </v:group>
            <v:group style="position:absolute;left:8512;top:1450;width:557;height:13730" coordorigin="8512,1450" coordsize="557,13730">
              <v:shape style="position:absolute;left:8512;top:1450;width:557;height:13730" coordorigin="8512,1450" coordsize="557,13730" path="m8512,15179l9068,15179,9068,1450,8512,1450,8512,15179xe" filled="true" fillcolor="#ffffff" stroked="false">
                <v:path arrowok="t"/>
                <v:fill type="solid"/>
              </v:shape>
            </v:group>
            <v:group style="position:absolute;left:5392;top:1445;width:3110;height:2" coordorigin="5392,1445" coordsize="3110,2">
              <v:shape style="position:absolute;left:5392;top:1445;width:3110;height:2" coordorigin="5392,1445" coordsize="3110,0" path="m5392,1445l8502,1445e" filled="false" stroked="true" strokeweight=".48pt" strokecolor="#000000">
                <v:path arrowok="t"/>
              </v:shape>
            </v:group>
            <v:group style="position:absolute;left:8512;top:1445;width:557;height:2" coordorigin="8512,1445" coordsize="557,2">
              <v:shape style="position:absolute;left:8512;top:1445;width:557;height:2" coordorigin="8512,1445" coordsize="557,0" path="m8512,1445l9068,1445e" filled="false" stroked="true" strokeweight=".48pt" strokecolor="#000000">
                <v:path arrowok="t"/>
              </v:shape>
            </v:group>
            <v:group style="position:absolute;left:9078;top:1445;width:1125;height:2" coordorigin="9078,1445" coordsize="1125,2">
              <v:shape style="position:absolute;left:9078;top:1445;width:1125;height:2" coordorigin="9078,1445" coordsize="1125,0" path="m9078,1445l10202,1445e" filled="false" stroked="true" strokeweight=".48pt" strokecolor="#000000">
                <v:path arrowok="t"/>
              </v:shape>
            </v:group>
            <v:group style="position:absolute;left:10212;top:1445;width:486;height:2" coordorigin="10212,1445" coordsize="486,2">
              <v:shape style="position:absolute;left:10212;top:1445;width:486;height:2" coordorigin="10212,1445" coordsize="486,0" path="m10212,1445l10698,1445e" filled="false" stroked="true" strokeweight=".48pt" strokecolor="#000000">
                <v:path arrowok="t"/>
              </v:shape>
            </v:group>
            <v:group style="position:absolute;left:1134;top:1440;width:2;height:13750" coordorigin="1134,1440" coordsize="2,13750">
              <v:shape style="position:absolute;left:1134;top:1440;width:2;height:13750" coordorigin="1134,1440" coordsize="0,13750" path="m1134,1440l1134,15190e" filled="false" stroked="true" strokeweight=".48pt" strokecolor="#000000">
                <v:path arrowok="t"/>
              </v:shape>
            </v:group>
            <v:group style="position:absolute;left:1139;top:15185;width:1976;height:2" coordorigin="1139,15185" coordsize="1976,2">
              <v:shape style="position:absolute;left:1139;top:15185;width:1976;height:2" coordorigin="1139,15185" coordsize="1976,0" path="m1139,15185l3114,15185e" filled="false" stroked="true" strokeweight=".48pt" strokecolor="#000000">
                <v:path arrowok="t"/>
              </v:shape>
            </v:group>
            <v:group style="position:absolute;left:3119;top:1440;width:2;height:13750" coordorigin="3119,1440" coordsize="2,13750">
              <v:shape style="position:absolute;left:3119;top:1440;width:2;height:13750" coordorigin="3119,1440" coordsize="0,13750" path="m3119,1440l3119,15190e" filled="false" stroked="true" strokeweight=".48pt" strokecolor="#000000">
                <v:path arrowok="t"/>
              </v:shape>
            </v:group>
            <v:group style="position:absolute;left:3124;top:15185;width:1268;height:2" coordorigin="3124,15185" coordsize="1268,2">
              <v:shape style="position:absolute;left:3124;top:15185;width:1268;height:2" coordorigin="3124,15185" coordsize="1268,0" path="m3124,15185l4391,15185e" filled="false" stroked="true" strokeweight=".48pt" strokecolor="#000000">
                <v:path arrowok="t"/>
              </v:shape>
            </v:group>
            <v:group style="position:absolute;left:4396;top:1440;width:2;height:13750" coordorigin="4396,1440" coordsize="2,13750">
              <v:shape style="position:absolute;left:4396;top:1440;width:2;height:13750" coordorigin="4396,1440" coordsize="0,13750" path="m4396,1440l4396,15190e" filled="false" stroked="true" strokeweight=".48pt" strokecolor="#000000">
                <v:path arrowok="t"/>
              </v:shape>
            </v:group>
            <v:group style="position:absolute;left:4401;top:15185;width:982;height:2" coordorigin="4401,15185" coordsize="982,2">
              <v:shape style="position:absolute;left:4401;top:15185;width:982;height:2" coordorigin="4401,15185" coordsize="982,0" path="m4401,15185l5383,15185e" filled="false" stroked="true" strokeweight=".48pt" strokecolor="#000000">
                <v:path arrowok="t"/>
              </v:shape>
            </v:group>
            <v:group style="position:absolute;left:5388;top:1440;width:2;height:13750" coordorigin="5388,1440" coordsize="2,13750">
              <v:shape style="position:absolute;left:5388;top:1440;width:2;height:13750" coordorigin="5388,1440" coordsize="0,13750" path="m5388,1440l5388,15190e" filled="false" stroked="true" strokeweight=".48pt" strokecolor="#000000">
                <v:path arrowok="t"/>
              </v:shape>
            </v:group>
            <v:group style="position:absolute;left:5392;top:15185;width:3110;height:2" coordorigin="5392,15185" coordsize="3110,2">
              <v:shape style="position:absolute;left:5392;top:15185;width:3110;height:2" coordorigin="5392,15185" coordsize="3110,0" path="m5392,15185l8502,15185e" filled="false" stroked="true" strokeweight=".48pt" strokecolor="#000000">
                <v:path arrowok="t"/>
              </v:shape>
            </v:group>
            <v:group style="position:absolute;left:8507;top:1440;width:2;height:13750" coordorigin="8507,1440" coordsize="2,13750">
              <v:shape style="position:absolute;left:8507;top:1440;width:2;height:13750" coordorigin="8507,1440" coordsize="0,13750" path="m8507,1440l8507,15190e" filled="false" stroked="true" strokeweight=".48pt" strokecolor="#000000">
                <v:path arrowok="t"/>
              </v:shape>
            </v:group>
            <v:group style="position:absolute;left:8512;top:15185;width:557;height:2" coordorigin="8512,15185" coordsize="557,2">
              <v:shape style="position:absolute;left:8512;top:15185;width:557;height:2" coordorigin="8512,15185" coordsize="557,0" path="m8512,15185l9068,15185e" filled="false" stroked="true" strokeweight=".48pt" strokecolor="#000000">
                <v:path arrowok="t"/>
              </v:shape>
            </v:group>
            <v:group style="position:absolute;left:9073;top:1440;width:2;height:13750" coordorigin="9073,1440" coordsize="2,13750">
              <v:shape style="position:absolute;left:9073;top:1440;width:2;height:13750" coordorigin="9073,1440" coordsize="0,13750" path="m9073,1440l9073,15190e" filled="false" stroked="true" strokeweight=".48pt" strokecolor="#000000">
                <v:path arrowok="t"/>
              </v:shape>
            </v:group>
            <v:group style="position:absolute;left:9078;top:15185;width:1125;height:2" coordorigin="9078,15185" coordsize="1125,2">
              <v:shape style="position:absolute;left:9078;top:15185;width:1125;height:2" coordorigin="9078,15185" coordsize="1125,0" path="m9078,15185l10202,15185e" filled="false" stroked="true" strokeweight=".48pt" strokecolor="#000000">
                <v:path arrowok="t"/>
              </v:shape>
            </v:group>
            <v:group style="position:absolute;left:10207;top:1440;width:2;height:13750" coordorigin="10207,1440" coordsize="2,13750">
              <v:shape style="position:absolute;left:10207;top:1440;width:2;height:13750" coordorigin="10207,1440" coordsize="0,13750" path="m10207,1440l10207,15190e" filled="false" stroked="true" strokeweight=".48pt" strokecolor="#000000">
                <v:path arrowok="t"/>
              </v:shape>
            </v:group>
            <v:group style="position:absolute;left:10212;top:15185;width:486;height:2" coordorigin="10212,15185" coordsize="486,2">
              <v:shape style="position:absolute;left:10212;top:15185;width:486;height:2" coordorigin="10212,15185" coordsize="486,0" path="m10212,15185l10698,15185e" filled="false" stroked="true" strokeweight=".48pt" strokecolor="#000000">
                <v:path arrowok="t"/>
              </v:shape>
            </v:group>
            <v:group style="position:absolute;left:10703;top:1440;width:2;height:13750" coordorigin="10703,1440" coordsize="2,13750">
              <v:shape style="position:absolute;left:10703;top:1440;width:2;height:13750" coordorigin="10703,1440" coordsize="0,13750" path="m10703,1440l10703,15190e" filled="false" stroked="true" strokeweight=".48pt" strokecolor="#000000">
                <v:path arrowok="t"/>
              </v:shape>
            </v:group>
            <w10:wrap type="none"/>
          </v:group>
        </w:pict>
      </w:r>
    </w:p>
    <w:p>
      <w:pPr>
        <w:spacing w:line="240" w:lineRule="auto" w:before="2"/>
        <w:rPr>
          <w:rFonts w:ascii="Times New Roman" w:hAnsi="Times New Roman" w:cs="Times New Roman" w:eastAsia="Times New Roman" w:hint="default"/>
          <w:sz w:val="14"/>
          <w:szCs w:val="14"/>
        </w:rPr>
      </w:pPr>
    </w:p>
    <w:p>
      <w:pPr>
        <w:pStyle w:val="BodyText"/>
        <w:spacing w:line="314" w:lineRule="auto"/>
        <w:ind w:left="4435" w:right="3321"/>
        <w:jc w:val="left"/>
      </w:pPr>
      <w:r>
        <w:rPr/>
        <w:t>案的实施。在股价稳定措施的实施期间 </w:t>
      </w:r>
      <w:r>
        <w:rPr>
          <w:spacing w:val="-10"/>
        </w:rPr>
        <w:t>内，如公司股票连续</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个交易日收盘价 高于每股净资产时，将停止实施股价稳 </w:t>
      </w:r>
      <w:r>
        <w:rPr>
          <w:spacing w:val="-10"/>
        </w:rPr>
        <w:t>定措施。（二）稳定股价的具体措施：</w:t>
      </w:r>
      <w:r>
        <w:rPr>
          <w:rFonts w:ascii="Times New Roman" w:hAnsi="Times New Roman" w:cs="Times New Roman" w:eastAsia="Times New Roman" w:hint="default"/>
          <w:spacing w:val="-10"/>
        </w:rPr>
        <w:t>1</w:t>
      </w:r>
      <w:r>
        <w:rPr>
          <w:rFonts w:ascii="Times New Roman" w:hAnsi="Times New Roman" w:cs="Times New Roman" w:eastAsia="Times New Roman" w:hint="default"/>
        </w:rPr>
        <w:t> </w:t>
      </w:r>
      <w:r>
        <w:rPr/>
        <w:t>在不影响公司正常生产经营的情况下， 经董事会、股东大会审议同意，通过交 易所集中竞价交易方式或证券监督管理 部门认可的其他方式回购公司股票。公 司每十二个月内回购资金不超过上一个 会计年度经审计的净利润的</w:t>
      </w:r>
      <w:r>
        <w:rPr>
          <w:spacing w:val="-45"/>
        </w:rPr>
        <w:t> </w:t>
      </w:r>
      <w:r>
        <w:rPr>
          <w:rFonts w:ascii="Times New Roman" w:hAnsi="Times New Roman" w:cs="Times New Roman" w:eastAsia="Times New Roman" w:hint="default"/>
          <w:spacing w:val="-3"/>
        </w:rPr>
        <w:t>20%</w:t>
      </w:r>
      <w:r>
        <w:rPr>
          <w:spacing w:val="-3"/>
        </w:rPr>
        <w:t>（资金</w:t>
      </w:r>
      <w:r>
        <w:rPr>
          <w:spacing w:val="-88"/>
        </w:rPr>
        <w:t> </w:t>
      </w:r>
      <w:r>
        <w:rPr/>
        <w:t>来源包括但不限于自有资金、银行贷款 </w:t>
      </w:r>
      <w:r>
        <w:rPr>
          <w:spacing w:val="-5"/>
        </w:rPr>
        <w:t>等方式），回购价格不高于每股净资产；</w:t>
      </w:r>
      <w:r>
        <w:rPr/>
        <w:t> </w:t>
      </w:r>
      <w:r>
        <w:rPr>
          <w:rFonts w:ascii="Times New Roman" w:hAnsi="Times New Roman" w:cs="Times New Roman" w:eastAsia="Times New Roman" w:hint="default"/>
        </w:rPr>
        <w:t>2</w:t>
      </w:r>
      <w:r>
        <w:rPr/>
        <w:t>、在符合股票交易相关规定的前提下， 按照公司关于稳定股价具体方案中确定 的增持方案和期间，公司控股股东、实 际控制人以不超过等值于股价稳定措施 启动条件成就当天其控制或直接持有的 股票市值的</w:t>
      </w:r>
      <w:r>
        <w:rPr>
          <w:spacing w:val="-46"/>
        </w:rPr>
        <w:t> </w:t>
      </w:r>
      <w:r>
        <w:rPr>
          <w:rFonts w:ascii="Times New Roman" w:hAnsi="Times New Roman" w:cs="Times New Roman" w:eastAsia="Times New Roman" w:hint="default"/>
        </w:rPr>
        <w:t>10%</w:t>
      </w:r>
      <w:r>
        <w:rPr/>
        <w:t>且不低于</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万元的 自有资金在二级市场增持流通股股份， </w:t>
      </w:r>
      <w:r>
        <w:rPr>
          <w:spacing w:val="-8"/>
        </w:rPr>
        <w:t>其增持的价格不高于每股净资产；</w:t>
      </w:r>
      <w:r>
        <w:rPr>
          <w:rFonts w:ascii="Times New Roman" w:hAnsi="Times New Roman" w:cs="Times New Roman" w:eastAsia="Times New Roman" w:hint="default"/>
          <w:spacing w:val="-8"/>
        </w:rPr>
        <w:t>3</w:t>
      </w:r>
      <w:r>
        <w:rPr>
          <w:spacing w:val="-8"/>
        </w:rPr>
        <w:t>、在</w:t>
      </w:r>
      <w:r>
        <w:rPr>
          <w:spacing w:val="-81"/>
        </w:rPr>
        <w:t> </w:t>
      </w:r>
      <w:r>
        <w:rPr/>
        <w:t>符合股票交易相关规定的前提下，按照</w:t>
      </w:r>
      <w:r>
        <w:rPr/>
        <w:t> 公司关于稳定股价具体方案中确定的增 持方案和期间，公司董事（独立董事除 </w:t>
      </w:r>
      <w:r>
        <w:rPr>
          <w:spacing w:val="-10"/>
        </w:rPr>
        <w:t>外）、高级管理人员通过交易所集中竞价</w:t>
      </w:r>
      <w:r>
        <w:rPr>
          <w:spacing w:val="-88"/>
        </w:rPr>
        <w:t> </w:t>
      </w:r>
      <w:r>
        <w:rPr>
          <w:spacing w:val="-88"/>
        </w:rPr>
      </w:r>
      <w:r>
        <w:rPr/>
        <w:t>交易方式增持公司股票。增持价格不高 于每股净资产，购买所增持股票的总金 额不低于其上年度从公司获取的税后薪 酬及津贴的</w:t>
      </w:r>
      <w:r>
        <w:rPr>
          <w:spacing w:val="-58"/>
        </w:rPr>
        <w:t> </w:t>
      </w:r>
      <w:r>
        <w:rPr>
          <w:rFonts w:ascii="Times New Roman" w:hAnsi="Times New Roman" w:cs="Times New Roman" w:eastAsia="Times New Roman" w:hint="default"/>
        </w:rPr>
        <w:t>30%</w:t>
      </w:r>
      <w:r>
        <w:rPr/>
        <w:t>。 控股股东和实际控制人增持股票为第一 顺位，公司回购股票为第二顺位，董事</w:t>
      </w:r>
    </w:p>
    <w:p>
      <w:pPr>
        <w:pStyle w:val="BodyText"/>
        <w:spacing w:line="316" w:lineRule="auto" w:before="20"/>
        <w:ind w:left="4435" w:right="3428"/>
        <w:jc w:val="both"/>
      </w:pPr>
      <w:r>
        <w:rPr/>
        <w:t>（独立董事除外）和高级管理人员增持 股票为第三顺位。控股股东、实际控制 人增持到承诺的最大金额后，公司股价 仍未达到停止股价稳定方案条件的，则 由公司实施回购；公司增持到最大回购 资金后，公司股价仍未达到停止股价稳 定方案的条件的，则由董事（独立董事 </w:t>
      </w:r>
      <w:r>
        <w:rPr>
          <w:spacing w:val="-6"/>
        </w:rPr>
        <w:t>除外）、高级管理人员承担增持义务。</w:t>
      </w:r>
    </w:p>
    <w:p>
      <w:pPr>
        <w:pStyle w:val="BodyText"/>
        <w:spacing w:line="312" w:lineRule="auto" w:before="19"/>
        <w:ind w:left="4435" w:right="3321"/>
        <w:jc w:val="left"/>
      </w:pPr>
      <w:r>
        <w:rPr/>
        <w:t>（三）约束措施：</w:t>
      </w:r>
      <w:r>
        <w:rPr>
          <w:rFonts w:ascii="Times New Roman" w:hAnsi="Times New Roman" w:cs="Times New Roman" w:eastAsia="Times New Roman" w:hint="default"/>
        </w:rPr>
        <w:t>1</w:t>
      </w:r>
      <w:r>
        <w:rPr/>
        <w:t>、公司、控股股东、 </w:t>
      </w:r>
      <w:r>
        <w:rPr>
          <w:spacing w:val="-10"/>
        </w:rPr>
        <w:t>董事（独立董事除外）、高级管理人员将</w:t>
      </w:r>
      <w:r>
        <w:rPr/>
        <w:t> 在公司股东大会上公开说明未采取上述 稳定股价措施的具体原因并向公司股东 </w:t>
      </w:r>
      <w:r>
        <w:rPr>
          <w:spacing w:val="-5"/>
        </w:rPr>
        <w:t>和社会公众投资者道歉；</w:t>
      </w:r>
      <w:r>
        <w:rPr>
          <w:rFonts w:ascii="Times New Roman" w:hAnsi="Times New Roman" w:cs="Times New Roman" w:eastAsia="Times New Roman" w:hint="default"/>
          <w:spacing w:val="-5"/>
        </w:rPr>
        <w:t>2</w:t>
      </w:r>
      <w:r>
        <w:rPr>
          <w:spacing w:val="-5"/>
        </w:rPr>
        <w:t>、公司有权责</w:t>
      </w:r>
      <w:r>
        <w:rPr/>
        <w:t> 令控股股东在限期内履行增持股票义</w:t>
      </w:r>
    </w:p>
    <w:p>
      <w:pPr>
        <w:spacing w:after="0" w:line="312"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19.377014pt;margin-top:72.47998pt;width:34.050pt;height:438.9pt;mso-position-horizontal-relative:page;mso-position-vertical-relative:page;z-index:-8962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7"/>
                    <w:ind w:left="0" w:right="0"/>
                    <w:jc w:val="left"/>
                  </w:pPr>
                  <w:r>
                    <w:rPr/>
                    <w:t>、</w:t>
                  </w:r>
                </w:p>
              </w:txbxContent>
            </v:textbox>
            <w10:wrap type="none"/>
          </v:shape>
        </w:pict>
      </w:r>
      <w:r>
        <w:rPr/>
        <w:pict>
          <v:group style="position:absolute;margin-left:425.579987pt;margin-top:72.47998pt;width:27.85pt;height:438.9pt;mso-position-horizontal-relative:page;mso-position-vertical-relative:page;z-index:-896272" coordorigin="8512,1450" coordsize="557,8778">
            <v:shape style="position:absolute;left:8512;top:1450;width:557;height:8778" coordorigin="8512,1450" coordsize="557,8778" path="m8512,10227l9068,10227,9068,1450,8512,1450,8512,10227xe" filled="true" fillcolor="#ffffff" stroked="false">
              <v:path arrowok="t"/>
              <v:fill type="solid"/>
            </v:shape>
            <w10:wrap type="none"/>
          </v:group>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277"/>
        <w:gridCol w:w="992"/>
        <w:gridCol w:w="3119"/>
        <w:gridCol w:w="566"/>
        <w:gridCol w:w="1134"/>
        <w:gridCol w:w="498"/>
      </w:tblGrid>
      <w:tr>
        <w:trPr>
          <w:trHeight w:val="8787"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务，控股股东仍不履行的，应以其最低 增持金额减去其实际增持股票金额（如 有）向公司支付现金补偿。控股股东拒 不支付现金补偿的，公司有权扣减其应 </w:t>
            </w:r>
            <w:r>
              <w:rPr>
                <w:rFonts w:ascii="宋体" w:hAnsi="宋体" w:cs="宋体" w:eastAsia="宋体" w:hint="default"/>
                <w:spacing w:val="-5"/>
                <w:sz w:val="18"/>
                <w:szCs w:val="18"/>
              </w:rPr>
              <w:t>向控股股东支付的分红；</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、控股股东多</w:t>
            </w:r>
            <w:r>
              <w:rPr>
                <w:rFonts w:ascii="宋体" w:hAnsi="宋体" w:cs="宋体" w:eastAsia="宋体" w:hint="default"/>
                <w:sz w:val="18"/>
                <w:szCs w:val="18"/>
              </w:rPr>
              <w:t> 次违反上述规定的，现金补偿金额累计 计算；公司有权责令董事（独立董事除 </w:t>
            </w:r>
            <w:r>
              <w:rPr>
                <w:rFonts w:ascii="宋体" w:hAnsi="宋体" w:cs="宋体" w:eastAsia="宋体" w:hint="default"/>
                <w:spacing w:val="-10"/>
                <w:sz w:val="18"/>
                <w:szCs w:val="18"/>
              </w:rPr>
              <w:t>外）、高级管理人员在限期内履行增持股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票义务，董事（独立董事除外）、高级管</w:t>
            </w:r>
            <w:r>
              <w:rPr>
                <w:rFonts w:ascii="宋体" w:hAnsi="宋体" w:cs="宋体" w:eastAsia="宋体" w:hint="default"/>
                <w:sz w:val="18"/>
                <w:szCs w:val="18"/>
              </w:rPr>
              <w:t> 理人员仍不履行的，应以其最低增持金 额减去其实际增持股票金额（如有）向 公司支付现金补偿。董事（独立董事除 </w:t>
            </w:r>
            <w:r>
              <w:rPr>
                <w:rFonts w:ascii="宋体" w:hAnsi="宋体" w:cs="宋体" w:eastAsia="宋体" w:hint="default"/>
                <w:spacing w:val="-6"/>
                <w:sz w:val="18"/>
                <w:szCs w:val="18"/>
              </w:rPr>
              <w:t>外）、高级管理人员拒不支付现金补偿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的，公司有权扣减其应向董事（独立董 </w:t>
            </w:r>
            <w:r>
              <w:rPr>
                <w:rFonts w:ascii="宋体" w:hAnsi="宋体" w:cs="宋体" w:eastAsia="宋体" w:hint="default"/>
                <w:spacing w:val="-10"/>
                <w:sz w:val="18"/>
                <w:szCs w:val="18"/>
              </w:rPr>
              <w:t>事除外）、高级管理人员支付的薪酬或分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红（如有）。公司董事（独立董事除外）</w:t>
            </w:r>
            <w:r>
              <w:rPr>
                <w:rFonts w:ascii="宋体" w:hAnsi="宋体" w:cs="宋体" w:eastAsia="宋体" w:hint="default"/>
                <w:sz w:val="18"/>
                <w:szCs w:val="18"/>
              </w:rPr>
              <w:t> 高级管理人员拒不履行本预案规定的股 票增持义务情节严重的，控股股东或董 事会、监事会、半数以上的独立董事有 权提请股东大会更换相关董事，公司董 </w:t>
            </w:r>
            <w:r>
              <w:rPr>
                <w:rFonts w:ascii="宋体" w:hAnsi="宋体" w:cs="宋体" w:eastAsia="宋体" w:hint="default"/>
                <w:spacing w:val="-6"/>
                <w:sz w:val="18"/>
                <w:szCs w:val="18"/>
              </w:rPr>
              <w:t>事会有权解聘相关高级管理人员。（四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法律程序：本稳定股价预案经公司股东 大会审议通过，自公司完成首次公开发 行股票并上市之日起生效。如因法律、 法规修订或政策变动等情形导致本预案 与相关规定不符，公司董事会应对本预 案进行调整，并需经出席股东大会的股 东所持表决权三分之二以上同意通过。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23"/>
              <w:jc w:val="left"/>
              <w:rPr>
                <w:rFonts w:ascii="宋体" w:hAnsi="宋体" w:cs="宋体" w:eastAsia="宋体" w:hint="default"/>
                <w:sz w:val="18"/>
                <w:szCs w:val="18"/>
              </w:rPr>
            </w:pPr>
            <w:r>
              <w:rPr>
                <w:rFonts w:ascii="宋体" w:hAnsi="宋体" w:cs="宋体" w:eastAsia="宋体" w:hint="default"/>
                <w:sz w:val="18"/>
                <w:szCs w:val="18"/>
              </w:rPr>
              <w:t>庄重、庄小红、 庄展诺</w:t>
            </w:r>
          </w:p>
        </w:tc>
        <w:tc>
          <w:tcPr>
            <w:tcW w:w="99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16" w:right="57"/>
              <w:jc w:val="both"/>
              <w:rPr>
                <w:rFonts w:ascii="宋体" w:hAnsi="宋体" w:cs="宋体" w:eastAsia="宋体" w:hint="default"/>
                <w:sz w:val="18"/>
                <w:szCs w:val="18"/>
              </w:rPr>
            </w:pPr>
            <w:r>
              <w:rPr>
                <w:rFonts w:ascii="宋体" w:hAnsi="宋体" w:cs="宋体" w:eastAsia="宋体" w:hint="default"/>
                <w:sz w:val="18"/>
                <w:szCs w:val="18"/>
              </w:rPr>
              <w:t>关于同行业 竞争、关联 交易的承诺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公司控股股东庄小红、庄展诺、实际控 制人庄重关于避免同业竞争的承诺：</w:t>
            </w:r>
            <w:r>
              <w:rPr>
                <w:rFonts w:ascii="Times New Roman" w:hAnsi="Times New Roman" w:cs="Times New Roman" w:eastAsia="Times New Roman" w:hint="default"/>
                <w:sz w:val="18"/>
                <w:szCs w:val="18"/>
              </w:rPr>
              <w:t>"</w:t>
            </w:r>
          </w:p>
          <w:p>
            <w:pPr>
              <w:pStyle w:val="TableParagraph"/>
              <w:spacing w:line="314"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）截至本承诺函签署之日，本人及本</w:t>
            </w:r>
            <w:r>
              <w:rPr>
                <w:rFonts w:ascii="宋体" w:hAnsi="宋体" w:cs="宋体" w:eastAsia="宋体" w:hint="default"/>
                <w:sz w:val="18"/>
                <w:szCs w:val="18"/>
              </w:rPr>
              <w:t> 人控制的其他公司均未生产、开发任何 与中装建设及其下属子公司生产的产品 构成竞争或可能构成竞争的产品，未直 接或间接经营任何与中装建设及其下属 子公司经营的业务构成竞争或可能构成 竞争的业务，也未参与投资任何与中装 建设及其下属子公司生产的产品或经营 的业务构成竞争或可能构成竞争的其他 </w:t>
            </w:r>
            <w:r>
              <w:rPr>
                <w:rFonts w:ascii="宋体" w:hAnsi="宋体" w:cs="宋体" w:eastAsia="宋体" w:hint="default"/>
                <w:spacing w:val="-5"/>
                <w:sz w:val="18"/>
                <w:szCs w:val="18"/>
              </w:rPr>
              <w:t>企业。（</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）自本承诺函签署之日起，本</w:t>
            </w:r>
            <w:r>
              <w:rPr>
                <w:rFonts w:ascii="宋体" w:hAnsi="宋体" w:cs="宋体" w:eastAsia="宋体" w:hint="default"/>
                <w:sz w:val="18"/>
                <w:szCs w:val="18"/>
              </w:rPr>
              <w:t> 人及本人控制的其他公司将不生产、开 发任何与中装建设及其下属子公司生产 的产品构成竞争或可能构成竞争的产 品，不直接或间接经营任何与中装建设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03"/>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9.377014pt;margin-top:72.47998pt;width:124.05pt;height:626.1pt;mso-position-horizontal-relative:page;mso-position-vertical-relative:page;z-index:-8962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0"/>
                    <w:ind w:left="0" w:right="0"/>
                    <w:jc w:val="left"/>
                  </w:pPr>
                  <w:r>
                    <w:rPr/>
                    <w:t>本承诺函为有效之承诺。</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277"/>
        <w:gridCol w:w="992"/>
        <w:gridCol w:w="3119"/>
        <w:gridCol w:w="566"/>
        <w:gridCol w:w="1134"/>
        <w:gridCol w:w="496"/>
      </w:tblGrid>
      <w:tr>
        <w:trPr>
          <w:trHeight w:val="1253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及其下属子公司经营的业务构成竞争或 可能构成竞争的业务，也不参与投资任 何与中装建设及其下属子公司生产的产 品或经营的业务构成竞争或可能构成竞 </w:t>
            </w:r>
            <w:r>
              <w:rPr>
                <w:rFonts w:ascii="宋体" w:hAnsi="宋体" w:cs="宋体" w:eastAsia="宋体" w:hint="default"/>
                <w:spacing w:val="-5"/>
                <w:sz w:val="18"/>
                <w:szCs w:val="18"/>
              </w:rPr>
              <w:t>争的其他企业。（</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）自本承诺函签署之</w:t>
            </w:r>
            <w:r>
              <w:rPr>
                <w:rFonts w:ascii="宋体" w:hAnsi="宋体" w:cs="宋体" w:eastAsia="宋体" w:hint="default"/>
                <w:sz w:val="18"/>
                <w:szCs w:val="18"/>
              </w:rPr>
              <w:t> 日起，如本人及本人控制的其他公司进 一步拓展产品和业务范围，本人及本人 控制的其他公司将不与中装建设及其下 属子公司拓展后的产品或业务相竞争； 若与中装建设及其下属子公司拓展后产 品或业务产生竞争，则本人及本人控制 的其他公司将以停止生产或经营相竞争 的业务或产品的方式，或者将相竞争的 业务纳入到中装建设经营的方式，或者 将相竞争的业务转让给无关联关系的第 </w:t>
            </w:r>
            <w:r>
              <w:rPr>
                <w:rFonts w:ascii="宋体" w:hAnsi="宋体" w:cs="宋体" w:eastAsia="宋体" w:hint="default"/>
                <w:spacing w:val="-5"/>
                <w:sz w:val="18"/>
                <w:szCs w:val="18"/>
              </w:rPr>
              <w:t>三方的方式避免同业竞争。（</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）在本人</w:t>
            </w:r>
            <w:r>
              <w:rPr>
                <w:rFonts w:ascii="宋体" w:hAnsi="宋体" w:cs="宋体" w:eastAsia="宋体" w:hint="default"/>
                <w:sz w:val="18"/>
                <w:szCs w:val="18"/>
              </w:rPr>
              <w:t> 及本人控制的其他公司与中装建设存在 关联关系期间， 如上述承诺被证明是不真实或未被遵 守，本人将向中装建设赔偿一切直接和 间接损失，并承担相应的法律责任。</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本公司控股股东庄小红、庄展诺、实际 控制人庄重关于规范和减少与深圳市中 装建设集团股份有限公司关联交易的承 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）本人不利用实际控制人地位 促使中装建设股东大会或董事会做出侵 犯其他中小股东合法权益的决议；在与 中装建设发生关联交易时，将按照公平 合理和正常的商业交易条件进行，将不 会要求或接受中装建设给予比在任何一 项市场公平交易中第三者更优惠的条 件，并善意、严格的履行与中装建设签 订的各种关联交易协议，不会向中装建 设谋求任何超出上述规定以外的利益或 </w:t>
            </w:r>
            <w:r>
              <w:rPr>
                <w:rFonts w:ascii="宋体" w:hAnsi="宋体" w:cs="宋体" w:eastAsia="宋体" w:hint="default"/>
                <w:spacing w:val="-5"/>
                <w:sz w:val="18"/>
                <w:szCs w:val="18"/>
              </w:rPr>
              <w:t>收益。（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）在本人及本人控制的其他公</w:t>
            </w:r>
            <w:r>
              <w:rPr>
                <w:rFonts w:ascii="宋体" w:hAnsi="宋体" w:cs="宋体" w:eastAsia="宋体" w:hint="default"/>
                <w:sz w:val="18"/>
                <w:szCs w:val="18"/>
              </w:rPr>
              <w:t> 司与中装建设存在关联关系期间，本承 诺函为有效之承诺。如上述承诺被证明 是不真实或未被遵守，本人将向中装建 设赔偿一切直接和间接损失，并承担相 应的法律责任。</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252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9"/>
                <w:sz w:val="20"/>
                <w:szCs w:val="20"/>
              </w:rPr>
              <w:pict>
                <v:group style="width:27.85pt;height:626.1pt;mso-position-horizontal-relative:char;mso-position-vertical-relative:line" coordorigin="0,0" coordsize="557,12522">
                  <v:group style="position:absolute;left:0;top:0;width:557;height:12522" coordorigin="0,0" coordsize="557,12522">
                    <v:shape style="position:absolute;left:0;top:0;width:557;height:12522" coordorigin="0,0" coordsize="557,12522" path="m0,12522l557,12522,557,0,0,0,0,12522xe" filled="true" fillcolor="#ffffff" stroked="false">
                      <v:path arrowok="t"/>
                      <v:fill type="solid"/>
                    </v:shape>
                  </v:group>
                </v:group>
              </w:pict>
            </w:r>
            <w:r>
              <w:rPr>
                <w:rFonts w:ascii="Times New Roman" w:hAnsi="Times New Roman" w:cs="Times New Roman" w:eastAsia="Times New Roman" w:hint="default"/>
                <w:position w:val="-249"/>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74"/>
        <w:gridCol w:w="7595"/>
      </w:tblGrid>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5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如承诺超期未履行完毕 </w:t>
            </w:r>
            <w:r>
              <w:rPr>
                <w:rFonts w:ascii="宋体" w:hAnsi="宋体" w:cs="宋体" w:eastAsia="宋体" w:hint="default"/>
                <w:spacing w:val="-5"/>
                <w:sz w:val="18"/>
                <w:szCs w:val="18"/>
              </w:rPr>
              <w:t>的，应当详细说明未完成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履行的具体原因及下一 步的工作计划</w:t>
            </w:r>
          </w:p>
        </w:tc>
        <w:tc>
          <w:tcPr>
            <w:tcW w:w="75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54" w:right="889"/>
        <w:jc w:val="left"/>
        <w:rPr>
          <w:b w:val="0"/>
          <w:bCs w:val="0"/>
        </w:rPr>
      </w:pPr>
      <w:bookmarkStart w:name="2、公司资产或项目存在盈利预测，且报告期仍处在盈利预测期间，公司就资产或项目达到" w:id="63"/>
      <w:bookmarkEnd w:id="63"/>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89"/>
        <w:jc w:val="left"/>
        <w:rPr>
          <w:b w:val="0"/>
          <w:bCs w:val="0"/>
        </w:rPr>
      </w:pPr>
      <w:bookmarkStart w:name="四、控股股东及其关联方对上市公司的非经营性占用资金情况" w:id="64"/>
      <w:bookmarkEnd w:id="64"/>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889"/>
        <w:jc w:val="left"/>
        <w:rPr>
          <w:b w:val="0"/>
          <w:bCs w:val="0"/>
        </w:rPr>
      </w:pPr>
      <w:bookmarkStart w:name="五、董事会、监事会、独立董事（如有）对会计师事务所本报告期“非标准审计报告”的说" w:id="65"/>
      <w:bookmarkEnd w:id="65"/>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89"/>
        <w:jc w:val="left"/>
        <w:rPr>
          <w:b w:val="0"/>
          <w:bCs w:val="0"/>
        </w:rPr>
      </w:pPr>
      <w:bookmarkStart w:name="六、与上年度财务报告相比，会计政策、会计估计和核算方法发生变化的情况说明" w:id="66"/>
      <w:bookmarkEnd w:id="66"/>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right="1041" w:firstLine="360"/>
        <w:jc w:val="both"/>
      </w:pPr>
      <w:r>
        <w:rPr>
          <w:rFonts w:ascii="宋体" w:hAnsi="宋体" w:cs="宋体" w:eastAsia="宋体" w:hint="default"/>
          <w:spacing w:val="-8"/>
        </w:rPr>
        <w:t>2017</w:t>
      </w:r>
      <w:r>
        <w:rPr>
          <w:spacing w:val="-8"/>
        </w:rPr>
        <w:t>年</w:t>
      </w:r>
      <w:r>
        <w:rPr>
          <w:rFonts w:ascii="宋体" w:hAnsi="宋体" w:cs="宋体" w:eastAsia="宋体" w:hint="default"/>
          <w:spacing w:val="-8"/>
        </w:rPr>
        <w:t>4</w:t>
      </w:r>
      <w:r>
        <w:rPr>
          <w:spacing w:val="-8"/>
        </w:rPr>
        <w:t>月</w:t>
      </w:r>
      <w:r>
        <w:rPr>
          <w:rFonts w:ascii="宋体" w:hAnsi="宋体" w:cs="宋体" w:eastAsia="宋体" w:hint="default"/>
          <w:spacing w:val="-8"/>
        </w:rPr>
        <w:t>28</w:t>
      </w:r>
      <w:r>
        <w:rPr>
          <w:spacing w:val="-8"/>
        </w:rPr>
        <w:t>日，财政部颁发新制定的《企业会计准则第</w:t>
      </w:r>
      <w:r>
        <w:rPr>
          <w:rFonts w:ascii="宋体" w:hAnsi="宋体" w:cs="宋体" w:eastAsia="宋体" w:hint="default"/>
          <w:spacing w:val="-8"/>
        </w:rPr>
        <w:t>42</w:t>
      </w:r>
      <w:r>
        <w:rPr>
          <w:spacing w:val="-8"/>
        </w:rPr>
        <w:t>号</w:t>
      </w:r>
      <w:r>
        <w:rPr>
          <w:rFonts w:ascii="宋体" w:hAnsi="宋体" w:cs="宋体" w:eastAsia="宋体" w:hint="default"/>
          <w:spacing w:val="-8"/>
        </w:rPr>
        <w:t>-</w:t>
      </w:r>
      <w:r>
        <w:rPr>
          <w:spacing w:val="-8"/>
        </w:rPr>
        <w:t>持有待售的非流动资产、处置组和终止经营》（财会</w:t>
      </w:r>
      <w:r>
        <w:rPr>
          <w:rFonts w:ascii="宋体" w:hAnsi="宋体" w:cs="宋体" w:eastAsia="宋体" w:hint="default"/>
          <w:spacing w:val="-8"/>
        </w:rPr>
        <w:t>[2017]13</w:t>
      </w:r>
      <w:r>
        <w:rPr>
          <w:rFonts w:ascii="宋体" w:hAnsi="宋体" w:cs="宋体" w:eastAsia="宋体" w:hint="default"/>
        </w:rPr>
        <w:t> </w:t>
      </w:r>
      <w:r>
        <w:rPr>
          <w:spacing w:val="-2"/>
        </w:rPr>
        <w:t>号），本准则自</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日起施行。企业对实施日存在的持有待售非流动资产、处置组和终止经营采用未来适用法处理。</w:t>
      </w:r>
    </w:p>
    <w:p>
      <w:pPr>
        <w:pStyle w:val="BodyText"/>
        <w:spacing w:line="316" w:lineRule="auto" w:before="19"/>
        <w:ind w:right="1139" w:firstLine="360"/>
        <w:jc w:val="both"/>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10</w:t>
      </w:r>
      <w:r>
        <w:rPr/>
        <w:t>日，财政部发布了《关于印发修订</w:t>
      </w:r>
      <w:r>
        <w:rPr>
          <w:rFonts w:ascii="宋体" w:hAnsi="宋体" w:cs="宋体" w:eastAsia="宋体" w:hint="default"/>
        </w:rPr>
        <w:t>&lt;</w:t>
      </w:r>
      <w:r>
        <w:rPr/>
        <w:t>企业会计准则第</w:t>
      </w:r>
      <w:r>
        <w:rPr>
          <w:rFonts w:ascii="宋体" w:hAnsi="宋体" w:cs="宋体" w:eastAsia="宋体" w:hint="default"/>
        </w:rPr>
        <w:t>16</w:t>
      </w:r>
      <w:r>
        <w:rPr/>
        <w:t>号——政府补助</w:t>
      </w:r>
      <w:r>
        <w:rPr>
          <w:rFonts w:ascii="宋体" w:hAnsi="宋体" w:cs="宋体" w:eastAsia="宋体" w:hint="default"/>
        </w:rPr>
        <w:t>&gt;</w:t>
      </w:r>
      <w:r>
        <w:rPr/>
        <w:t>的通知》（财会</w:t>
      </w:r>
      <w:r>
        <w:rPr>
          <w:rFonts w:ascii="宋体" w:hAnsi="宋体" w:cs="宋体" w:eastAsia="宋体" w:hint="default"/>
        </w:rPr>
        <w:t>[2017]15</w:t>
      </w:r>
      <w:r>
        <w:rPr/>
        <w:t>号），本 准则自</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日起施行。企业对</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日存在的政府补助采用未来适用法处理，对</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日至本准则实施日 之间新增的政府补助根据本准则进行调整。</w:t>
      </w:r>
    </w:p>
    <w:p>
      <w:pPr>
        <w:pStyle w:val="BodyText"/>
        <w:spacing w:line="316" w:lineRule="auto" w:before="19"/>
        <w:ind w:right="1130" w:firstLine="360"/>
        <w:jc w:val="both"/>
      </w:pP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日，财政部发布了《关于印发一般企业财务报表格式的通知》（财会</w:t>
      </w:r>
      <w:r>
        <w:rPr>
          <w:rFonts w:ascii="宋体" w:hAnsi="宋体" w:cs="宋体" w:eastAsia="宋体" w:hint="default"/>
          <w:spacing w:val="-2"/>
        </w:rPr>
        <w:t>[2017]30</w:t>
      </w:r>
      <w:r>
        <w:rPr>
          <w:spacing w:val="-2"/>
        </w:rPr>
        <w:t>号），对一般企业财务报表</w:t>
      </w:r>
      <w:r>
        <w:rPr/>
        <w:t> 格式进行了修订，适用于</w:t>
      </w:r>
      <w:r>
        <w:rPr>
          <w:rFonts w:ascii="宋体" w:hAnsi="宋体" w:cs="宋体" w:eastAsia="宋体" w:hint="default"/>
        </w:rPr>
        <w:t>2017</w:t>
      </w:r>
      <w:r>
        <w:rPr/>
        <w:t>年度及以后期间的财务报表。</w:t>
      </w:r>
    </w:p>
    <w:p>
      <w:pPr>
        <w:spacing w:line="240" w:lineRule="auto" w:before="10"/>
        <w:rPr>
          <w:rFonts w:ascii="宋体" w:hAnsi="宋体" w:cs="宋体" w:eastAsia="宋体" w:hint="default"/>
          <w:sz w:val="20"/>
          <w:szCs w:val="20"/>
        </w:rPr>
      </w:pPr>
    </w:p>
    <w:p>
      <w:pPr>
        <w:pStyle w:val="Heading2"/>
        <w:spacing w:line="240" w:lineRule="auto"/>
        <w:ind w:left="154" w:right="889"/>
        <w:jc w:val="left"/>
        <w:rPr>
          <w:b w:val="0"/>
          <w:bCs w:val="0"/>
        </w:rPr>
      </w:pPr>
      <w:bookmarkStart w:name="七、报告期内发生重大会计差错更正需追溯重述的情况说明" w:id="67"/>
      <w:bookmarkEnd w:id="67"/>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left="154" w:right="889"/>
        <w:jc w:val="left"/>
        <w:rPr>
          <w:b w:val="0"/>
          <w:bCs w:val="0"/>
        </w:rPr>
      </w:pPr>
      <w:bookmarkStart w:name="八、与上年度财务报告相比，合并报表范围发生变化的情况说明" w:id="68"/>
      <w:bookmarkEnd w:id="68"/>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73" w:right="889"/>
        <w:jc w:val="left"/>
      </w:pPr>
      <w:r>
        <w:rPr>
          <w:rFonts w:ascii="宋体" w:hAnsi="宋体" w:cs="宋体" w:eastAsia="宋体" w:hint="default"/>
        </w:rPr>
        <w:t>1</w:t>
      </w:r>
      <w:r>
        <w:rPr/>
        <w:t>、因其他方式增加子公司的情况说明</w:t>
      </w:r>
    </w:p>
    <w:p>
      <w:pPr>
        <w:spacing w:line="240" w:lineRule="auto" w:before="0"/>
        <w:rPr>
          <w:rFonts w:ascii="宋体" w:hAnsi="宋体" w:cs="宋体" w:eastAsia="宋体" w:hint="default"/>
          <w:sz w:val="15"/>
          <w:szCs w:val="15"/>
        </w:rPr>
      </w:pPr>
    </w:p>
    <w:p>
      <w:pPr>
        <w:pStyle w:val="BodyText"/>
        <w:spacing w:line="240" w:lineRule="auto"/>
        <w:ind w:left="573" w:right="889"/>
        <w:jc w:val="left"/>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w:t>
      </w:r>
      <w:r>
        <w:rPr/>
        <w:t>日，本公司投资设立全资子公司深圳市中装城市建设发展有限公司（以下简称中装城市建设），注册资本</w:t>
      </w:r>
    </w:p>
    <w:p>
      <w:pPr>
        <w:pStyle w:val="BodyText"/>
        <w:spacing w:line="240" w:lineRule="auto" w:before="76"/>
        <w:ind w:left="154" w:right="889"/>
        <w:jc w:val="left"/>
      </w:pPr>
      <w:r>
        <w:rPr>
          <w:rFonts w:ascii="宋体" w:hAnsi="宋体" w:cs="宋体" w:eastAsia="宋体" w:hint="default"/>
        </w:rPr>
        <w:t>10,000.00</w:t>
      </w:r>
      <w:r>
        <w:rPr/>
        <w:t>万元。因此中装城市建设自</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w:t>
      </w:r>
      <w:r>
        <w:rPr/>
        <w:t>日开始纳入合并范围。</w:t>
      </w:r>
    </w:p>
    <w:p>
      <w:pPr>
        <w:spacing w:line="240" w:lineRule="auto" w:before="0"/>
        <w:rPr>
          <w:rFonts w:ascii="宋体" w:hAnsi="宋体" w:cs="宋体" w:eastAsia="宋体" w:hint="default"/>
          <w:sz w:val="15"/>
          <w:szCs w:val="15"/>
        </w:rPr>
      </w:pPr>
    </w:p>
    <w:p>
      <w:pPr>
        <w:pStyle w:val="BodyText"/>
        <w:spacing w:line="240" w:lineRule="auto"/>
        <w:ind w:left="573" w:right="889"/>
        <w:jc w:val="left"/>
      </w:pPr>
      <w:r>
        <w:rPr>
          <w:rFonts w:ascii="宋体" w:hAnsi="宋体" w:cs="宋体" w:eastAsia="宋体" w:hint="default"/>
          <w:spacing w:val="5"/>
        </w:rPr>
        <w:t>2017</w:t>
      </w:r>
      <w:r>
        <w:rPr>
          <w:spacing w:val="5"/>
        </w:rPr>
        <w:t>年</w:t>
      </w:r>
      <w:r>
        <w:rPr>
          <w:rFonts w:ascii="宋体" w:hAnsi="宋体" w:cs="宋体" w:eastAsia="宋体" w:hint="default"/>
          <w:spacing w:val="5"/>
        </w:rPr>
        <w:t>7</w:t>
      </w:r>
      <w:r>
        <w:rPr>
          <w:spacing w:val="5"/>
        </w:rPr>
        <w:t>月</w:t>
      </w:r>
      <w:r>
        <w:rPr>
          <w:rFonts w:ascii="宋体" w:hAnsi="宋体" w:cs="宋体" w:eastAsia="宋体" w:hint="default"/>
          <w:spacing w:val="5"/>
        </w:rPr>
        <w:t>20</w:t>
      </w:r>
      <w:r>
        <w:rPr>
          <w:spacing w:val="5"/>
        </w:rPr>
        <w:t>日，本公司投资设立控股子公司深圳市中装新能源科技有限公司（以下简称中装新能源），注册资本</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889"/>
        <w:jc w:val="left"/>
      </w:pPr>
      <w:r>
        <w:rPr>
          <w:rFonts w:ascii="宋体" w:hAnsi="宋体" w:cs="宋体" w:eastAsia="宋体" w:hint="default"/>
        </w:rPr>
        <w:t>1,000.00</w:t>
      </w:r>
      <w:r>
        <w:rPr/>
        <w:t>万元。因此中装新能源自</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20</w:t>
      </w:r>
      <w:r>
        <w:rPr/>
        <w:t>日开始纳入合并范围</w:t>
      </w:r>
    </w:p>
    <w:p>
      <w:pPr>
        <w:pStyle w:val="BodyText"/>
        <w:spacing w:line="430" w:lineRule="atLeast" w:before="2"/>
        <w:ind w:left="513" w:right="1123" w:firstLine="60"/>
        <w:jc w:val="left"/>
      </w:pPr>
      <w:r>
        <w:rPr>
          <w:rFonts w:ascii="宋体" w:hAnsi="宋体" w:cs="宋体" w:eastAsia="宋体" w:hint="default"/>
        </w:rPr>
        <w:t>2</w:t>
      </w:r>
      <w:r>
        <w:rPr/>
        <w:t>、因其他方式减少子公司的情况说明 公司于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14</w:t>
      </w:r>
      <w:r>
        <w:rPr/>
        <w:t>日经第二届董事会第十一次会议审议通过《关于注销控股子公司深圳市中装光伏建筑科技有限公司</w:t>
      </w:r>
    </w:p>
    <w:p>
      <w:pPr>
        <w:pStyle w:val="BodyText"/>
        <w:spacing w:line="316" w:lineRule="auto" w:before="77"/>
        <w:ind w:right="889"/>
        <w:jc w:val="left"/>
      </w:pPr>
      <w:r>
        <w:rPr>
          <w:spacing w:val="-2"/>
        </w:rPr>
        <w:t>的议案》，同意注销中装光伏，并授权中装光伏经营管理层负责办理清算、注销事宜。截至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日，中装光伏已经</w:t>
      </w:r>
      <w:r>
        <w:rPr>
          <w:spacing w:val="-60"/>
        </w:rPr>
        <w:t> </w:t>
      </w:r>
      <w:r>
        <w:rPr>
          <w:spacing w:val="-60"/>
        </w:rPr>
      </w:r>
      <w:r>
        <w:rPr>
          <w:spacing w:val="-4"/>
        </w:rPr>
        <w:t>完成了清算并办理完成了税务注销、银行注销手续，但工商注销手续仍在办理过程中，考虑到除工商注销手续外，其他清算、</w:t>
      </w:r>
      <w:r>
        <w:rPr>
          <w:spacing w:val="-46"/>
        </w:rPr>
        <w:t> </w:t>
      </w:r>
      <w:r>
        <w:rPr>
          <w:spacing w:val="-46"/>
        </w:rPr>
      </w:r>
      <w:r>
        <w:rPr>
          <w:spacing w:val="-4"/>
        </w:rPr>
        <w:t>注销程序已完成，且该工商注销程序正在有序进行中且公司管理层不会终止该流程，因此本报告期视同该子公司已注销处理。</w:t>
      </w:r>
    </w:p>
    <w:p>
      <w:pPr>
        <w:spacing w:line="240" w:lineRule="auto" w:before="10"/>
        <w:rPr>
          <w:rFonts w:ascii="宋体" w:hAnsi="宋体" w:cs="宋体" w:eastAsia="宋体" w:hint="default"/>
          <w:sz w:val="20"/>
          <w:szCs w:val="20"/>
        </w:rPr>
      </w:pPr>
    </w:p>
    <w:p>
      <w:pPr>
        <w:pStyle w:val="Heading2"/>
        <w:spacing w:line="240" w:lineRule="auto"/>
        <w:ind w:left="154" w:right="889"/>
        <w:jc w:val="left"/>
        <w:rPr>
          <w:b w:val="0"/>
          <w:bCs w:val="0"/>
        </w:rPr>
      </w:pPr>
      <w:bookmarkStart w:name="九、聘任、解聘会计师事务所情况" w:id="69"/>
      <w:bookmarkEnd w:id="69"/>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889"/>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黄琼、李世文</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黄琼服务的连续年限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年，李世文服务的连续年限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left="154" w:right="889"/>
        <w:jc w:val="left"/>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0"/>
        <w:ind w:right="22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报告期内，公司因发行可转换公司债券，聘请万联证券股份有限公司为保荐机构，期间共支付报酬</w:t>
      </w:r>
      <w:r>
        <w:rPr>
          <w:rFonts w:ascii="宋体" w:hAnsi="宋体" w:cs="宋体" w:eastAsia="宋体" w:hint="default"/>
        </w:rPr>
        <w:t>100</w:t>
      </w:r>
      <w:r>
        <w:rPr/>
        <w:t>万元。</w:t>
      </w:r>
    </w:p>
    <w:p>
      <w:pPr>
        <w:spacing w:line="240" w:lineRule="auto" w:before="7"/>
        <w:rPr>
          <w:rFonts w:ascii="宋体" w:hAnsi="宋体" w:cs="宋体" w:eastAsia="宋体" w:hint="default"/>
          <w:sz w:val="19"/>
          <w:szCs w:val="19"/>
        </w:rPr>
      </w:pPr>
    </w:p>
    <w:p>
      <w:pPr>
        <w:pStyle w:val="Heading2"/>
        <w:spacing w:line="240" w:lineRule="auto"/>
        <w:ind w:right="889"/>
        <w:jc w:val="left"/>
        <w:rPr>
          <w:b w:val="0"/>
          <w:bCs w:val="0"/>
        </w:rPr>
      </w:pPr>
      <w:bookmarkStart w:name="十、年度报告披露后面临暂停上市和终止上市情况" w:id="70"/>
      <w:bookmarkEnd w:id="70"/>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89"/>
        <w:jc w:val="left"/>
        <w:rPr>
          <w:b w:val="0"/>
          <w:bCs w:val="0"/>
        </w:rPr>
      </w:pPr>
      <w:bookmarkStart w:name="十一、破产重整相关事项" w:id="71"/>
      <w:bookmarkEnd w:id="71"/>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89"/>
        <w:jc w:val="left"/>
        <w:rPr>
          <w:b w:val="0"/>
          <w:bCs w:val="0"/>
        </w:rPr>
      </w:pPr>
      <w:bookmarkStart w:name="十二、重大诉讼、仲裁事项" w:id="72"/>
      <w:bookmarkEnd w:id="72"/>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889"/>
        <w:jc w:val="left"/>
        <w:rPr>
          <w:b w:val="0"/>
          <w:bCs w:val="0"/>
        </w:rPr>
      </w:pPr>
      <w:bookmarkStart w:name="十三、处罚及整改情况" w:id="73"/>
      <w:bookmarkEnd w:id="73"/>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889"/>
        <w:jc w:val="left"/>
        <w:rPr>
          <w:b w:val="0"/>
          <w:bCs w:val="0"/>
        </w:rPr>
      </w:pPr>
      <w:bookmarkStart w:name="十四、公司及其控股股东、实际控制人的诚信状况" w:id="74"/>
      <w:bookmarkEnd w:id="74"/>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889"/>
        <w:jc w:val="left"/>
        <w:rPr>
          <w:b w:val="0"/>
          <w:bCs w:val="0"/>
        </w:rPr>
      </w:pPr>
      <w:bookmarkStart w:name="十五、公司股权激励计划、员工持股计划或其他员工激励措施的实施情况" w:id="75"/>
      <w:bookmarkEnd w:id="75"/>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889"/>
        <w:jc w:val="left"/>
        <w:rPr>
          <w:b w:val="0"/>
          <w:bCs w:val="0"/>
        </w:rPr>
      </w:pPr>
      <w:bookmarkStart w:name="十六、重大关联交易" w:id="76"/>
      <w:bookmarkEnd w:id="76"/>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89"/>
        <w:jc w:val="left"/>
        <w:rPr>
          <w:b w:val="0"/>
          <w:bCs w:val="0"/>
        </w:rPr>
      </w:pPr>
      <w:bookmarkStart w:name="1、与日常经营相关的关联交易" w:id="77"/>
      <w:bookmarkEnd w:id="7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2"/>
        <w:rPr>
          <w:rFonts w:ascii="宋体" w:hAnsi="宋体" w:cs="宋体" w:eastAsia="宋体" w:hint="default"/>
          <w:sz w:val="20"/>
          <w:szCs w:val="20"/>
        </w:rPr>
      </w:pPr>
    </w:p>
    <w:p>
      <w:pPr>
        <w:pStyle w:val="Heading3"/>
        <w:spacing w:line="240" w:lineRule="auto"/>
        <w:ind w:right="889"/>
        <w:jc w:val="left"/>
        <w:rPr>
          <w:b w:val="0"/>
          <w:bCs w:val="0"/>
        </w:rPr>
      </w:pPr>
      <w:bookmarkStart w:name="2、资产或股权收购、出售发生的关联交易" w:id="78"/>
      <w:bookmarkEnd w:id="78"/>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left="154" w:right="889"/>
        <w:jc w:val="left"/>
        <w:rPr>
          <w:b w:val="0"/>
          <w:bCs w:val="0"/>
        </w:rPr>
      </w:pPr>
      <w:bookmarkStart w:name="3、共同对外投资的关联交易" w:id="79"/>
      <w:bookmarkEnd w:id="79"/>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889"/>
        <w:jc w:val="left"/>
        <w:rPr>
          <w:b w:val="0"/>
          <w:bCs w:val="0"/>
        </w:rPr>
      </w:pPr>
      <w:bookmarkStart w:name="4、关联债权债务往来" w:id="80"/>
      <w:bookmarkEnd w:id="8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889"/>
        <w:jc w:val="left"/>
        <w:rPr>
          <w:b w:val="0"/>
          <w:bCs w:val="0"/>
        </w:rPr>
      </w:pPr>
      <w:bookmarkStart w:name="5、其他重大关联交易" w:id="81"/>
      <w:bookmarkEnd w:id="8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889"/>
        <w:jc w:val="left"/>
        <w:rPr>
          <w:b w:val="0"/>
          <w:bCs w:val="0"/>
        </w:rPr>
      </w:pPr>
      <w:bookmarkStart w:name="十七、重大合同及其履行情况" w:id="82"/>
      <w:bookmarkEnd w:id="82"/>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89"/>
        <w:jc w:val="left"/>
        <w:rPr>
          <w:b w:val="0"/>
          <w:bCs w:val="0"/>
        </w:rPr>
      </w:pPr>
      <w:bookmarkStart w:name="1、托管、承包、租赁事项情况" w:id="83"/>
      <w:bookmarkEnd w:id="8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spacing w:before="0"/>
        <w:ind w:left="153" w:right="889" w:firstLine="0"/>
        <w:jc w:val="left"/>
        <w:rPr>
          <w:rFonts w:ascii="宋体" w:hAnsi="宋体" w:cs="宋体" w:eastAsia="宋体" w:hint="default"/>
          <w:sz w:val="21"/>
          <w:szCs w:val="21"/>
        </w:rPr>
      </w:pPr>
      <w:bookmarkStart w:name="（1）托管情况" w:id="84"/>
      <w:bookmarkEnd w:id="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3"/>
        <w:rPr>
          <w:rFonts w:ascii="宋体" w:hAnsi="宋体" w:cs="宋体" w:eastAsia="宋体" w:hint="default"/>
          <w:sz w:val="20"/>
          <w:szCs w:val="20"/>
        </w:rPr>
      </w:pPr>
    </w:p>
    <w:p>
      <w:pPr>
        <w:pStyle w:val="Heading3"/>
        <w:spacing w:line="240" w:lineRule="auto"/>
        <w:ind w:right="889"/>
        <w:jc w:val="left"/>
        <w:rPr>
          <w:b w:val="0"/>
          <w:bCs w:val="0"/>
        </w:rPr>
      </w:pPr>
      <w:bookmarkStart w:name="（2）承包情况" w:id="85"/>
      <w:bookmarkEnd w:id="8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89"/>
        <w:jc w:val="left"/>
        <w:rPr>
          <w:b w:val="0"/>
          <w:bCs w:val="0"/>
        </w:rPr>
      </w:pPr>
      <w:bookmarkStart w:name="（3）租赁情况" w:id="86"/>
      <w:bookmarkEnd w:id="8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19" w:lineRule="auto" w:before="42"/>
        <w:ind w:right="889" w:firstLine="360"/>
        <w:jc w:val="left"/>
      </w:pPr>
      <w:r>
        <w:rPr>
          <w:spacing w:val="-2"/>
        </w:rPr>
        <w:t>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日，公司及其各分子公司、办事处总共租赁</w:t>
      </w:r>
      <w:r>
        <w:rPr>
          <w:rFonts w:ascii="宋体" w:hAnsi="宋体" w:cs="宋体" w:eastAsia="宋体" w:hint="default"/>
          <w:spacing w:val="-2"/>
        </w:rPr>
        <w:t>31</w:t>
      </w:r>
      <w:r>
        <w:rPr>
          <w:spacing w:val="-2"/>
        </w:rPr>
        <w:t>处房产用于办公，合计租赁面积</w:t>
      </w:r>
      <w:r>
        <w:rPr>
          <w:rFonts w:ascii="宋体" w:hAnsi="宋体" w:cs="宋体" w:eastAsia="宋体" w:hint="default"/>
          <w:spacing w:val="-2"/>
        </w:rPr>
        <w:t>10891.65</w:t>
      </w:r>
      <w:r>
        <w:rPr>
          <w:spacing w:val="-2"/>
        </w:rPr>
        <w:t>平方米，均在</w:t>
      </w:r>
      <w:r>
        <w:rPr/>
        <w:t> 有效租赁期限内。</w:t>
      </w:r>
    </w:p>
    <w:p>
      <w:pPr>
        <w:spacing w:line="240" w:lineRule="auto" w:before="3"/>
        <w:rPr>
          <w:rFonts w:ascii="宋体" w:hAnsi="宋体" w:cs="宋体" w:eastAsia="宋体" w:hint="default"/>
          <w:sz w:val="22"/>
          <w:szCs w:val="22"/>
        </w:rPr>
      </w:pPr>
    </w:p>
    <w:p>
      <w:pPr>
        <w:pStyle w:val="Heading3"/>
        <w:spacing w:line="240" w:lineRule="auto"/>
        <w:ind w:right="889"/>
        <w:jc w:val="left"/>
        <w:rPr>
          <w:b w:val="0"/>
          <w:bCs w:val="0"/>
        </w:rPr>
      </w:pPr>
      <w:bookmarkStart w:name="2、重大担保" w:id="87"/>
      <w:bookmarkEnd w:id="87"/>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
        <w:rPr>
          <w:rFonts w:ascii="宋体" w:hAnsi="宋体" w:cs="宋体" w:eastAsia="宋体" w:hint="default"/>
          <w:sz w:val="21"/>
          <w:szCs w:val="21"/>
        </w:rPr>
      </w:pPr>
    </w:p>
    <w:p>
      <w:pPr>
        <w:pStyle w:val="Heading3"/>
        <w:spacing w:line="240" w:lineRule="auto"/>
        <w:ind w:right="889"/>
        <w:jc w:val="left"/>
        <w:rPr>
          <w:b w:val="0"/>
          <w:bCs w:val="0"/>
        </w:rPr>
      </w:pPr>
      <w:bookmarkStart w:name="3、委托他人进行现金资产管理情况" w:id="88"/>
      <w:bookmarkEnd w:id="88"/>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spacing w:before="0"/>
        <w:ind w:left="153" w:right="889" w:firstLine="0"/>
        <w:jc w:val="left"/>
        <w:rPr>
          <w:rFonts w:ascii="宋体" w:hAnsi="宋体" w:cs="宋体" w:eastAsia="宋体" w:hint="default"/>
          <w:sz w:val="21"/>
          <w:szCs w:val="21"/>
        </w:rPr>
      </w:pPr>
      <w:bookmarkStart w:name="（1）委托理财情况" w:id="89"/>
      <w:bookmarkEnd w:id="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889"/>
        <w:jc w:val="left"/>
      </w:pPr>
      <w:r>
        <w:rPr/>
        <w:t>委托理财出现预期无法收回本金或存在其他可能导致减值的情形</w:t>
      </w:r>
    </w:p>
    <w:p>
      <w:pPr>
        <w:pStyle w:val="BodyText"/>
        <w:spacing w:line="240" w:lineRule="auto" w:before="116"/>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89"/>
        <w:jc w:val="left"/>
        <w:rPr>
          <w:b w:val="0"/>
          <w:bCs w:val="0"/>
        </w:rPr>
      </w:pPr>
      <w:bookmarkStart w:name="（2）委托贷款情况" w:id="90"/>
      <w:bookmarkEnd w:id="90"/>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right="889"/>
        <w:jc w:val="left"/>
        <w:rPr>
          <w:b w:val="0"/>
          <w:bCs w:val="0"/>
        </w:rPr>
      </w:pPr>
      <w:bookmarkStart w:name="4、其他重大合同" w:id="91"/>
      <w:bookmarkEnd w:id="91"/>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889"/>
        <w:jc w:val="left"/>
        <w:rPr>
          <w:b w:val="0"/>
          <w:bCs w:val="0"/>
        </w:rPr>
      </w:pPr>
      <w:bookmarkStart w:name="十八、社会责任情况" w:id="92"/>
      <w:bookmarkEnd w:id="92"/>
      <w:r>
        <w:rPr>
          <w:b w:val="0"/>
          <w:bCs w:val="0"/>
        </w:rPr>
      </w:r>
      <w:r>
        <w:rPr/>
        <w:t>十八、社会责任情况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89"/>
        <w:jc w:val="left"/>
        <w:rPr>
          <w:b w:val="0"/>
          <w:bCs w:val="0"/>
        </w:rPr>
      </w:pPr>
      <w:bookmarkStart w:name="1、履行社会责任情况" w:id="93"/>
      <w:bookmarkEnd w:id="93"/>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889" w:firstLine="360"/>
        <w:jc w:val="left"/>
      </w:pPr>
      <w:r>
        <w:rPr>
          <w:spacing w:val="-2"/>
        </w:rPr>
        <w:t>公司严格按照相关法律法规的要求，并根据自身的实际情况积极履行社会责任的工作，遵守社会公德、商业道德，促进</w:t>
      </w:r>
      <w:r>
        <w:rPr/>
        <w:t> 公司与全社会的协调、和谐发展。</w:t>
      </w:r>
    </w:p>
    <w:p>
      <w:pPr>
        <w:spacing w:after="0" w:line="319"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513" w:right="889" w:hanging="95"/>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）注重投资者回报及权益保护</w:t>
      </w:r>
      <w:r>
        <w:rPr>
          <w:rFonts w:ascii="宋体" w:hAnsi="宋体" w:cs="宋体" w:eastAsia="宋体" w:hint="default"/>
          <w:b/>
          <w:bCs/>
          <w:w w:val="99"/>
          <w:sz w:val="18"/>
          <w:szCs w:val="18"/>
        </w:rPr>
        <w:t> </w:t>
      </w:r>
      <w:r>
        <w:rPr>
          <w:rFonts w:ascii="宋体" w:hAnsi="宋体" w:cs="宋体" w:eastAsia="宋体" w:hint="default"/>
          <w:spacing w:val="-2"/>
          <w:sz w:val="18"/>
          <w:szCs w:val="18"/>
        </w:rPr>
        <w:t>为进一步完善公司利润分配政策，积极有效地回报投资者，公司已根据中国证监会的相关规定及监管要求，细化了《公</w:t>
      </w:r>
    </w:p>
    <w:p>
      <w:pPr>
        <w:pStyle w:val="BodyText"/>
        <w:spacing w:line="224" w:lineRule="exact"/>
        <w:ind w:right="889"/>
        <w:jc w:val="left"/>
      </w:pPr>
      <w:r>
        <w:rPr/>
        <w:t>司章程》相关利润分配的条款，董事会也制定了《未来三年（</w:t>
      </w:r>
      <w:r>
        <w:rPr>
          <w:rFonts w:ascii="宋体" w:hAnsi="宋体" w:cs="宋体" w:eastAsia="宋体" w:hint="default"/>
        </w:rPr>
        <w:t>2017-2019</w:t>
      </w:r>
      <w:r>
        <w:rPr/>
        <w:t>）股东回报规划》。首次公开发行后，公司将严格</w:t>
      </w:r>
    </w:p>
    <w:p>
      <w:pPr>
        <w:pStyle w:val="BodyText"/>
        <w:spacing w:line="319" w:lineRule="auto" w:before="76"/>
        <w:ind w:right="889"/>
        <w:jc w:val="left"/>
      </w:pPr>
      <w:r>
        <w:rPr>
          <w:spacing w:val="-2"/>
        </w:rPr>
        <w:t>执行公司分红政策，在符合利润分配条件的情况下，积极对股东给予回报，降低首次公开发行对公司即期回报的摊薄，确保</w:t>
      </w:r>
      <w:r>
        <w:rPr>
          <w:spacing w:val="-66"/>
        </w:rPr>
        <w:t> </w:t>
      </w:r>
      <w:r>
        <w:rPr>
          <w:spacing w:val="-66"/>
        </w:rPr>
      </w:r>
      <w:r>
        <w:rPr/>
        <w:t>公司股东特别是中小股东的利益得到保护。</w:t>
      </w:r>
    </w:p>
    <w:p>
      <w:pPr>
        <w:pStyle w:val="BodyText"/>
        <w:spacing w:line="357" w:lineRule="auto" w:before="58"/>
        <w:ind w:left="514" w:right="889" w:hanging="95"/>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）注重职工权益保护</w:t>
      </w:r>
      <w:r>
        <w:rPr>
          <w:rFonts w:ascii="宋体" w:hAnsi="宋体" w:cs="宋体" w:eastAsia="宋体" w:hint="default"/>
          <w:b/>
          <w:bCs/>
          <w:w w:val="99"/>
        </w:rPr>
        <w:t> </w:t>
      </w:r>
      <w:r>
        <w:rPr>
          <w:spacing w:val="-2"/>
        </w:rPr>
        <w:t>公司在高速发展的同时，始终注重职工权益的维护。公司严格按照《劳动法》等相关规定，建立合法的用工制度，为员</w:t>
      </w:r>
    </w:p>
    <w:p>
      <w:pPr>
        <w:pStyle w:val="BodyText"/>
        <w:spacing w:line="225" w:lineRule="exact"/>
        <w:ind w:left="154" w:right="889"/>
        <w:jc w:val="left"/>
      </w:pPr>
      <w:r>
        <w:rPr>
          <w:spacing w:val="-4"/>
        </w:rPr>
        <w:t>工缴纳社会保险，员工享有国家规定的各项合法权益。公司重视人才培养，积极开展职工培训，实现职工与企业的共同成长。</w:t>
      </w:r>
    </w:p>
    <w:p>
      <w:pPr>
        <w:pStyle w:val="BodyText"/>
        <w:spacing w:line="357" w:lineRule="auto" w:before="116"/>
        <w:ind w:left="514" w:right="889" w:hanging="95"/>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）环境保护</w:t>
      </w:r>
      <w:r>
        <w:rPr>
          <w:rFonts w:ascii="宋体" w:hAnsi="宋体" w:cs="宋体" w:eastAsia="宋体" w:hint="default"/>
          <w:b/>
          <w:bCs/>
          <w:w w:val="99"/>
        </w:rPr>
        <w:t> </w:t>
      </w:r>
      <w:r>
        <w:rPr>
          <w:spacing w:val="-2"/>
        </w:rPr>
        <w:t>公司所处的建筑装饰行业不属于重污染行业，对环境的影响主要体现在部分建筑材料的挥发性气体及建筑垃圾等。在生</w:t>
      </w:r>
    </w:p>
    <w:p>
      <w:pPr>
        <w:pStyle w:val="BodyText"/>
        <w:spacing w:line="224" w:lineRule="exact"/>
        <w:ind w:left="154" w:right="889"/>
        <w:jc w:val="left"/>
      </w:pPr>
      <w:r>
        <w:rPr>
          <w:spacing w:val="-3"/>
        </w:rPr>
        <w:t>产经营过程中，公司全面贯彻实施</w:t>
      </w:r>
      <w:r>
        <w:rPr>
          <w:rFonts w:ascii="宋体" w:hAnsi="宋体" w:cs="宋体" w:eastAsia="宋体" w:hint="default"/>
          <w:spacing w:val="-3"/>
        </w:rPr>
        <w:t>ISO14001</w:t>
      </w:r>
      <w:r>
        <w:rPr>
          <w:spacing w:val="-3"/>
        </w:rPr>
        <w:t>环境管理体系，制定了多项环境保护措施并严格执行从材料选择、施工过程控制、</w:t>
      </w:r>
    </w:p>
    <w:p>
      <w:pPr>
        <w:pStyle w:val="BodyText"/>
        <w:spacing w:line="240" w:lineRule="auto" w:before="77"/>
        <w:ind w:left="154" w:right="889"/>
        <w:jc w:val="left"/>
      </w:pPr>
      <w:r>
        <w:rPr/>
        <w:t>施工后期清理等方面尽量避免对环境的污染。公司也同时定期组织员工参与社区举行的社区绿化、整理及环境保护活动。</w:t>
      </w:r>
    </w:p>
    <w:p>
      <w:pPr>
        <w:spacing w:line="240" w:lineRule="auto" w:before="10"/>
        <w:rPr>
          <w:rFonts w:ascii="宋体" w:hAnsi="宋体" w:cs="宋体" w:eastAsia="宋体" w:hint="default"/>
          <w:sz w:val="26"/>
          <w:szCs w:val="26"/>
        </w:rPr>
      </w:pPr>
    </w:p>
    <w:p>
      <w:pPr>
        <w:pStyle w:val="Heading3"/>
        <w:spacing w:line="240" w:lineRule="auto"/>
        <w:ind w:right="889"/>
        <w:jc w:val="left"/>
        <w:rPr>
          <w:b w:val="0"/>
          <w:bCs w:val="0"/>
        </w:rPr>
      </w:pPr>
      <w:bookmarkStart w:name="2、履行精准扶贫社会责任情况" w:id="94"/>
      <w:bookmarkEnd w:id="94"/>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spacing w:before="0"/>
        <w:ind w:left="153" w:right="889" w:firstLine="0"/>
        <w:jc w:val="left"/>
        <w:rPr>
          <w:rFonts w:ascii="宋体" w:hAnsi="宋体" w:cs="宋体" w:eastAsia="宋体" w:hint="default"/>
          <w:sz w:val="21"/>
          <w:szCs w:val="21"/>
        </w:rPr>
      </w:pPr>
      <w:bookmarkStart w:name="（1）精准扶贫规划" w:id="95"/>
      <w:bookmarkEnd w:id="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154" w:right="889"/>
        <w:jc w:val="left"/>
        <w:rPr>
          <w:rFonts w:ascii="Times New Roman" w:hAnsi="Times New Roman" w:cs="Times New Roman" w:eastAsia="Times New Roman" w:hint="default"/>
        </w:rPr>
      </w:pPr>
      <w:r>
        <w:rPr/>
        <w:t>公司报告年度暂未开展精准扶贫工作，也暂无后续精准扶贫计划</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pStyle w:val="Heading3"/>
        <w:spacing w:line="240" w:lineRule="auto" w:before="129"/>
        <w:ind w:right="889"/>
        <w:jc w:val="left"/>
        <w:rPr>
          <w:b w:val="0"/>
          <w:bCs w:val="0"/>
        </w:rPr>
      </w:pPr>
      <w:bookmarkStart w:name="（2）年度精准扶贫概要" w:id="96"/>
      <w:bookmarkEnd w:id="96"/>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889"/>
        <w:jc w:val="left"/>
      </w:pPr>
      <w:r>
        <w:rPr>
          <w:spacing w:val="-2"/>
        </w:rPr>
        <w:t>注：报告期内扶贫计划的总体完成情况、取得的效果等。如扶贫计划未完成的，应说明未按期完成的原因，以及后续改进措</w:t>
      </w:r>
      <w:r>
        <w:rPr>
          <w:spacing w:val="-66"/>
        </w:rPr>
        <w:t> </w:t>
      </w:r>
      <w:r>
        <w:rPr>
          <w:spacing w:val="-66"/>
        </w:rPr>
      </w:r>
      <w:r>
        <w:rPr/>
        <w:t>施。</w:t>
      </w:r>
    </w:p>
    <w:p>
      <w:pPr>
        <w:spacing w:line="240" w:lineRule="auto" w:before="3"/>
        <w:rPr>
          <w:rFonts w:ascii="宋体" w:hAnsi="宋体" w:cs="宋体" w:eastAsia="宋体" w:hint="default"/>
          <w:sz w:val="22"/>
          <w:szCs w:val="22"/>
        </w:rPr>
      </w:pPr>
    </w:p>
    <w:p>
      <w:pPr>
        <w:pStyle w:val="Heading3"/>
        <w:spacing w:line="240" w:lineRule="auto"/>
        <w:ind w:left="154" w:right="889"/>
        <w:jc w:val="left"/>
        <w:rPr>
          <w:b w:val="0"/>
          <w:bCs w:val="0"/>
        </w:rPr>
      </w:pPr>
      <w:bookmarkStart w:name="（3）精准扶贫成效" w:id="97"/>
      <w:bookmarkEnd w:id="97"/>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83"/>
        <w:gridCol w:w="1450"/>
        <w:gridCol w:w="4524"/>
      </w:tblGrid>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指标</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物资折款</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帮助建档立卡贫困人口脱贫数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24"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产业发展脱贫项目类型</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产业发展脱贫项目个数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524"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产业发展脱贫项目投入金额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帮助建档立卡贫困人口脱贫数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24"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职业技能培训投入金额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职业技能培训人数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人次</w:t>
            </w:r>
          </w:p>
        </w:tc>
        <w:tc>
          <w:tcPr>
            <w:tcW w:w="4524" w:type="dxa"/>
            <w:tcBorders>
              <w:top w:val="single" w:sz="4" w:space="0" w:color="000000"/>
              <w:left w:val="single" w:sz="13"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572"/>
        <w:gridCol w:w="1473"/>
        <w:gridCol w:w="4512"/>
      </w:tblGrid>
      <w:tr>
        <w:trPr>
          <w:trHeight w:val="161" w:hRule="exact"/>
        </w:trPr>
        <w:tc>
          <w:tcPr>
            <w:tcW w:w="35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帮助建档立卡贫困户实现就业</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1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4512" w:type="dxa"/>
            <w:vMerge w:val="restart"/>
            <w:tcBorders>
              <w:top w:val="single" w:sz="4" w:space="0" w:color="000000"/>
              <w:left w:val="single" w:sz="9" w:space="0" w:color="D2D2D2"/>
              <w:right w:val="single" w:sz="4" w:space="0" w:color="000000"/>
            </w:tcBorders>
          </w:tcPr>
          <w:p>
            <w:pPr/>
          </w:p>
        </w:tc>
      </w:tr>
      <w:tr>
        <w:trPr>
          <w:trHeight w:val="392" w:hRule="exact"/>
        </w:trPr>
        <w:tc>
          <w:tcPr>
            <w:tcW w:w="3572" w:type="dxa"/>
            <w:vMerge/>
            <w:tcBorders>
              <w:left w:val="single" w:sz="4" w:space="0" w:color="000000"/>
              <w:right w:val="single" w:sz="4" w:space="0" w:color="000000"/>
            </w:tcBorders>
            <w:shd w:val="clear" w:color="auto" w:fill="D2D2D2"/>
          </w:tcPr>
          <w:p>
            <w:pPr/>
          </w:p>
        </w:tc>
        <w:tc>
          <w:tcPr>
            <w:tcW w:w="1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2" w:type="dxa"/>
            <w:vMerge/>
            <w:tcBorders>
              <w:left w:val="single" w:sz="9" w:space="0" w:color="D2D2D2"/>
              <w:right w:val="single" w:sz="4" w:space="0" w:color="000000"/>
            </w:tcBorders>
          </w:tcPr>
          <w:p>
            <w:pPr/>
          </w:p>
        </w:tc>
      </w:tr>
      <w:tr>
        <w:trPr>
          <w:trHeight w:val="161" w:hRule="exact"/>
        </w:trPr>
        <w:tc>
          <w:tcPr>
            <w:tcW w:w="3572" w:type="dxa"/>
            <w:vMerge/>
            <w:tcBorders>
              <w:left w:val="single" w:sz="4" w:space="0" w:color="000000"/>
              <w:bottom w:val="single" w:sz="4" w:space="0" w:color="000000"/>
              <w:right w:val="single" w:sz="4" w:space="0" w:color="000000"/>
            </w:tcBorders>
            <w:shd w:val="clear" w:color="auto" w:fill="D2D2D2"/>
          </w:tcPr>
          <w:p>
            <w:pPr/>
          </w:p>
        </w:tc>
        <w:tc>
          <w:tcPr>
            <w:tcW w:w="1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4512" w:type="dxa"/>
            <w:vMerge/>
            <w:tcBorders>
              <w:left w:val="single" w:sz="9" w:space="0" w:color="D2D2D2"/>
              <w:bottom w:val="single" w:sz="4" w:space="0" w:color="000000"/>
              <w:right w:val="single" w:sz="4" w:space="0" w:color="000000"/>
            </w:tcBorders>
          </w:tcPr>
          <w:p>
            <w:pP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帮助搬迁户就业人数</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2"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资助贫困学生投入金额</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资助贫困学生人数</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2" w:type="dxa"/>
            <w:tcBorders>
              <w:top w:val="single" w:sz="4" w:space="0" w:color="000000"/>
              <w:left w:val="single" w:sz="13" w:space="0" w:color="D2D2D2"/>
              <w:bottom w:val="single" w:sz="4" w:space="0" w:color="000000"/>
              <w:right w:val="single" w:sz="4" w:space="0" w:color="000000"/>
            </w:tcBorders>
          </w:tcPr>
          <w:p>
            <w:pPr/>
          </w:p>
        </w:tc>
      </w:tr>
      <w:tr>
        <w:trPr>
          <w:trHeight w:val="161" w:hRule="exact"/>
        </w:trPr>
        <w:tc>
          <w:tcPr>
            <w:tcW w:w="35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改善贫困地区教育资源投入金</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4512" w:type="dxa"/>
            <w:vMerge w:val="restart"/>
            <w:tcBorders>
              <w:top w:val="single" w:sz="4" w:space="0" w:color="000000"/>
              <w:left w:val="single" w:sz="9" w:space="0" w:color="D2D2D2"/>
              <w:right w:val="single" w:sz="4" w:space="0" w:color="000000"/>
            </w:tcBorders>
          </w:tcPr>
          <w:p>
            <w:pPr/>
          </w:p>
        </w:tc>
      </w:tr>
      <w:tr>
        <w:trPr>
          <w:trHeight w:val="392" w:hRule="exact"/>
        </w:trPr>
        <w:tc>
          <w:tcPr>
            <w:tcW w:w="3572" w:type="dxa"/>
            <w:vMerge/>
            <w:tcBorders>
              <w:left w:val="single" w:sz="4" w:space="0" w:color="000000"/>
              <w:right w:val="single" w:sz="4" w:space="0" w:color="000000"/>
            </w:tcBorders>
            <w:shd w:val="clear" w:color="auto" w:fill="D2D2D2"/>
          </w:tcPr>
          <w:p>
            <w:pPr/>
          </w:p>
        </w:tc>
        <w:tc>
          <w:tcPr>
            <w:tcW w:w="1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vMerge/>
            <w:tcBorders>
              <w:left w:val="single" w:sz="9" w:space="0" w:color="D2D2D2"/>
              <w:right w:val="single" w:sz="4" w:space="0" w:color="000000"/>
            </w:tcBorders>
          </w:tcPr>
          <w:p>
            <w:pPr/>
          </w:p>
        </w:tc>
      </w:tr>
      <w:tr>
        <w:trPr>
          <w:trHeight w:val="161" w:hRule="exact"/>
        </w:trPr>
        <w:tc>
          <w:tcPr>
            <w:tcW w:w="3572" w:type="dxa"/>
            <w:vMerge/>
            <w:tcBorders>
              <w:left w:val="single" w:sz="4" w:space="0" w:color="000000"/>
              <w:bottom w:val="single" w:sz="4" w:space="0" w:color="000000"/>
              <w:right w:val="single" w:sz="4" w:space="0" w:color="000000"/>
            </w:tcBorders>
            <w:shd w:val="clear" w:color="auto" w:fill="D2D2D2"/>
          </w:tcPr>
          <w:p>
            <w:pPr/>
          </w:p>
        </w:tc>
        <w:tc>
          <w:tcPr>
            <w:tcW w:w="1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4512" w:type="dxa"/>
            <w:vMerge/>
            <w:tcBorders>
              <w:left w:val="single" w:sz="9" w:space="0" w:color="D2D2D2"/>
              <w:bottom w:val="single" w:sz="4" w:space="0" w:color="000000"/>
              <w:right w:val="single" w:sz="4" w:space="0" w:color="000000"/>
            </w:tcBorders>
          </w:tcPr>
          <w:p>
            <w:pP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3572" w:type="dxa"/>
            <w:vMerge w:val="restart"/>
            <w:tcBorders>
              <w:top w:val="single" w:sz="4" w:space="0" w:color="000000"/>
              <w:left w:val="single" w:sz="4" w:space="0" w:color="000000"/>
              <w:right w:val="single" w:sz="4" w:space="0" w:color="000000"/>
            </w:tcBorders>
            <w:shd w:val="clear" w:color="auto" w:fill="D2D2D2"/>
          </w:tcPr>
          <w:p>
            <w:pPr>
              <w:pStyle w:val="TableParagraph"/>
              <w:tabs>
                <w:tab w:pos="1091" w:val="left" w:leader="none"/>
              </w:tabs>
              <w:spacing w:line="302" w:lineRule="auto" w:before="51"/>
              <w:ind w:left="11" w:right="39"/>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贫困地区医疗卫生资源投入 金额</w:t>
            </w:r>
          </w:p>
        </w:tc>
        <w:tc>
          <w:tcPr>
            <w:tcW w:w="1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4512" w:type="dxa"/>
            <w:vMerge w:val="restart"/>
            <w:tcBorders>
              <w:top w:val="single" w:sz="4" w:space="0" w:color="000000"/>
              <w:left w:val="single" w:sz="9" w:space="0" w:color="D2D2D2"/>
              <w:right w:val="single" w:sz="4" w:space="0" w:color="000000"/>
            </w:tcBorders>
          </w:tcPr>
          <w:p>
            <w:pPr/>
          </w:p>
        </w:tc>
      </w:tr>
      <w:tr>
        <w:trPr>
          <w:trHeight w:val="392" w:hRule="exact"/>
        </w:trPr>
        <w:tc>
          <w:tcPr>
            <w:tcW w:w="3572" w:type="dxa"/>
            <w:vMerge/>
            <w:tcBorders>
              <w:left w:val="single" w:sz="4" w:space="0" w:color="000000"/>
              <w:right w:val="single" w:sz="4" w:space="0" w:color="000000"/>
            </w:tcBorders>
            <w:shd w:val="clear" w:color="auto" w:fill="D2D2D2"/>
          </w:tcPr>
          <w:p>
            <w:pPr/>
          </w:p>
        </w:tc>
        <w:tc>
          <w:tcPr>
            <w:tcW w:w="1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vMerge/>
            <w:tcBorders>
              <w:left w:val="single" w:sz="9" w:space="0" w:color="D2D2D2"/>
              <w:right w:val="single" w:sz="4" w:space="0" w:color="000000"/>
            </w:tcBorders>
          </w:tcPr>
          <w:p>
            <w:pPr/>
          </w:p>
        </w:tc>
      </w:tr>
      <w:tr>
        <w:trPr>
          <w:trHeight w:val="161" w:hRule="exact"/>
        </w:trPr>
        <w:tc>
          <w:tcPr>
            <w:tcW w:w="3572" w:type="dxa"/>
            <w:vMerge/>
            <w:tcBorders>
              <w:left w:val="single" w:sz="4" w:space="0" w:color="000000"/>
              <w:bottom w:val="single" w:sz="4" w:space="0" w:color="000000"/>
              <w:right w:val="single" w:sz="4" w:space="0" w:color="000000"/>
            </w:tcBorders>
            <w:shd w:val="clear" w:color="auto" w:fill="D2D2D2"/>
          </w:tcPr>
          <w:p>
            <w:pPr/>
          </w:p>
        </w:tc>
        <w:tc>
          <w:tcPr>
            <w:tcW w:w="1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4512" w:type="dxa"/>
            <w:vMerge/>
            <w:tcBorders>
              <w:left w:val="single" w:sz="9" w:space="0" w:color="D2D2D2"/>
              <w:bottom w:val="single" w:sz="4" w:space="0" w:color="000000"/>
              <w:right w:val="single" w:sz="4" w:space="0" w:color="000000"/>
            </w:tcBorders>
          </w:tcPr>
          <w:p>
            <w:pP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09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项目类型</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投入金额</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7.1“</w:t>
            </w:r>
            <w:r>
              <w:rPr>
                <w:rFonts w:ascii="宋体" w:hAnsi="宋体" w:cs="宋体" w:eastAsia="宋体" w:hint="default"/>
                <w:sz w:val="18"/>
                <w:szCs w:val="18"/>
              </w:rPr>
              <w:t>三留守</w:t>
            </w:r>
            <w:r>
              <w:rPr>
                <w:rFonts w:ascii="Times New Roman" w:hAnsi="Times New Roman" w:cs="Times New Roman" w:eastAsia="Times New Roman" w:hint="default"/>
                <w:sz w:val="18"/>
                <w:szCs w:val="18"/>
              </w:rPr>
              <w:t>”</w:t>
            </w:r>
            <w:r>
              <w:rPr>
                <w:rFonts w:ascii="宋体" w:hAnsi="宋体" w:cs="宋体" w:eastAsia="宋体" w:hint="default"/>
                <w:sz w:val="18"/>
                <w:szCs w:val="18"/>
              </w:rPr>
              <w:t>人员投入金额</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帮助</w:t>
            </w:r>
            <w:r>
              <w:rPr>
                <w:rFonts w:ascii="Times New Roman" w:hAnsi="Times New Roman" w:cs="Times New Roman" w:eastAsia="Times New Roman" w:hint="default"/>
                <w:sz w:val="18"/>
                <w:szCs w:val="18"/>
              </w:rPr>
              <w:t>“</w:t>
            </w:r>
            <w:r>
              <w:rPr>
                <w:rFonts w:ascii="宋体" w:hAnsi="宋体" w:cs="宋体" w:eastAsia="宋体" w:hint="default"/>
                <w:sz w:val="18"/>
                <w:szCs w:val="18"/>
              </w:rPr>
              <w:t>三留守</w:t>
            </w:r>
            <w:r>
              <w:rPr>
                <w:rFonts w:ascii="Times New Roman" w:hAnsi="Times New Roman" w:cs="Times New Roman" w:eastAsia="Times New Roman" w:hint="default"/>
                <w:sz w:val="18"/>
                <w:szCs w:val="18"/>
              </w:rPr>
              <w:t>”</w:t>
            </w:r>
            <w:r>
              <w:rPr>
                <w:rFonts w:ascii="宋体" w:hAnsi="宋体" w:cs="宋体" w:eastAsia="宋体" w:hint="default"/>
                <w:sz w:val="18"/>
                <w:szCs w:val="18"/>
              </w:rPr>
              <w:t>人员数</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2"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贫困残疾人投入金额</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帮助贫困残疾人数</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2"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东西部扶贫协作投入金额</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定点扶贫工作投入金额</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扶贫公益基金投入金额</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9.1.</w:t>
            </w:r>
            <w:r>
              <w:rPr>
                <w:rFonts w:ascii="宋体" w:hAnsi="宋体" w:cs="宋体" w:eastAsia="宋体" w:hint="default"/>
                <w:sz w:val="18"/>
                <w:szCs w:val="18"/>
              </w:rPr>
              <w:t>项目个数</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512"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w:t>
            </w:r>
            <w:r>
              <w:rPr>
                <w:rFonts w:ascii="宋体" w:hAnsi="宋体" w:cs="宋体" w:eastAsia="宋体" w:hint="default"/>
                <w:sz w:val="18"/>
                <w:szCs w:val="18"/>
              </w:rPr>
              <w:t>帮助建档立卡贫困人口脱贫数</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2"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
        </w:tc>
        <w:tc>
          <w:tcPr>
            <w:tcW w:w="451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spacing w:before="35"/>
        <w:ind w:left="154" w:right="889" w:firstLine="0"/>
        <w:jc w:val="left"/>
        <w:rPr>
          <w:rFonts w:ascii="宋体" w:hAnsi="宋体" w:cs="宋体" w:eastAsia="宋体" w:hint="default"/>
          <w:sz w:val="21"/>
          <w:szCs w:val="21"/>
        </w:rPr>
      </w:pPr>
      <w:bookmarkStart w:name="（4）后续精准扶贫计划" w:id="98"/>
      <w:bookmarkEnd w:id="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）后续精准扶贫计划</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154" w:right="889"/>
        <w:jc w:val="left"/>
      </w:pPr>
      <w:r>
        <w:rPr/>
        <w:t>注：根据公司长期经营战略与扶贫规划，披露下一年度开展精准扶贫工作的计划，以及保障计划实现的主要措施等。</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89"/>
        <w:jc w:val="left"/>
        <w:rPr>
          <w:b w:val="0"/>
          <w:bCs w:val="0"/>
        </w:rPr>
      </w:pPr>
      <w:bookmarkStart w:name="3、环境保护相关的情况" w:id="99"/>
      <w:bookmarkEnd w:id="99"/>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t>上市公司及其子公司不属于环境保护部门公布的重点排污单位</w:t>
      </w:r>
    </w:p>
    <w:p>
      <w:pPr>
        <w:spacing w:line="240" w:lineRule="auto" w:before="0"/>
        <w:rPr>
          <w:rFonts w:ascii="宋体" w:hAnsi="宋体" w:cs="宋体" w:eastAsia="宋体" w:hint="default"/>
          <w:sz w:val="25"/>
          <w:szCs w:val="25"/>
        </w:rPr>
      </w:pPr>
    </w:p>
    <w:p>
      <w:pPr>
        <w:pStyle w:val="Heading2"/>
        <w:spacing w:line="240" w:lineRule="auto"/>
        <w:ind w:left="154" w:right="889"/>
        <w:jc w:val="left"/>
        <w:rPr>
          <w:b w:val="0"/>
          <w:bCs w:val="0"/>
        </w:rPr>
      </w:pPr>
      <w:bookmarkStart w:name="十九、其他重大事项的说明" w:id="100"/>
      <w:bookmarkEnd w:id="100"/>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889"/>
        <w:jc w:val="left"/>
      </w:pPr>
      <w:r>
        <w:rPr/>
        <w:t>公司需遵守《深圳证券交易所行业信息披露指引第</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上市公司从事装修装饰业务》的披露要求</w:t>
      </w:r>
    </w:p>
    <w:p>
      <w:pPr>
        <w:pStyle w:val="Heading4"/>
        <w:spacing w:line="240" w:lineRule="auto" w:before="78"/>
        <w:ind w:left="513" w:right="889"/>
        <w:jc w:val="left"/>
      </w:pPr>
      <w:r>
        <w:rPr/>
        <w:t>（一）行业资质情况</w:t>
      </w:r>
    </w:p>
    <w:p>
      <w:pPr>
        <w:pStyle w:val="BodyText"/>
        <w:spacing w:line="240" w:lineRule="auto" w:before="102"/>
        <w:ind w:left="597" w:right="889"/>
        <w:jc w:val="left"/>
      </w:pPr>
      <w:r>
        <w:rPr>
          <w:rFonts w:ascii="宋体" w:hAnsi="宋体" w:cs="宋体" w:eastAsia="宋体" w:hint="default"/>
        </w:rPr>
        <w:t>1.</w:t>
      </w:r>
      <w:r>
        <w:rPr/>
        <w:t>报告期内公司新取得行业资质情况说明资质</w:t>
      </w:r>
    </w:p>
    <w:p>
      <w:pPr>
        <w:spacing w:line="240" w:lineRule="auto" w:before="13"/>
        <w:rPr>
          <w:rFonts w:ascii="宋体" w:hAnsi="宋体" w:cs="宋体" w:eastAsia="宋体" w:hint="default"/>
          <w:sz w:val="7"/>
          <w:szCs w:val="7"/>
        </w:rPr>
      </w:pPr>
    </w:p>
    <w:tbl>
      <w:tblPr>
        <w:tblW w:w="0" w:type="auto"/>
        <w:jc w:val="left"/>
        <w:tblInd w:w="578" w:type="dxa"/>
        <w:tblLayout w:type="fixed"/>
        <w:tblCellMar>
          <w:top w:w="0" w:type="dxa"/>
          <w:left w:w="0" w:type="dxa"/>
          <w:bottom w:w="0" w:type="dxa"/>
          <w:right w:w="0" w:type="dxa"/>
        </w:tblCellMar>
        <w:tblLook w:val="01E0"/>
      </w:tblPr>
      <w:tblGrid>
        <w:gridCol w:w="5380"/>
        <w:gridCol w:w="1986"/>
        <w:gridCol w:w="1949"/>
      </w:tblGrid>
      <w:tr>
        <w:trPr>
          <w:trHeight w:val="427" w:hRule="exact"/>
        </w:trPr>
        <w:tc>
          <w:tcPr>
            <w:tcW w:w="5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资质名称</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获取时间</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有效期</w:t>
            </w:r>
          </w:p>
        </w:tc>
      </w:tr>
      <w:tr>
        <w:trPr>
          <w:trHeight w:val="427" w:hRule="exact"/>
        </w:trPr>
        <w:tc>
          <w:tcPr>
            <w:tcW w:w="5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建筑业企业资质证书</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01</w:t>
            </w:r>
            <w:r>
              <w:rPr>
                <w:rFonts w:ascii="宋体" w:hAnsi="宋体" w:cs="宋体" w:eastAsia="宋体" w:hint="default"/>
                <w:sz w:val="18"/>
                <w:szCs w:val="18"/>
              </w:rPr>
              <w:t>日</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z w:val="18"/>
                <w:szCs w:val="18"/>
              </w:rPr>
              <w:t>2021</w:t>
            </w:r>
            <w:r>
              <w:rPr>
                <w:rFonts w:ascii="宋体" w:hAnsi="宋体" w:cs="宋体" w:eastAsia="宋体" w:hint="default"/>
                <w:sz w:val="18"/>
                <w:szCs w:val="18"/>
              </w:rPr>
              <w:t>年</w:t>
            </w:r>
            <w:r>
              <w:rPr>
                <w:rFonts w:ascii="宋体" w:hAnsi="宋体" w:cs="宋体" w:eastAsia="宋体" w:hint="default"/>
                <w:sz w:val="18"/>
                <w:szCs w:val="18"/>
              </w:rPr>
              <w:t>01</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r>
      <w:tr>
        <w:trPr>
          <w:trHeight w:val="427" w:hRule="exact"/>
        </w:trPr>
        <w:tc>
          <w:tcPr>
            <w:tcW w:w="5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消防设施工程专业承包贰级</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z w:val="18"/>
                <w:szCs w:val="18"/>
              </w:rPr>
              <w:t>2021</w:t>
            </w:r>
            <w:r>
              <w:rPr>
                <w:rFonts w:ascii="宋体" w:hAnsi="宋体" w:cs="宋体" w:eastAsia="宋体" w:hint="default"/>
                <w:sz w:val="18"/>
                <w:szCs w:val="18"/>
              </w:rPr>
              <w:t>年</w:t>
            </w:r>
            <w:r>
              <w:rPr>
                <w:rFonts w:ascii="宋体" w:hAnsi="宋体" w:cs="宋体" w:eastAsia="宋体" w:hint="default"/>
                <w:sz w:val="18"/>
                <w:szCs w:val="18"/>
              </w:rPr>
              <w:t>03</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r>
      <w:tr>
        <w:trPr>
          <w:trHeight w:val="427" w:hRule="exact"/>
        </w:trPr>
        <w:tc>
          <w:tcPr>
            <w:tcW w:w="5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建筑工程施工总承包叁级</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z w:val="18"/>
                <w:szCs w:val="18"/>
              </w:rPr>
              <w:t>2021</w:t>
            </w:r>
            <w:r>
              <w:rPr>
                <w:rFonts w:ascii="宋体" w:hAnsi="宋体" w:cs="宋体" w:eastAsia="宋体" w:hint="default"/>
                <w:sz w:val="18"/>
                <w:szCs w:val="18"/>
              </w:rPr>
              <w:t>年</w:t>
            </w:r>
            <w:r>
              <w:rPr>
                <w:rFonts w:ascii="宋体" w:hAnsi="宋体" w:cs="宋体" w:eastAsia="宋体" w:hint="default"/>
                <w:sz w:val="18"/>
                <w:szCs w:val="18"/>
              </w:rPr>
              <w:t>03</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r>
      <w:tr>
        <w:trPr>
          <w:trHeight w:val="427" w:hRule="exact"/>
        </w:trPr>
        <w:tc>
          <w:tcPr>
            <w:tcW w:w="5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工程设计资质甲级</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07</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02</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426" w:hRule="exact"/>
        </w:trPr>
        <w:tc>
          <w:tcPr>
            <w:tcW w:w="5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安全生产许可证</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r>
      <w:tr>
        <w:trPr>
          <w:trHeight w:val="427" w:hRule="exact"/>
        </w:trPr>
        <w:tc>
          <w:tcPr>
            <w:tcW w:w="5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洁净行业企业资质等级证书</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08</w:t>
            </w:r>
            <w:r>
              <w:rPr>
                <w:rFonts w:ascii="宋体" w:hAnsi="宋体" w:cs="宋体" w:eastAsia="宋体" w:hint="default"/>
                <w:sz w:val="18"/>
                <w:szCs w:val="18"/>
              </w:rPr>
              <w:t>月</w:t>
            </w:r>
            <w:r>
              <w:rPr>
                <w:rFonts w:ascii="宋体" w:hAnsi="宋体" w:cs="宋体" w:eastAsia="宋体" w:hint="default"/>
                <w:sz w:val="18"/>
                <w:szCs w:val="18"/>
              </w:rPr>
              <w:t>08</w:t>
            </w:r>
            <w:r>
              <w:rPr>
                <w:rFonts w:ascii="宋体" w:hAnsi="宋体" w:cs="宋体" w:eastAsia="宋体" w:hint="default"/>
                <w:sz w:val="18"/>
                <w:szCs w:val="18"/>
              </w:rPr>
              <w:t>日</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08</w:t>
            </w:r>
            <w:r>
              <w:rPr>
                <w:rFonts w:ascii="宋体" w:hAnsi="宋体" w:cs="宋体" w:eastAsia="宋体" w:hint="default"/>
                <w:sz w:val="18"/>
                <w:szCs w:val="18"/>
              </w:rPr>
              <w:t>月</w:t>
            </w:r>
            <w:r>
              <w:rPr>
                <w:rFonts w:ascii="宋体" w:hAnsi="宋体" w:cs="宋体" w:eastAsia="宋体" w:hint="default"/>
                <w:sz w:val="18"/>
                <w:szCs w:val="18"/>
              </w:rPr>
              <w:t>07</w:t>
            </w:r>
            <w:r>
              <w:rPr>
                <w:rFonts w:ascii="宋体" w:hAnsi="宋体" w:cs="宋体" w:eastAsia="宋体" w:hint="default"/>
                <w:sz w:val="18"/>
                <w:szCs w:val="18"/>
              </w:rPr>
              <w:t>日</w:t>
            </w:r>
          </w:p>
        </w:tc>
      </w:tr>
      <w:tr>
        <w:trPr>
          <w:trHeight w:val="427" w:hRule="exact"/>
        </w:trPr>
        <w:tc>
          <w:tcPr>
            <w:tcW w:w="5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广东省安全技术防范系统 设计、施工、维修资格证（安防资质）</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03</w:t>
            </w:r>
            <w:r>
              <w:rPr>
                <w:rFonts w:ascii="宋体" w:hAnsi="宋体" w:cs="宋体" w:eastAsia="宋体" w:hint="default"/>
                <w:sz w:val="18"/>
                <w:szCs w:val="18"/>
              </w:rPr>
              <w:t>日</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03</w:t>
            </w:r>
            <w:r>
              <w:rPr>
                <w:rFonts w:ascii="宋体" w:hAnsi="宋体" w:cs="宋体" w:eastAsia="宋体" w:hint="default"/>
                <w:sz w:val="18"/>
                <w:szCs w:val="18"/>
              </w:rPr>
              <w:t>日</w:t>
            </w:r>
          </w:p>
        </w:tc>
      </w:tr>
      <w:tr>
        <w:trPr>
          <w:trHeight w:val="428" w:hRule="exact"/>
        </w:trPr>
        <w:tc>
          <w:tcPr>
            <w:tcW w:w="5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中国展览馆协会展览陈列工程设计与施工一体化资质等级证书</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427" w:hRule="exact"/>
        </w:trPr>
        <w:tc>
          <w:tcPr>
            <w:tcW w:w="5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承转（修、试）电力设施许可证</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04</w:t>
            </w:r>
            <w:r>
              <w:rPr>
                <w:rFonts w:ascii="宋体" w:hAnsi="宋体" w:cs="宋体" w:eastAsia="宋体" w:hint="default"/>
                <w:sz w:val="18"/>
                <w:szCs w:val="18"/>
              </w:rPr>
              <w:t>日</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z w:val="18"/>
                <w:szCs w:val="18"/>
              </w:rPr>
              <w:t>2023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03</w:t>
            </w:r>
            <w:r>
              <w:rPr>
                <w:rFonts w:ascii="宋体" w:hAnsi="宋体" w:cs="宋体" w:eastAsia="宋体" w:hint="default"/>
                <w:sz w:val="18"/>
                <w:szCs w:val="18"/>
              </w:rPr>
              <w:t>日</w:t>
            </w:r>
          </w:p>
        </w:tc>
      </w:tr>
    </w:tbl>
    <w:p>
      <w:pPr>
        <w:pStyle w:val="BodyText"/>
        <w:spacing w:line="357" w:lineRule="auto" w:before="51"/>
        <w:ind w:left="514" w:right="1032"/>
        <w:jc w:val="left"/>
      </w:pPr>
      <w:r>
        <w:rPr>
          <w:rFonts w:ascii="宋体" w:hAnsi="宋体" w:cs="宋体" w:eastAsia="宋体" w:hint="default"/>
        </w:rPr>
        <w:t>2</w:t>
      </w:r>
      <w:r>
        <w:rPr/>
        <w:t>、报告期内相关资质发生重大变化的情况说明 公司是建筑装饰企业中高等级资质较完备的企业之一，拥有建筑装修装饰工程专业承包壹级等七余项壹级、甲级资质，</w:t>
      </w:r>
    </w:p>
    <w:p>
      <w:pPr>
        <w:pStyle w:val="BodyText"/>
        <w:spacing w:line="224" w:lineRule="exact"/>
        <w:ind w:left="154" w:right="889"/>
        <w:jc w:val="left"/>
      </w:pPr>
      <w:r>
        <w:rPr/>
        <w:t>具备承接各类建筑装饰工程的资格和能力。报告期内，新增洁净行业企业资质、展览馆协会展览陈列工程设计与施工一体化</w:t>
      </w:r>
    </w:p>
    <w:p>
      <w:pPr>
        <w:pStyle w:val="BodyText"/>
        <w:spacing w:line="319" w:lineRule="auto" w:before="76"/>
        <w:ind w:left="154" w:right="889"/>
        <w:jc w:val="left"/>
      </w:pPr>
      <w:r>
        <w:rPr>
          <w:spacing w:val="-2"/>
        </w:rPr>
        <w:t>资质等资质，成功将业务范围拓展到了建筑展览陈列工程施工与洁净行业领域，丰富了公司建筑装饰装修施工与设计的业务</w:t>
      </w:r>
      <w:r>
        <w:rPr>
          <w:spacing w:val="-64"/>
        </w:rPr>
        <w:t> </w:t>
      </w:r>
      <w:r>
        <w:rPr>
          <w:spacing w:val="-64"/>
        </w:rPr>
      </w:r>
      <w:r>
        <w:rPr/>
        <w:t>平台内容，有助于提高公司综合竞争力，促进企业规模化发展。</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57" w:lineRule="auto"/>
        <w:ind w:left="244" w:right="5622" w:firstLine="270"/>
        <w:jc w:val="left"/>
      </w:pPr>
      <w:r>
        <w:rPr/>
        <w:t>（二）公司安全生产制度运行情况说明 报告期内，公司安全生产制度运行良好，未发生重大安全事故。</w:t>
      </w:r>
    </w:p>
    <w:p>
      <w:pPr>
        <w:spacing w:line="240" w:lineRule="auto" w:before="3"/>
        <w:rPr>
          <w:rFonts w:ascii="宋体" w:hAnsi="宋体" w:cs="宋体" w:eastAsia="宋体" w:hint="default"/>
          <w:sz w:val="18"/>
          <w:szCs w:val="18"/>
        </w:rPr>
      </w:pPr>
    </w:p>
    <w:p>
      <w:pPr>
        <w:pStyle w:val="Heading2"/>
        <w:spacing w:line="240" w:lineRule="auto"/>
        <w:ind w:right="889"/>
        <w:jc w:val="left"/>
        <w:rPr>
          <w:b w:val="0"/>
          <w:bCs w:val="0"/>
        </w:rPr>
      </w:pPr>
      <w:bookmarkStart w:name="二十、公司子公司重大事项" w:id="101"/>
      <w:bookmarkEnd w:id="101"/>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889"/>
        <w:jc w:val="left"/>
        <w:rPr>
          <w:b w:val="0"/>
          <w:bCs w:val="0"/>
        </w:rPr>
      </w:pPr>
      <w:bookmarkStart w:name="第六节 股份变动及股东情况" w:id="102"/>
      <w:bookmarkEnd w:id="102"/>
      <w:r>
        <w:rPr>
          <w:b w:val="0"/>
          <w:bCs w:val="0"/>
        </w:rPr>
      </w:r>
      <w:r>
        <w:rPr/>
        <w:t>第六节</w:t>
      </w:r>
      <w:r>
        <w:rPr>
          <w:spacing w:val="-9"/>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89"/>
        <w:jc w:val="left"/>
        <w:rPr>
          <w:b w:val="0"/>
          <w:bCs w:val="0"/>
        </w:rPr>
      </w:pPr>
      <w:bookmarkStart w:name="一、股份变动情况" w:id="103"/>
      <w:bookmarkEnd w:id="10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89"/>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077"/>
        <w:gridCol w:w="824"/>
        <w:gridCol w:w="522"/>
        <w:gridCol w:w="425"/>
        <w:gridCol w:w="566"/>
        <w:gridCol w:w="1134"/>
        <w:gridCol w:w="1134"/>
        <w:gridCol w:w="1123"/>
        <w:gridCol w:w="794"/>
      </w:tblGrid>
      <w:tr>
        <w:trPr>
          <w:trHeight w:val="402" w:hRule="exact"/>
        </w:trPr>
        <w:tc>
          <w:tcPr>
            <w:tcW w:w="1962" w:type="dxa"/>
            <w:vMerge w:val="restart"/>
            <w:tcBorders>
              <w:top w:val="single" w:sz="4" w:space="0" w:color="000000"/>
              <w:left w:val="single" w:sz="4" w:space="0" w:color="000000"/>
              <w:right w:val="single" w:sz="4" w:space="0" w:color="000000"/>
            </w:tcBorders>
            <w:shd w:val="clear" w:color="auto" w:fill="D2D2D2"/>
          </w:tcPr>
          <w:p>
            <w:pPr/>
          </w:p>
        </w:tc>
        <w:tc>
          <w:tcPr>
            <w:tcW w:w="19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38"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77" w:type="dxa"/>
            <w:vMerge w:val="restart"/>
            <w:tcBorders>
              <w:top w:val="single" w:sz="4" w:space="0" w:color="000000"/>
              <w:left w:val="single" w:sz="4" w:space="0" w:color="000000"/>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
        </w:tc>
        <w:tc>
          <w:tcPr>
            <w:tcW w:w="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shd w:val="clear" w:color="auto" w:fill="D2D2D2"/>
          </w:tcPr>
          <w:p>
            <w:pPr/>
          </w:p>
        </w:tc>
        <w:tc>
          <w:tcPr>
            <w:tcW w:w="794" w:type="dxa"/>
            <w:vMerge w:val="restart"/>
            <w:tcBorders>
              <w:top w:val="single" w:sz="4" w:space="0" w:color="000000"/>
              <w:left w:val="single" w:sz="4" w:space="0" w:color="000000"/>
              <w:right w:val="single" w:sz="4" w:space="0" w:color="000000"/>
            </w:tcBorders>
            <w:shd w:val="clear" w:color="auto" w:fill="D2D2D2"/>
          </w:tcPr>
          <w:p>
            <w:pPr/>
          </w:p>
        </w:tc>
      </w:tr>
      <w:tr>
        <w:trPr>
          <w:trHeight w:val="179"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77"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52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75" w:right="7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23"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91"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22"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566"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77"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522"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23"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962" w:type="dxa"/>
            <w:vMerge/>
            <w:tcBorders>
              <w:left w:val="single" w:sz="4" w:space="0" w:color="000000"/>
              <w:right w:val="single" w:sz="4" w:space="0" w:color="000000"/>
            </w:tcBorders>
            <w:shd w:val="clear" w:color="auto" w:fill="D2D2D2"/>
          </w:tcPr>
          <w:p>
            <w:pPr/>
          </w:p>
        </w:tc>
        <w:tc>
          <w:tcPr>
            <w:tcW w:w="1077" w:type="dxa"/>
            <w:vMerge w:val="restart"/>
            <w:tcBorders>
              <w:top w:val="nil" w:sz="6" w:space="0" w:color="auto"/>
              <w:left w:val="single" w:sz="4" w:space="0" w:color="000000"/>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
        </w:tc>
        <w:tc>
          <w:tcPr>
            <w:tcW w:w="522" w:type="dxa"/>
            <w:vMerge/>
            <w:tcBorders>
              <w:left w:val="single" w:sz="4" w:space="0" w:color="000000"/>
              <w:bottom w:val="nil" w:sz="6" w:space="0" w:color="auto"/>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23" w:type="dxa"/>
            <w:vMerge w:val="restart"/>
            <w:tcBorders>
              <w:top w:val="nil" w:sz="6" w:space="0" w:color="auto"/>
              <w:left w:val="single" w:sz="4" w:space="0" w:color="000000"/>
              <w:right w:val="single" w:sz="4" w:space="0" w:color="000000"/>
            </w:tcBorders>
            <w:shd w:val="clear" w:color="auto" w:fill="D2D2D2"/>
          </w:tcPr>
          <w:p>
            <w:pPr/>
          </w:p>
        </w:tc>
        <w:tc>
          <w:tcPr>
            <w:tcW w:w="79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77"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522"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-156,060,000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-156,060,000</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293,940,000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48.99%</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-156,060,000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-156,060,000</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293,940,000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48.99%</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101,868,750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16.98%</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-89,887,500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-89,887,500</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11,981,250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348,131,250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58.02%</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-66,172,500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-66,172,500</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281,958,750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46.99%</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156,060,000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156,060,000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306,060,000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51.01%</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156,060,000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156,060,000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306,060,000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51.01%</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101"/>
        <w:gridCol w:w="1633"/>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54,495,000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54,495,000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鼎润天成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23,962,500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11,981,250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11,981,250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340"/>
        <w:gridCol w:w="1027"/>
        <w:gridCol w:w="1367"/>
        <w:gridCol w:w="1367"/>
        <w:gridCol w:w="1368"/>
        <w:gridCol w:w="1101"/>
        <w:gridCol w:w="1633"/>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昆山中科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16,875,000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16,875,000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刘广华</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11,677,500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福州中科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11,250,000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国投衡盈</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上海融银</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盐城中科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8,437,500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骥业投资</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7,031,250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7,031,250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华浩投资</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5,625,000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江西中嘉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5,625,000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中科汇通（深圳</w:t>
            </w:r>
          </w:p>
        </w:tc>
        <w:tc>
          <w:tcPr>
            <w:tcW w:w="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0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79" w:right="0"/>
              <w:jc w:val="left"/>
              <w:rPr>
                <w:rFonts w:ascii="Times New Roman" w:hAnsi="Times New Roman" w:cs="Times New Roman" w:eastAsia="Times New Roman" w:hint="default"/>
                <w:sz w:val="18"/>
                <w:szCs w:val="18"/>
              </w:rPr>
            </w:pPr>
            <w:r>
              <w:rPr>
                <w:rFonts w:ascii="Times New Roman"/>
                <w:sz w:val="18"/>
              </w:rPr>
              <w:t>5,062,500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22" w:right="0"/>
              <w:jc w:val="left"/>
              <w:rPr>
                <w:rFonts w:ascii="Times New Roman" w:hAnsi="Times New Roman" w:cs="Times New Roman" w:eastAsia="Times New Roman" w:hint="default"/>
                <w:sz w:val="18"/>
                <w:szCs w:val="18"/>
              </w:rPr>
            </w:pPr>
            <w:r>
              <w:rPr>
                <w:rFonts w:ascii="Times New Roman"/>
                <w:sz w:val="18"/>
              </w:rPr>
              <w:t>168,041,250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156,060,000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11,981,250</w:t>
            </w:r>
          </w:p>
        </w:tc>
        <w:tc>
          <w:tcPr>
            <w:tcW w:w="1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889"/>
        <w:jc w:val="left"/>
        <w:rPr>
          <w:b w:val="0"/>
          <w:bCs w:val="0"/>
        </w:rPr>
      </w:pPr>
      <w:r>
        <w:rPr/>
        <w:pict>
          <v:group style="position:absolute;margin-left:125.419998pt;margin-top:-52.634361pt;width:66.75pt;height:20.8pt;mso-position-horizontal-relative:page;mso-position-vertical-relative:paragraph;z-index:-896176" coordorigin="2508,-1053" coordsize="1335,416">
            <v:group style="position:absolute;left:2520;top:-1041;width:2;height:393" coordorigin="2520,-1041" coordsize="2,393">
              <v:shape style="position:absolute;left:2520;top:-1041;width:2;height:393" coordorigin="2520,-1041" coordsize="0,393" path="m2520,-1041l2520,-649e" filled="false" stroked="true" strokeweight="1.140pt" strokecolor="#ffffff">
                <v:path arrowok="t"/>
              </v:shape>
            </v:group>
            <v:group style="position:absolute;left:2531;top:-1041;width:1312;height:393" coordorigin="2531,-1041" coordsize="1312,393">
              <v:shape style="position:absolute;left:2531;top:-1041;width:1312;height:393" coordorigin="2531,-1041" coordsize="1312,393" path="m2531,-649l3843,-649,3843,-1041,2531,-1041,2531,-649xe" filled="true" fillcolor="#ffffff" stroked="false">
                <v:path arrowok="t"/>
                <v:fill type="solid"/>
              </v:shape>
            </v:group>
            <w10:wrap type="none"/>
          </v:group>
        </w:pict>
      </w:r>
      <w:bookmarkStart w:name="二、证券发行与上市情况" w:id="106"/>
      <w:bookmarkEnd w:id="10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89"/>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89"/>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889"/>
        <w:jc w:val="left"/>
      </w:pPr>
      <w:r>
        <w:rPr/>
        <w:t>报告期内，公司股份总数由</w:t>
      </w:r>
      <w:r>
        <w:rPr>
          <w:spacing w:val="-46"/>
        </w:rPr>
        <w:t> </w:t>
      </w:r>
      <w:r>
        <w:rPr>
          <w:rFonts w:ascii="宋体" w:hAnsi="宋体" w:cs="宋体" w:eastAsia="宋体" w:hint="default"/>
        </w:rPr>
        <w:t>300,000,000</w:t>
      </w:r>
      <w:r>
        <w:rPr>
          <w:rFonts w:ascii="宋体" w:hAnsi="宋体" w:cs="宋体" w:eastAsia="宋体" w:hint="default"/>
          <w:spacing w:val="-46"/>
        </w:rPr>
        <w:t> </w:t>
      </w:r>
      <w:r>
        <w:rPr/>
        <w:t>股增至</w:t>
      </w:r>
      <w:r>
        <w:rPr>
          <w:spacing w:val="-46"/>
        </w:rPr>
        <w:t> </w:t>
      </w:r>
      <w:r>
        <w:rPr>
          <w:rFonts w:ascii="宋体" w:hAnsi="宋体" w:cs="宋体" w:eastAsia="宋体" w:hint="default"/>
        </w:rPr>
        <w:t>600,000,000</w:t>
      </w:r>
      <w:r>
        <w:rPr>
          <w:rFonts w:ascii="宋体" w:hAnsi="宋体" w:cs="宋体" w:eastAsia="宋体" w:hint="default"/>
          <w:spacing w:val="-46"/>
        </w:rPr>
        <w:t> </w:t>
      </w:r>
      <w:r>
        <w:rPr/>
        <w:t>股</w:t>
      </w:r>
    </w:p>
    <w:p>
      <w:pPr>
        <w:spacing w:line="240" w:lineRule="auto" w:before="10"/>
        <w:rPr>
          <w:rFonts w:ascii="宋体" w:hAnsi="宋体" w:cs="宋体" w:eastAsia="宋体" w:hint="default"/>
          <w:sz w:val="26"/>
          <w:szCs w:val="26"/>
        </w:rPr>
      </w:pPr>
    </w:p>
    <w:p>
      <w:pPr>
        <w:pStyle w:val="Heading3"/>
        <w:spacing w:line="240" w:lineRule="auto"/>
        <w:ind w:left="154" w:right="889"/>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89"/>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jc w:val="left"/>
      </w:pPr>
      <w:r>
        <w:rPr>
          <w:spacing w:val="-2"/>
        </w:rPr>
        <w:t>注：年报披露的前十名股东名称、持股数量及其排序以结算公司提供的股东名册为准。另外，证金公司自身持有的上市公司</w:t>
      </w:r>
      <w:r>
        <w:rPr>
          <w:spacing w:val="-66"/>
        </w:rPr>
        <w:t> </w:t>
      </w:r>
      <w:r>
        <w:rPr>
          <w:spacing w:val="-66"/>
        </w:rPr>
      </w:r>
      <w:r>
        <w:rPr/>
        <w:t>股份，划转给中央汇金持有的上市公司股份，以及通过各类公募基金、券商资管计划持有的上市公司股份，均不合并计算。</w:t>
      </w:r>
    </w:p>
    <w:p>
      <w:pPr>
        <w:spacing w:line="240" w:lineRule="auto" w:before="3"/>
        <w:rPr>
          <w:rFonts w:ascii="宋体" w:hAnsi="宋体" w:cs="宋体" w:eastAsia="宋体" w:hint="default"/>
          <w:sz w:val="22"/>
          <w:szCs w:val="22"/>
        </w:rPr>
      </w:pPr>
    </w:p>
    <w:p>
      <w:pPr>
        <w:pStyle w:val="Heading3"/>
        <w:spacing w:line="240" w:lineRule="auto"/>
        <w:ind w:left="154" w:right="889"/>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pict>
          <v:shape style="position:absolute;margin-left:511.5pt;margin-top:52.711723pt;width:23.4pt;height:15.6pt;mso-position-horizontal-relative:page;mso-position-vertical-relative:paragraph;z-index:-896200" type="#_x0000_t202" filled="false" stroked="false">
            <v:textbox inset="0,0,0,0">
              <w:txbxContent>
                <w:p>
                  <w:pPr>
                    <w:pStyle w:val="BodyText"/>
                    <w:spacing w:line="208" w:lineRule="exact"/>
                    <w:ind w:left="0" w:right="0"/>
                    <w:jc w:val="left"/>
                  </w:pPr>
                  <w:r>
                    <w:rPr/>
                    <w:t>）</w:t>
                  </w:r>
                </w:p>
              </w:txbxContent>
            </v:textbox>
            <w10:wrap type="none"/>
          </v:shape>
        </w:pict>
      </w:r>
      <w:r>
        <w:rPr/>
        <w:pict>
          <v:group style="position:absolute;margin-left:390.160004pt;margin-top:32.561726pt;width:19.6pt;height:20.75pt;mso-position-horizontal-relative:page;mso-position-vertical-relative:paragraph;z-index:-896152" coordorigin="7803,651" coordsize="392,415">
            <v:group style="position:absolute;left:7815;top:663;width:2;height:392" coordorigin="7815,663" coordsize="2,392">
              <v:shape style="position:absolute;left:7815;top:663;width:2;height:392" coordorigin="7815,663" coordsize="0,392" path="m7815,663l7815,1054e" filled="false" stroked="true" strokeweight="1.140pt" strokecolor="#ffffff">
                <v:path arrowok="t"/>
              </v:shape>
            </v:group>
            <v:group style="position:absolute;left:7826;top:663;width:369;height:392" coordorigin="7826,663" coordsize="369,392">
              <v:shape style="position:absolute;left:7826;top:663;width:369;height:392" coordorigin="7826,663" coordsize="369,392" path="m7826,1054l8195,1054,8195,663,7826,663,7826,1054xe" filled="true" fillcolor="#ffffff" stroked="false">
                <v:path arrowok="t"/>
                <v:fill type="solid"/>
              </v:shape>
            </v:group>
            <w10:wrap type="none"/>
          </v:group>
        </w:pict>
      </w:r>
      <w:r>
        <w:rPr/>
        <w:pict>
          <v:group style="position:absolute;margin-left:517.679993pt;margin-top:52.711723pt;width:17.25pt;height:15.6pt;mso-position-horizontal-relative:page;mso-position-vertical-relative:paragraph;z-index:-896128" coordorigin="10354,1054" coordsize="345,312">
            <v:shape style="position:absolute;left:10354;top:1054;width:345;height:312" coordorigin="10354,1054" coordsize="345,312" path="m10354,1366l10698,1366,10698,1054,10354,1054,10354,1366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2"/>
        <w:gridCol w:w="377"/>
        <w:gridCol w:w="436"/>
        <w:gridCol w:w="980"/>
        <w:gridCol w:w="852"/>
        <w:gridCol w:w="271"/>
        <w:gridCol w:w="695"/>
        <w:gridCol w:w="167"/>
        <w:gridCol w:w="992"/>
        <w:gridCol w:w="698"/>
        <w:gridCol w:w="295"/>
        <w:gridCol w:w="154"/>
        <w:gridCol w:w="838"/>
        <w:gridCol w:w="1264"/>
        <w:gridCol w:w="160"/>
        <w:gridCol w:w="205"/>
      </w:tblGrid>
      <w:tr>
        <w:trPr>
          <w:trHeight w:val="162" w:hRule="exact"/>
        </w:trPr>
        <w:tc>
          <w:tcPr>
            <w:tcW w:w="11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43,574</w:t>
            </w:r>
          </w:p>
        </w:tc>
        <w:tc>
          <w:tcPr>
            <w:tcW w:w="2103"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95" w:type="dxa"/>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51,086</w:t>
            </w:r>
          </w:p>
        </w:tc>
        <w:tc>
          <w:tcPr>
            <w:tcW w:w="185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35"/>
              <w:jc w:val="left"/>
              <w:rPr>
                <w:rFonts w:ascii="宋体" w:hAnsi="宋体" w:cs="宋体" w:eastAsia="宋体" w:hint="default"/>
                <w:sz w:val="18"/>
                <w:szCs w:val="18"/>
              </w:rPr>
            </w:pPr>
            <w:r>
              <w:rPr>
                <w:rFonts w:ascii="宋体" w:hAnsi="宋体" w:cs="宋体" w:eastAsia="宋体" w:hint="default"/>
                <w:sz w:val="18"/>
                <w:szCs w:val="18"/>
              </w:rPr>
              <w:t>报告期末表决权恢复的 </w:t>
            </w:r>
            <w:r>
              <w:rPr>
                <w:rFonts w:ascii="宋体" w:hAnsi="宋体" w:cs="宋体" w:eastAsia="宋体" w:hint="default"/>
                <w:spacing w:val="-7"/>
                <w:sz w:val="18"/>
                <w:szCs w:val="18"/>
              </w:rPr>
              <w:t>优先股股东总数（如有</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295" w:type="dxa"/>
            <w:tcBorders>
              <w:top w:val="single" w:sz="4" w:space="0" w:color="000000"/>
              <w:left w:val="single" w:sz="13" w:space="0" w:color="D2D2D2"/>
              <w:bottom w:val="nil" w:sz="6" w:space="0" w:color="auto"/>
              <w:right w:val="nil" w:sz="6" w:space="0" w:color="auto"/>
            </w:tcBorders>
          </w:tcPr>
          <w:p>
            <w:pPr/>
          </w:p>
        </w:tc>
        <w:tc>
          <w:tcPr>
            <w:tcW w:w="154" w:type="dxa"/>
            <w:tcBorders>
              <w:top w:val="single" w:sz="4" w:space="0" w:color="000000"/>
              <w:left w:val="nil" w:sz="6" w:space="0" w:color="auto"/>
              <w:bottom w:val="nil" w:sz="6" w:space="0" w:color="auto"/>
              <w:right w:val="single" w:sz="13" w:space="0" w:color="D2D2D2"/>
            </w:tcBorders>
          </w:tcPr>
          <w:p>
            <w:pPr/>
          </w:p>
        </w:tc>
        <w:tc>
          <w:tcPr>
            <w:tcW w:w="21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 w:right="99"/>
              <w:jc w:val="both"/>
              <w:rPr>
                <w:rFonts w:ascii="Times New Roman" w:hAnsi="Times New Roman" w:cs="Times New Roman" w:eastAsia="Times New Roman" w:hint="default"/>
                <w:sz w:val="18"/>
                <w:szCs w:val="18"/>
              </w:rPr>
            </w:pPr>
            <w:r>
              <w:rPr>
                <w:rFonts w:ascii="宋体" w:hAnsi="宋体" w:cs="宋体" w:eastAsia="宋体" w:hint="default"/>
                <w:sz w:val="18"/>
                <w:szCs w:val="18"/>
              </w:rPr>
              <w:t>年度报告披露日前上一月 末表决权恢复的优先股股 </w:t>
            </w:r>
            <w:r>
              <w:rPr>
                <w:rFonts w:ascii="宋体" w:hAnsi="宋体" w:cs="宋体" w:eastAsia="宋体" w:hint="default"/>
                <w:spacing w:val="-13"/>
                <w:sz w:val="18"/>
                <w:szCs w:val="18"/>
              </w:rPr>
              <w:t>东总数（如有）（参见注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p>
        </w:tc>
        <w:tc>
          <w:tcPr>
            <w:tcW w:w="160" w:type="dxa"/>
            <w:tcBorders>
              <w:top w:val="single" w:sz="4" w:space="0" w:color="000000"/>
              <w:left w:val="single" w:sz="13" w:space="0" w:color="D2D2D2"/>
              <w:bottom w:val="nil" w:sz="6" w:space="0" w:color="auto"/>
              <w:right w:val="nil" w:sz="6" w:space="0" w:color="auto"/>
            </w:tcBorders>
          </w:tcPr>
          <w:p>
            <w:pPr/>
          </w:p>
        </w:tc>
        <w:tc>
          <w:tcPr>
            <w:tcW w:w="205" w:type="dxa"/>
            <w:tcBorders>
              <w:top w:val="single" w:sz="4" w:space="0" w:color="000000"/>
              <w:left w:val="nil" w:sz="6" w:space="0" w:color="auto"/>
              <w:bottom w:val="nil" w:sz="6" w:space="0" w:color="auto"/>
              <w:right w:val="single" w:sz="4" w:space="0" w:color="000000"/>
            </w:tcBorders>
          </w:tcPr>
          <w:p>
            <w:pPr/>
          </w:p>
        </w:tc>
      </w:tr>
      <w:tr>
        <w:trPr>
          <w:trHeight w:val="704" w:hRule="exact"/>
        </w:trPr>
        <w:tc>
          <w:tcPr>
            <w:tcW w:w="11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6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813" w:type="dxa"/>
            <w:gridSpan w:val="2"/>
            <w:vMerge/>
            <w:tcBorders>
              <w:left w:val="single" w:sz="10" w:space="0" w:color="D2D2D2"/>
              <w:right w:val="single" w:sz="9" w:space="0" w:color="D2D2D2"/>
            </w:tcBorders>
          </w:tcPr>
          <w:p>
            <w:pPr/>
          </w:p>
        </w:tc>
        <w:tc>
          <w:tcPr>
            <w:tcW w:w="2103"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00"/>
              <w:jc w:val="left"/>
              <w:rPr>
                <w:rFonts w:ascii="宋体" w:hAnsi="宋体" w:cs="宋体" w:eastAsia="宋体" w:hint="default"/>
                <w:sz w:val="18"/>
                <w:szCs w:val="18"/>
              </w:rPr>
            </w:pPr>
            <w:r>
              <w:rPr>
                <w:rFonts w:ascii="宋体" w:hAnsi="宋体" w:cs="宋体" w:eastAsia="宋体" w:hint="default"/>
                <w:sz w:val="18"/>
                <w:szCs w:val="18"/>
              </w:rPr>
              <w:t>年度报告披露日前上一月 末普通股股东总数</w:t>
            </w:r>
          </w:p>
        </w:tc>
        <w:tc>
          <w:tcPr>
            <w:tcW w:w="695" w:type="dxa"/>
            <w:vMerge/>
            <w:tcBorders>
              <w:left w:val="single" w:sz="10" w:space="0" w:color="D2D2D2"/>
              <w:right w:val="single" w:sz="9" w:space="0" w:color="D2D2D2"/>
            </w:tcBorders>
          </w:tcPr>
          <w:p>
            <w:pPr/>
          </w:p>
        </w:tc>
        <w:tc>
          <w:tcPr>
            <w:tcW w:w="1857" w:type="dxa"/>
            <w:gridSpan w:val="3"/>
            <w:vMerge/>
            <w:tcBorders>
              <w:left w:val="single" w:sz="4" w:space="0" w:color="000000"/>
              <w:right w:val="single" w:sz="4" w:space="0" w:color="000000"/>
            </w:tcBorders>
            <w:shd w:val="clear" w:color="auto" w:fill="D2D2D2"/>
          </w:tcPr>
          <w:p>
            <w:pPr/>
          </w:p>
        </w:tc>
        <w:tc>
          <w:tcPr>
            <w:tcW w:w="295" w:type="dxa"/>
            <w:vMerge w:val="restart"/>
            <w:tcBorders>
              <w:top w:val="nil" w:sz="6" w:space="0" w:color="auto"/>
              <w:left w:val="single" w:sz="13" w:space="0" w:color="D2D2D2"/>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54" w:type="dxa"/>
            <w:tcBorders>
              <w:top w:val="nil" w:sz="6" w:space="0" w:color="auto"/>
              <w:left w:val="nil" w:sz="6" w:space="0" w:color="auto"/>
              <w:bottom w:val="nil" w:sz="6" w:space="0" w:color="auto"/>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2102" w:type="dxa"/>
            <w:gridSpan w:val="2"/>
            <w:vMerge/>
            <w:tcBorders>
              <w:left w:val="single" w:sz="4" w:space="0" w:color="000000"/>
              <w:right w:val="single" w:sz="4" w:space="0" w:color="000000"/>
            </w:tcBorders>
            <w:shd w:val="clear" w:color="auto" w:fill="D2D2D2"/>
          </w:tcPr>
          <w:p>
            <w:pPr/>
          </w:p>
        </w:tc>
        <w:tc>
          <w:tcPr>
            <w:tcW w:w="160" w:type="dxa"/>
            <w:vMerge w:val="restart"/>
            <w:tcBorders>
              <w:top w:val="nil" w:sz="6" w:space="0" w:color="auto"/>
              <w:left w:val="single" w:sz="13" w:space="0" w:color="D2D2D2"/>
              <w:right w:val="nil" w:sz="6" w:space="0" w:color="auto"/>
            </w:tcBorders>
          </w:tcPr>
          <w:p>
            <w:pPr/>
          </w:p>
        </w:tc>
        <w:tc>
          <w:tcPr>
            <w:tcW w:w="205"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0</w:t>
            </w:r>
          </w:p>
        </w:tc>
      </w:tr>
      <w:tr>
        <w:trPr>
          <w:trHeight w:val="167" w:hRule="exact"/>
        </w:trPr>
        <w:tc>
          <w:tcPr>
            <w:tcW w:w="11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gridSpan w:val="2"/>
            <w:vMerge/>
            <w:tcBorders>
              <w:left w:val="single" w:sz="10" w:space="0" w:color="D2D2D2"/>
              <w:bottom w:val="single" w:sz="4" w:space="0" w:color="000000"/>
              <w:right w:val="single" w:sz="9" w:space="0" w:color="D2D2D2"/>
            </w:tcBorders>
          </w:tcPr>
          <w:p>
            <w:pPr/>
          </w:p>
        </w:tc>
        <w:tc>
          <w:tcPr>
            <w:tcW w:w="210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95" w:type="dxa"/>
            <w:vMerge/>
            <w:tcBorders>
              <w:left w:val="single" w:sz="10" w:space="0" w:color="D2D2D2"/>
              <w:bottom w:val="single" w:sz="4" w:space="0" w:color="000000"/>
              <w:right w:val="single" w:sz="9" w:space="0" w:color="D2D2D2"/>
            </w:tcBorders>
          </w:tcPr>
          <w:p>
            <w:pPr/>
          </w:p>
        </w:tc>
        <w:tc>
          <w:tcPr>
            <w:tcW w:w="1857" w:type="dxa"/>
            <w:gridSpan w:val="3"/>
            <w:vMerge/>
            <w:tcBorders>
              <w:left w:val="single" w:sz="4" w:space="0" w:color="000000"/>
              <w:bottom w:val="single" w:sz="4" w:space="0" w:color="000000"/>
              <w:right w:val="single" w:sz="4" w:space="0" w:color="000000"/>
            </w:tcBorders>
            <w:shd w:val="clear" w:color="auto" w:fill="D2D2D2"/>
          </w:tcPr>
          <w:p>
            <w:pPr/>
          </w:p>
        </w:tc>
        <w:tc>
          <w:tcPr>
            <w:tcW w:w="295" w:type="dxa"/>
            <w:vMerge/>
            <w:tcBorders>
              <w:left w:val="single" w:sz="13" w:space="0" w:color="D2D2D2"/>
              <w:bottom w:val="single" w:sz="4" w:space="0" w:color="000000"/>
              <w:right w:val="nil" w:sz="6" w:space="0" w:color="auto"/>
            </w:tcBorders>
          </w:tcPr>
          <w:p>
            <w:pPr/>
          </w:p>
        </w:tc>
        <w:tc>
          <w:tcPr>
            <w:tcW w:w="154" w:type="dxa"/>
            <w:tcBorders>
              <w:top w:val="nil" w:sz="6" w:space="0" w:color="auto"/>
              <w:left w:val="nil" w:sz="6" w:space="0" w:color="auto"/>
              <w:bottom w:val="single" w:sz="4" w:space="0" w:color="000000"/>
              <w:right w:val="single" w:sz="13" w:space="0" w:color="D2D2D2"/>
            </w:tcBorders>
          </w:tcPr>
          <w:p>
            <w:pPr/>
          </w:p>
        </w:tc>
        <w:tc>
          <w:tcPr>
            <w:tcW w:w="2102" w:type="dxa"/>
            <w:gridSpan w:val="2"/>
            <w:vMerge/>
            <w:tcBorders>
              <w:left w:val="single" w:sz="4" w:space="0" w:color="000000"/>
              <w:bottom w:val="single" w:sz="4" w:space="0" w:color="000000"/>
              <w:right w:val="single" w:sz="4" w:space="0" w:color="000000"/>
            </w:tcBorders>
            <w:shd w:val="clear" w:color="auto" w:fill="D2D2D2"/>
          </w:tcPr>
          <w:p>
            <w:pPr/>
          </w:p>
        </w:tc>
        <w:tc>
          <w:tcPr>
            <w:tcW w:w="160" w:type="dxa"/>
            <w:vMerge/>
            <w:tcBorders>
              <w:left w:val="single" w:sz="13" w:space="0" w:color="D2D2D2"/>
              <w:bottom w:val="single" w:sz="4" w:space="0" w:color="000000"/>
              <w:right w:val="nil" w:sz="6" w:space="0" w:color="auto"/>
            </w:tcBorders>
          </w:tcPr>
          <w:p>
            <w:pPr/>
          </w:p>
        </w:tc>
        <w:tc>
          <w:tcPr>
            <w:tcW w:w="205" w:type="dxa"/>
            <w:tcBorders>
              <w:top w:val="nil" w:sz="6" w:space="0" w:color="auto"/>
              <w:left w:val="nil" w:sz="6" w:space="0" w:color="auto"/>
              <w:bottom w:val="single" w:sz="4" w:space="0" w:color="000000"/>
              <w:right w:val="single" w:sz="4" w:space="0" w:color="000000"/>
            </w:tcBorders>
          </w:tcPr>
          <w:p>
            <w:pPr/>
          </w:p>
        </w:tc>
      </w:tr>
      <w:tr>
        <w:trPr>
          <w:trHeight w:val="406" w:hRule="exact"/>
        </w:trPr>
        <w:tc>
          <w:tcPr>
            <w:tcW w:w="9557"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83" w:hRule="exact"/>
        </w:trPr>
        <w:tc>
          <w:tcPr>
            <w:tcW w:w="15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40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1" w:right="0"/>
              <w:jc w:val="left"/>
              <w:rPr>
                <w:rFonts w:ascii="宋体" w:hAnsi="宋体" w:cs="宋体" w:eastAsia="宋体" w:hint="default"/>
                <w:sz w:val="18"/>
                <w:szCs w:val="18"/>
              </w:rPr>
            </w:pPr>
            <w:r>
              <w:rPr>
                <w:rFonts w:ascii="宋体" w:hAnsi="宋体" w:cs="宋体" w:eastAsia="宋体" w:hint="default"/>
                <w:sz w:val="18"/>
                <w:szCs w:val="18"/>
              </w:rPr>
              <w:t>报告期末持</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0" w:right="0"/>
              <w:jc w:val="left"/>
              <w:rPr>
                <w:rFonts w:ascii="宋体" w:hAnsi="宋体" w:cs="宋体" w:eastAsia="宋体" w:hint="default"/>
                <w:sz w:val="18"/>
                <w:szCs w:val="18"/>
              </w:rPr>
            </w:pPr>
            <w:r>
              <w:rPr>
                <w:rFonts w:ascii="宋体" w:hAnsi="宋体" w:cs="宋体" w:eastAsia="宋体" w:hint="default"/>
                <w:sz w:val="18"/>
                <w:szCs w:val="18"/>
              </w:rPr>
              <w:t>报告期内增</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1" w:right="0"/>
              <w:jc w:val="left"/>
              <w:rPr>
                <w:rFonts w:ascii="宋体" w:hAnsi="宋体" w:cs="宋体" w:eastAsia="宋体" w:hint="default"/>
                <w:sz w:val="18"/>
                <w:szCs w:val="18"/>
              </w:rPr>
            </w:pPr>
            <w:r>
              <w:rPr>
                <w:rFonts w:ascii="宋体" w:hAnsi="宋体" w:cs="宋体" w:eastAsia="宋体" w:hint="default"/>
                <w:sz w:val="18"/>
                <w:szCs w:val="18"/>
              </w:rPr>
              <w:t>持有有限售</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1" w:right="0"/>
              <w:jc w:val="left"/>
              <w:rPr>
                <w:rFonts w:ascii="宋体" w:hAnsi="宋体" w:cs="宋体" w:eastAsia="宋体" w:hint="default"/>
                <w:sz w:val="18"/>
                <w:szCs w:val="18"/>
              </w:rPr>
            </w:pPr>
            <w:r>
              <w:rPr>
                <w:rFonts w:ascii="宋体" w:hAnsi="宋体" w:cs="宋体" w:eastAsia="宋体" w:hint="default"/>
                <w:sz w:val="18"/>
                <w:szCs w:val="18"/>
              </w:rPr>
              <w:t>持有无限售</w:t>
            </w:r>
          </w:p>
        </w:tc>
        <w:tc>
          <w:tcPr>
            <w:tcW w:w="163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8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6.85pt;mso-position-horizontal-relative:page;mso-position-vertical-relative:page;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417"/>
                    <w:gridCol w:w="566"/>
                    <w:gridCol w:w="285"/>
                    <w:gridCol w:w="1134"/>
                    <w:gridCol w:w="992"/>
                    <w:gridCol w:w="566"/>
                    <w:gridCol w:w="425"/>
                    <w:gridCol w:w="993"/>
                    <w:gridCol w:w="568"/>
                    <w:gridCol w:w="1062"/>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1" w:right="0"/>
                          <w:jc w:val="left"/>
                          <w:rPr>
                            <w:rFonts w:ascii="宋体" w:hAnsi="宋体" w:cs="宋体" w:eastAsia="宋体" w:hint="default"/>
                            <w:sz w:val="18"/>
                            <w:szCs w:val="18"/>
                          </w:rPr>
                        </w:pPr>
                        <w:r>
                          <w:rPr>
                            <w:rFonts w:ascii="宋体" w:hAnsi="宋体" w:cs="宋体" w:eastAsia="宋体" w:hint="default"/>
                            <w:sz w:val="18"/>
                            <w:szCs w:val="18"/>
                          </w:rPr>
                          <w:t>股数量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0" w:right="0"/>
                          <w:jc w:val="left"/>
                          <w:rPr>
                            <w:rFonts w:ascii="宋体" w:hAnsi="宋体" w:cs="宋体" w:eastAsia="宋体" w:hint="default"/>
                            <w:sz w:val="18"/>
                            <w:szCs w:val="18"/>
                          </w:rPr>
                        </w:pPr>
                        <w:r>
                          <w:rPr>
                            <w:rFonts w:ascii="宋体" w:hAnsi="宋体" w:cs="宋体" w:eastAsia="宋体" w:hint="default"/>
                            <w:sz w:val="18"/>
                            <w:szCs w:val="18"/>
                          </w:rPr>
                          <w:t>减变动情况</w:t>
                        </w:r>
                      </w:p>
                    </w:tc>
                    <w:tc>
                      <w:tcPr>
                        <w:tcW w:w="9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10" w:right="38" w:hanging="270"/>
                          <w:jc w:val="left"/>
                          <w:rPr>
                            <w:rFonts w:ascii="宋体" w:hAnsi="宋体" w:cs="宋体" w:eastAsia="宋体" w:hint="default"/>
                            <w:sz w:val="18"/>
                            <w:szCs w:val="18"/>
                          </w:rPr>
                        </w:pPr>
                        <w:r>
                          <w:rPr>
                            <w:rFonts w:ascii="宋体" w:hAnsi="宋体" w:cs="宋体" w:eastAsia="宋体" w:hint="default"/>
                            <w:sz w:val="18"/>
                            <w:szCs w:val="18"/>
                          </w:rPr>
                          <w:t>条件的股份 数量</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12" w:right="38" w:hanging="270"/>
                          <w:jc w:val="left"/>
                          <w:rPr>
                            <w:rFonts w:ascii="宋体" w:hAnsi="宋体" w:cs="宋体" w:eastAsia="宋体" w:hint="default"/>
                            <w:sz w:val="18"/>
                            <w:szCs w:val="18"/>
                          </w:rPr>
                        </w:pPr>
                        <w:r>
                          <w:rPr>
                            <w:rFonts w:ascii="宋体" w:hAnsi="宋体" w:cs="宋体" w:eastAsia="宋体" w:hint="default"/>
                            <w:sz w:val="18"/>
                            <w:szCs w:val="18"/>
                          </w:rPr>
                          <w:t>条件的股份 数量</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庄小红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4" w:right="0"/>
                          <w:jc w:val="left"/>
                          <w:rPr>
                            <w:rFonts w:ascii="Times New Roman" w:hAnsi="Times New Roman" w:cs="Times New Roman" w:eastAsia="Times New Roman" w:hint="default"/>
                            <w:sz w:val="18"/>
                            <w:szCs w:val="18"/>
                          </w:rPr>
                        </w:pPr>
                        <w:r>
                          <w:rPr>
                            <w:rFonts w:ascii="Times New Roman"/>
                            <w:sz w:val="18"/>
                          </w:rPr>
                          <w:t>33.07%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198,439,650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99,219,825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198,439,650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135,200,000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庄展诺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4" w:right="0"/>
                          <w:jc w:val="left"/>
                          <w:rPr>
                            <w:rFonts w:ascii="Times New Roman" w:hAnsi="Times New Roman" w:cs="Times New Roman" w:eastAsia="Times New Roman" w:hint="default"/>
                            <w:sz w:val="18"/>
                            <w:szCs w:val="18"/>
                          </w:rPr>
                        </w:pPr>
                        <w:r>
                          <w:rPr>
                            <w:rFonts w:ascii="Times New Roman"/>
                            <w:sz w:val="18"/>
                          </w:rPr>
                          <w:t>12.17%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73,009,350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36,504,675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73,009,350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69,000,000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4" w:right="0"/>
                          <w:jc w:val="left"/>
                          <w:rPr>
                            <w:rFonts w:ascii="Times New Roman" w:hAnsi="Times New Roman" w:cs="Times New Roman" w:eastAsia="Times New Roman" w:hint="default"/>
                            <w:sz w:val="18"/>
                            <w:szCs w:val="18"/>
                          </w:rPr>
                        </w:pPr>
                        <w:r>
                          <w:rPr>
                            <w:rFonts w:ascii="Times New Roman"/>
                            <w:sz w:val="18"/>
                          </w:rPr>
                          <w:t>9.08%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54,495,000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27,247,500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54,495,000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7,420,000</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南京鼎润天成投资 合伙企业（有限合 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4" w:right="0"/>
                          <w:jc w:val="left"/>
                          <w:rPr>
                            <w:rFonts w:ascii="Times New Roman" w:hAnsi="Times New Roman" w:cs="Times New Roman" w:eastAsia="Times New Roman" w:hint="default"/>
                            <w:sz w:val="18"/>
                            <w:szCs w:val="18"/>
                          </w:rPr>
                        </w:pPr>
                        <w:r>
                          <w:rPr>
                            <w:rFonts w:ascii="Times New Roman"/>
                            <w:sz w:val="18"/>
                          </w:rPr>
                          <w:t>3.99%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23,962,500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11,981,250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11,981,250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11,981,250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11,980,000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昆山中科昆开创业 投资有限公司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4" w:right="0"/>
                          <w:jc w:val="left"/>
                          <w:rPr>
                            <w:rFonts w:ascii="Times New Roman" w:hAnsi="Times New Roman" w:cs="Times New Roman" w:eastAsia="Times New Roman" w:hint="default"/>
                            <w:sz w:val="18"/>
                            <w:szCs w:val="18"/>
                          </w:rPr>
                        </w:pPr>
                        <w:r>
                          <w:rPr>
                            <w:rFonts w:ascii="Times New Roman"/>
                            <w:sz w:val="18"/>
                          </w:rPr>
                          <w:t>2.81%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16,875,000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8,437,500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16,875,000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13,162,000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刘广华</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4" w:right="0"/>
                          <w:jc w:val="left"/>
                          <w:rPr>
                            <w:rFonts w:ascii="Times New Roman" w:hAnsi="Times New Roman" w:cs="Times New Roman" w:eastAsia="Times New Roman" w:hint="default"/>
                            <w:sz w:val="18"/>
                            <w:szCs w:val="18"/>
                          </w:rPr>
                        </w:pPr>
                        <w:r>
                          <w:rPr>
                            <w:rFonts w:ascii="Times New Roman"/>
                            <w:sz w:val="18"/>
                          </w:rPr>
                          <w:t>1.95%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5,838,750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11,677,500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福州中科福海创业 投资合伙企业（有 限合伙）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4" w:right="0"/>
                          <w:jc w:val="left"/>
                          <w:rPr>
                            <w:rFonts w:ascii="Times New Roman" w:hAnsi="Times New Roman" w:cs="Times New Roman" w:eastAsia="Times New Roman" w:hint="default"/>
                            <w:sz w:val="18"/>
                            <w:szCs w:val="18"/>
                          </w:rPr>
                        </w:pPr>
                        <w:r>
                          <w:rPr>
                            <w:rFonts w:ascii="Times New Roman"/>
                            <w:sz w:val="18"/>
                          </w:rPr>
                          <w:t>1.88%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5,625,000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8,437,500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邓会生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4" w:right="0"/>
                          <w:jc w:val="left"/>
                          <w:rPr>
                            <w:rFonts w:ascii="Times New Roman" w:hAnsi="Times New Roman" w:cs="Times New Roman" w:eastAsia="Times New Roman" w:hint="default"/>
                            <w:sz w:val="18"/>
                            <w:szCs w:val="18"/>
                          </w:rPr>
                        </w:pPr>
                        <w:r>
                          <w:rPr>
                            <w:rFonts w:ascii="Times New Roman"/>
                            <w:sz w:val="18"/>
                          </w:rPr>
                          <w:t>1.75%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10,509,750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5,254,875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10,509,750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9,450,000</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上海融银股权投资 合伙企业（有限合 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4" w:right="0"/>
                          <w:jc w:val="left"/>
                          <w:rPr>
                            <w:rFonts w:ascii="Times New Roman" w:hAnsi="Times New Roman" w:cs="Times New Roman" w:eastAsia="Times New Roman" w:hint="default"/>
                            <w:sz w:val="18"/>
                            <w:szCs w:val="18"/>
                          </w:rPr>
                        </w:pPr>
                        <w:r>
                          <w:rPr>
                            <w:rFonts w:ascii="Times New Roman"/>
                            <w:sz w:val="18"/>
                          </w:rPr>
                          <w:t>1.50%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4,500,000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江苏国投衡盈创业 投资中心（有限合 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4" w:right="0"/>
                          <w:jc w:val="left"/>
                          <w:rPr>
                            <w:rFonts w:ascii="Times New Roman" w:hAnsi="Times New Roman" w:cs="Times New Roman" w:eastAsia="Times New Roman" w:hint="default"/>
                            <w:sz w:val="18"/>
                            <w:szCs w:val="18"/>
                          </w:rPr>
                        </w:pPr>
                        <w:r>
                          <w:rPr>
                            <w:rFonts w:ascii="Times New Roman"/>
                            <w:sz w:val="18"/>
                          </w:rPr>
                          <w:t>1.50%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4,500,000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战略投资者或一般法人因配售新股成 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名股东的情况（如有）（参见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591"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3" w:hRule="exact"/>
                    </w:trPr>
                    <w:tc>
                      <w:tcPr>
                        <w:tcW w:w="297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591" w:type="dxa"/>
                        <w:gridSpan w:val="9"/>
                        <w:vMerge w:val="restart"/>
                        <w:tcBorders>
                          <w:top w:val="single" w:sz="4" w:space="0" w:color="000000"/>
                          <w:left w:val="single" w:sz="10" w:space="0" w:color="D2D2D2"/>
                          <w:right w:val="single" w:sz="4" w:space="0" w:color="000000"/>
                        </w:tcBorders>
                      </w:tcPr>
                      <w:p>
                        <w:pPr>
                          <w:pStyle w:val="TableParagraph"/>
                          <w:spacing w:line="319" w:lineRule="auto" w:before="51"/>
                          <w:ind w:left="15" w:right="76"/>
                          <w:jc w:val="both"/>
                          <w:rPr>
                            <w:rFonts w:ascii="宋体" w:hAnsi="宋体" w:cs="宋体" w:eastAsia="宋体" w:hint="default"/>
                            <w:sz w:val="18"/>
                            <w:szCs w:val="18"/>
                          </w:rPr>
                        </w:pPr>
                        <w:r>
                          <w:rPr>
                            <w:rFonts w:ascii="宋体" w:hAnsi="宋体" w:cs="宋体" w:eastAsia="宋体" w:hint="default"/>
                            <w:sz w:val="18"/>
                            <w:szCs w:val="18"/>
                          </w:rPr>
                          <w:t>庄小红与庄重系夫妻关系，庄展诺是庄小红与庄重的长子，邓会生系庄小红的妹夫 属于一致行动人；昆山中科昆开创业投资有限公司和福州中科福海创业投资合伙企 业（有限合伙）属于一致行动人；除上述情况外，其他股东之间不存在关联关系， 亦不属于一致行动人。</w:t>
                        </w:r>
                      </w:p>
                    </w:tc>
                  </w:tr>
                  <w:tr>
                    <w:trPr>
                      <w:trHeight w:val="392" w:hRule="exact"/>
                    </w:trPr>
                    <w:tc>
                      <w:tcPr>
                        <w:tcW w:w="297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591" w:type="dxa"/>
                        <w:gridSpan w:val="9"/>
                        <w:vMerge/>
                        <w:tcBorders>
                          <w:left w:val="single" w:sz="10" w:space="0" w:color="D2D2D2"/>
                          <w:right w:val="single" w:sz="4" w:space="0" w:color="000000"/>
                        </w:tcBorders>
                      </w:tcPr>
                      <w:p>
                        <w:pPr/>
                      </w:p>
                    </w:tc>
                  </w:tr>
                  <w:tr>
                    <w:trPr>
                      <w:trHeight w:val="473" w:hRule="exact"/>
                    </w:trPr>
                    <w:tc>
                      <w:tcPr>
                        <w:tcW w:w="297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591" w:type="dxa"/>
                        <w:gridSpan w:val="9"/>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354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2978"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04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354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978"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047"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544" w:type="dxa"/>
                        <w:gridSpan w:val="3"/>
                        <w:vMerge/>
                        <w:tcBorders>
                          <w:left w:val="single" w:sz="4" w:space="0" w:color="000000"/>
                          <w:bottom w:val="nil" w:sz="6" w:space="0" w:color="auto"/>
                          <w:right w:val="single" w:sz="4" w:space="0" w:color="000000"/>
                        </w:tcBorders>
                        <w:shd w:val="clear" w:color="auto" w:fill="D2D2D2"/>
                      </w:tcPr>
                      <w:p>
                        <w:pPr/>
                      </w:p>
                    </w:tc>
                    <w:tc>
                      <w:tcPr>
                        <w:tcW w:w="2978" w:type="dxa"/>
                        <w:gridSpan w:val="4"/>
                        <w:vMerge/>
                        <w:tcBorders>
                          <w:left w:val="single" w:sz="4" w:space="0" w:color="000000"/>
                          <w:bottom w:val="nil" w:sz="6" w:space="0" w:color="auto"/>
                          <w:right w:val="single" w:sz="4" w:space="0" w:color="000000"/>
                        </w:tcBorders>
                        <w:shd w:val="clear" w:color="auto" w:fill="D2D2D2"/>
                      </w:tcPr>
                      <w:p>
                        <w:pPr/>
                      </w:p>
                    </w:tc>
                    <w:tc>
                      <w:tcPr>
                        <w:tcW w:w="14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6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54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2978"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gridSpan w:val="2"/>
                        <w:vMerge/>
                        <w:tcBorders>
                          <w:left w:val="single" w:sz="4" w:space="0" w:color="000000"/>
                          <w:bottom w:val="single" w:sz="4" w:space="0" w:color="000000"/>
                          <w:right w:val="single" w:sz="4" w:space="0" w:color="000000"/>
                        </w:tcBorders>
                        <w:shd w:val="clear" w:color="auto" w:fill="D2D2D2"/>
                      </w:tcPr>
                      <w:p>
                        <w:pPr/>
                      </w:p>
                    </w:tc>
                    <w:tc>
                      <w:tcPr>
                        <w:tcW w:w="1630"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陈一</w:t>
                        </w:r>
                      </w:p>
                    </w:tc>
                    <w:tc>
                      <w:tcPr>
                        <w:tcW w:w="29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54,495,000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7" w:right="0"/>
                          <w:jc w:val="left"/>
                          <w:rPr>
                            <w:rFonts w:ascii="Times New Roman" w:hAnsi="Times New Roman" w:cs="Times New Roman" w:eastAsia="Times New Roman" w:hint="default"/>
                            <w:sz w:val="18"/>
                            <w:szCs w:val="18"/>
                          </w:rPr>
                        </w:pPr>
                        <w:r>
                          <w:rPr>
                            <w:rFonts w:ascii="Times New Roman"/>
                            <w:sz w:val="18"/>
                          </w:rPr>
                          <w:t>54,495,000</w:t>
                        </w:r>
                      </w:p>
                    </w:tc>
                  </w:tr>
                  <w:tr>
                    <w:trPr>
                      <w:trHeight w:val="402" w:hRule="exact"/>
                    </w:trPr>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昆山中科昆开创业投资有限公司</w:t>
                        </w:r>
                      </w:p>
                    </w:tc>
                    <w:tc>
                      <w:tcPr>
                        <w:tcW w:w="29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16,875,000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7" w:right="0"/>
                          <w:jc w:val="left"/>
                          <w:rPr>
                            <w:rFonts w:ascii="Times New Roman" w:hAnsi="Times New Roman" w:cs="Times New Roman" w:eastAsia="Times New Roman" w:hint="default"/>
                            <w:sz w:val="18"/>
                            <w:szCs w:val="18"/>
                          </w:rPr>
                        </w:pPr>
                        <w:r>
                          <w:rPr>
                            <w:rFonts w:ascii="Times New Roman"/>
                            <w:sz w:val="18"/>
                          </w:rPr>
                          <w:t>16,875,000</w:t>
                        </w:r>
                      </w:p>
                    </w:tc>
                  </w:tr>
                  <w:tr>
                    <w:trPr>
                      <w:trHeight w:val="402" w:hRule="exact"/>
                    </w:trPr>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南京鼎润天成投资合伙企业（有限合伙）</w:t>
                        </w:r>
                      </w:p>
                    </w:tc>
                    <w:tc>
                      <w:tcPr>
                        <w:tcW w:w="29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11,981,250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7" w:right="0"/>
                          <w:jc w:val="left"/>
                          <w:rPr>
                            <w:rFonts w:ascii="Times New Roman" w:hAnsi="Times New Roman" w:cs="Times New Roman" w:eastAsia="Times New Roman" w:hint="default"/>
                            <w:sz w:val="18"/>
                            <w:szCs w:val="18"/>
                          </w:rPr>
                        </w:pPr>
                        <w:r>
                          <w:rPr>
                            <w:rFonts w:ascii="Times New Roman"/>
                            <w:sz w:val="18"/>
                          </w:rPr>
                          <w:t>23,962,500</w:t>
                        </w:r>
                      </w:p>
                    </w:tc>
                  </w:tr>
                  <w:tr>
                    <w:trPr>
                      <w:trHeight w:val="402" w:hRule="exact"/>
                    </w:trPr>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刘广华）</w:t>
                        </w:r>
                      </w:p>
                    </w:tc>
                    <w:tc>
                      <w:tcPr>
                        <w:tcW w:w="29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11,677,500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4" w:right="0"/>
                          <w:jc w:val="left"/>
                          <w:rPr>
                            <w:rFonts w:ascii="Times New Roman" w:hAnsi="Times New Roman" w:cs="Times New Roman" w:eastAsia="Times New Roman" w:hint="default"/>
                            <w:sz w:val="18"/>
                            <w:szCs w:val="18"/>
                          </w:rPr>
                        </w:pPr>
                        <w:r>
                          <w:rPr>
                            <w:rFonts w:ascii="Times New Roman"/>
                            <w:sz w:val="18"/>
                          </w:rPr>
                          <w:t>11,677,500</w:t>
                        </w:r>
                      </w:p>
                    </w:tc>
                  </w:tr>
                  <w:tr>
                    <w:trPr>
                      <w:trHeight w:val="402" w:hRule="exact"/>
                    </w:trPr>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福州中科福海创业投资合伙企业（有限合伙</w:t>
                        </w:r>
                      </w:p>
                    </w:tc>
                    <w:tc>
                      <w:tcPr>
                        <w:tcW w:w="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34" w:type="dxa"/>
                        <w:tcBorders>
                          <w:top w:val="single" w:sz="4" w:space="0" w:color="000000"/>
                          <w:left w:val="nil" w:sz="6" w:space="0" w:color="auto"/>
                          <w:bottom w:val="single" w:sz="4" w:space="0" w:color="000000"/>
                          <w:right w:val="nil" w:sz="6" w:space="0" w:color="auto"/>
                        </w:tcBorders>
                      </w:tcPr>
                      <w:p>
                        <w:pPr/>
                      </w:p>
                    </w:tc>
                    <w:tc>
                      <w:tcPr>
                        <w:tcW w:w="1559"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728" w:right="0"/>
                          <w:jc w:val="left"/>
                          <w:rPr>
                            <w:rFonts w:ascii="Times New Roman" w:hAnsi="Times New Roman" w:cs="Times New Roman" w:eastAsia="Times New Roman" w:hint="default"/>
                            <w:sz w:val="18"/>
                            <w:szCs w:val="18"/>
                          </w:rPr>
                        </w:pPr>
                        <w:r>
                          <w:rPr>
                            <w:rFonts w:ascii="Times New Roman"/>
                            <w:sz w:val="18"/>
                          </w:rPr>
                          <w:t>11,250,000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4" w:right="0"/>
                          <w:jc w:val="left"/>
                          <w:rPr>
                            <w:rFonts w:ascii="Times New Roman" w:hAnsi="Times New Roman" w:cs="Times New Roman" w:eastAsia="Times New Roman" w:hint="default"/>
                            <w:sz w:val="18"/>
                            <w:szCs w:val="18"/>
                          </w:rPr>
                        </w:pPr>
                        <w:r>
                          <w:rPr>
                            <w:rFonts w:ascii="Times New Roman"/>
                            <w:sz w:val="18"/>
                          </w:rPr>
                          <w:t>11,250,000</w:t>
                        </w:r>
                      </w:p>
                    </w:tc>
                  </w:tr>
                  <w:tr>
                    <w:trPr>
                      <w:trHeight w:val="402" w:hRule="exact"/>
                    </w:trPr>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江苏国投衡盈创业投资中心（有限合伙）</w:t>
                        </w:r>
                      </w:p>
                    </w:tc>
                    <w:tc>
                      <w:tcPr>
                        <w:tcW w:w="29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7" w:right="0"/>
                          <w:jc w:val="lef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上海融银股权投资合伙企业（有限合伙）</w:t>
                        </w:r>
                      </w:p>
                    </w:tc>
                    <w:tc>
                      <w:tcPr>
                        <w:tcW w:w="29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7" w:right="0"/>
                          <w:jc w:val="left"/>
                          <w:rPr>
                            <w:rFonts w:ascii="Times New Roman" w:hAnsi="Times New Roman" w:cs="Times New Roman" w:eastAsia="Times New Roman" w:hint="default"/>
                            <w:sz w:val="18"/>
                            <w:szCs w:val="18"/>
                          </w:rPr>
                        </w:pPr>
                        <w:r>
                          <w:rPr>
                            <w:rFonts w:ascii="Times New Roman"/>
                            <w:sz w:val="18"/>
                          </w:rPr>
                          <w:t>9,000,000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44"/>
        <w:ind w:left="0" w:right="1141"/>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44"/>
        <w:gridCol w:w="2978"/>
        <w:gridCol w:w="1418"/>
        <w:gridCol w:w="1630"/>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盐城市中科盐发创业投资企业（有限合伙）</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8,437,500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8,437,500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深圳市骥业股权投资合伙企业（有限合伙）</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7,031,250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7,031,250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江西中嘉投资有限公司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5,625,000</w:t>
            </w:r>
          </w:p>
        </w:tc>
      </w:tr>
      <w:tr>
        <w:trPr>
          <w:trHeight w:val="1026"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名股东之间关联 关系或一致行动的说明</w:t>
            </w:r>
          </w:p>
        </w:tc>
        <w:tc>
          <w:tcPr>
            <w:tcW w:w="6025" w:type="dxa"/>
            <w:gridSpan w:val="3"/>
            <w:tcBorders>
              <w:top w:val="single" w:sz="4" w:space="0" w:color="000000"/>
              <w:left w:val="single" w:sz="9" w:space="0" w:color="D2D2D2"/>
              <w:bottom w:val="single" w:sz="4" w:space="0" w:color="000000"/>
              <w:right w:val="single" w:sz="4" w:space="0" w:color="000000"/>
            </w:tcBorders>
          </w:tcPr>
          <w:p>
            <w:pPr>
              <w:pStyle w:val="TableParagraph"/>
              <w:spacing w:line="319" w:lineRule="auto" w:before="51"/>
              <w:ind w:left="17" w:right="48"/>
              <w:jc w:val="both"/>
              <w:rPr>
                <w:rFonts w:ascii="宋体" w:hAnsi="宋体" w:cs="宋体" w:eastAsia="宋体" w:hint="default"/>
                <w:sz w:val="18"/>
                <w:szCs w:val="18"/>
              </w:rPr>
            </w:pPr>
            <w:r>
              <w:rPr>
                <w:rFonts w:ascii="宋体" w:hAnsi="宋体" w:cs="宋体" w:eastAsia="宋体" w:hint="default"/>
                <w:sz w:val="18"/>
                <w:szCs w:val="18"/>
              </w:rPr>
              <w:t>昆山中科昆开创业投资有限公司、福州中科福海创业投资合伙企业（有限合 伙）和盐城市中科盐发创业投资企业（有限合伙）属于一致行动人；除上述 情况外，其他股东之间不存在关联关系，亦不属于一致行动人。</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名普通股股东参与融资融券业务情况说 </w:t>
            </w:r>
            <w:r>
              <w:rPr>
                <w:rFonts w:ascii="宋体" w:hAnsi="宋体" w:cs="宋体" w:eastAsia="宋体" w:hint="default"/>
                <w:spacing w:val="-10"/>
                <w:sz w:val="18"/>
                <w:szCs w:val="18"/>
              </w:rPr>
              <w:t>明（如有）（参见注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025"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54" w:right="889"/>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8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889"/>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889"/>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4678"/>
        <w:gridCol w:w="1843"/>
        <w:gridCol w:w="3047"/>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庄小红</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4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总裁办职员</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4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54" w:right="889"/>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889"/>
        <w:jc w:val="left"/>
        <w:rPr>
          <w:b w:val="0"/>
          <w:bCs w:val="0"/>
        </w:rPr>
      </w:pPr>
      <w:bookmarkStart w:name="3、公司实际控制人情况" w:id="113"/>
      <w:bookmarkEnd w:id="11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261"/>
        <w:gridCol w:w="2977"/>
        <w:gridCol w:w="3330"/>
      </w:tblGrid>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pacing w:val="-2"/>
                <w:sz w:val="18"/>
                <w:szCs w:val="18"/>
              </w:rPr>
              <w:t>庄重现担任深圳市中装建设集团股份有限公司董事长；庄展诺现担任深圳市中装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建设集团股份有限公司董事、总经理，庄小红现担任深圳市中装建设集团股份有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限公司总裁办职员。</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65"/>
        <w:ind w:left="154" w:right="6792"/>
        <w:jc w:val="left"/>
      </w:pPr>
      <w:r>
        <w:rPr/>
        <w:t>公司报告期实际控制人未发生变更。 公司与实际控制人之间的产权及控制关系的方框图</w:t>
      </w:r>
    </w:p>
    <w:p>
      <w:pPr>
        <w:spacing w:after="0" w:line="36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p>
      <w:pPr>
        <w:spacing w:line="3045" w:lineRule="exact"/>
        <w:ind w:left="1356"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4592081" cy="1933575"/>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5" cstate="print"/>
                    <a:stretch>
                      <a:fillRect/>
                    </a:stretch>
                  </pic:blipFill>
                  <pic:spPr>
                    <a:xfrm>
                      <a:off x="0" y="0"/>
                      <a:ext cx="4592081" cy="1933575"/>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10"/>
        <w:rPr>
          <w:rFonts w:ascii="宋体" w:hAnsi="宋体" w:cs="宋体" w:eastAsia="宋体" w:hint="default"/>
          <w:sz w:val="15"/>
          <w:szCs w:val="15"/>
        </w:rPr>
      </w:pPr>
    </w:p>
    <w:p>
      <w:pPr>
        <w:pStyle w:val="BodyText"/>
        <w:spacing w:line="240" w:lineRule="auto" w:before="44"/>
        <w:ind w:right="889"/>
        <w:jc w:val="left"/>
      </w:pPr>
      <w:r>
        <w:rPr/>
        <w:t>实际控制人通过信托或其他资产管理方式控制公司</w:t>
      </w:r>
    </w:p>
    <w:p>
      <w:pPr>
        <w:pStyle w:val="BodyText"/>
        <w:spacing w:line="240" w:lineRule="auto" w:before="116"/>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89"/>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89"/>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889"/>
        <w:jc w:val="left"/>
        <w:rPr>
          <w:b w:val="0"/>
          <w:bCs w:val="0"/>
        </w:rPr>
      </w:pPr>
      <w:bookmarkStart w:name="第七节 优先股相关情况" w:id="116"/>
      <w:bookmarkEnd w:id="11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889"/>
        <w:jc w:val="left"/>
        <w:rPr>
          <w:b w:val="0"/>
          <w:bCs w:val="0"/>
        </w:rPr>
      </w:pPr>
      <w:bookmarkStart w:name="第八节 董事、监事、高级管理人员和员工情况" w:id="117"/>
      <w:bookmarkEnd w:id="117"/>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889"/>
        <w:jc w:val="left"/>
        <w:rPr>
          <w:b w:val="0"/>
          <w:bCs w:val="0"/>
        </w:rPr>
      </w:pPr>
      <w:bookmarkStart w:name="一、董事、监事和高级管理人员持股变动" w:id="118"/>
      <w:bookmarkEnd w:id="11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1045"/>
        <w:gridCol w:w="425"/>
        <w:gridCol w:w="426"/>
        <w:gridCol w:w="425"/>
        <w:gridCol w:w="1134"/>
        <w:gridCol w:w="1134"/>
        <w:gridCol w:w="992"/>
        <w:gridCol w:w="993"/>
        <w:gridCol w:w="605"/>
        <w:gridCol w:w="671"/>
        <w:gridCol w:w="925"/>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6" w:right="2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471" w:right="111"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471" w:right="110"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40" w:firstLine="18"/>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1"/>
                <w:sz w:val="18"/>
                <w:szCs w:val="18"/>
              </w:rPr>
              <w:t>份数量（股</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 w:right="26"/>
              <w:jc w:val="left"/>
              <w:rPr>
                <w:rFonts w:ascii="宋体" w:hAnsi="宋体" w:cs="宋体" w:eastAsia="宋体" w:hint="default"/>
                <w:sz w:val="18"/>
                <w:szCs w:val="18"/>
              </w:rPr>
            </w:pPr>
            <w:r>
              <w:rPr>
                <w:rFonts w:ascii="宋体" w:hAnsi="宋体" w:cs="宋体" w:eastAsia="宋体" w:hint="default"/>
                <w:sz w:val="18"/>
                <w:szCs w:val="18"/>
              </w:rPr>
              <w:t>本期减 持股份</w:t>
            </w:r>
          </w:p>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0"/>
                <w:sz w:val="18"/>
                <w:szCs w:val="18"/>
              </w:rPr>
              <w:t> </w:t>
            </w:r>
            <w:r>
              <w:rPr>
                <w:rFonts w:ascii="宋体" w:hAnsi="宋体" w:cs="宋体" w:eastAsia="宋体" w:hint="default"/>
                <w:sz w:val="18"/>
                <w:szCs w:val="18"/>
              </w:rPr>
              <w:t>数量</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97" w:right="96"/>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庄重</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庄展诺</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36,504,675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36,504,675</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73,009,350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熊谨慎</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任顺标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肖幼美</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袁易明</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高刚</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何玉辉</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张雄</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张水霞</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何斌</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常务副总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廖伟潭</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庄超喜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赵海峰</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于桂添</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1045"/>
        <w:gridCol w:w="425"/>
        <w:gridCol w:w="426"/>
        <w:gridCol w:w="425"/>
        <w:gridCol w:w="1134"/>
        <w:gridCol w:w="1134"/>
        <w:gridCol w:w="992"/>
        <w:gridCol w:w="993"/>
        <w:gridCol w:w="605"/>
        <w:gridCol w:w="671"/>
        <w:gridCol w:w="925"/>
      </w:tblGrid>
      <w:tr>
        <w:trPr>
          <w:trHeight w:val="986"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董事会秘 书、财务总 监</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曾凡伟</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黎文崇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6"/>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36,504,675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36,504,675</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73,009,350</w:t>
            </w:r>
          </w:p>
        </w:tc>
      </w:tr>
    </w:tbl>
    <w:p>
      <w:pPr>
        <w:spacing w:line="240" w:lineRule="auto" w:before="2"/>
        <w:rPr>
          <w:rFonts w:ascii="宋体" w:hAnsi="宋体" w:cs="宋体" w:eastAsia="宋体" w:hint="default"/>
          <w:b/>
          <w:bCs/>
          <w:sz w:val="18"/>
          <w:szCs w:val="18"/>
        </w:rPr>
      </w:pPr>
    </w:p>
    <w:p>
      <w:pPr>
        <w:spacing w:before="26"/>
        <w:ind w:left="154" w:right="889" w:firstLine="0"/>
        <w:jc w:val="left"/>
        <w:rPr>
          <w:rFonts w:ascii="宋体" w:hAnsi="宋体" w:cs="宋体" w:eastAsia="宋体" w:hint="default"/>
          <w:sz w:val="24"/>
          <w:szCs w:val="24"/>
        </w:rPr>
      </w:pPr>
      <w:bookmarkStart w:name="二、公司董事、监事、高级管理人员变动情况" w:id="119"/>
      <w:bookmarkEnd w:id="119"/>
      <w:r>
        <w:rPr/>
      </w:r>
      <w:r>
        <w:rPr>
          <w:rFonts w:ascii="宋体" w:hAnsi="宋体" w:cs="宋体" w:eastAsia="宋体" w:hint="default"/>
          <w:b/>
          <w:bCs/>
          <w:sz w:val="24"/>
          <w:szCs w:val="24"/>
        </w:rPr>
        <w:t>二、公司董事、监事、高级管理人员变动情况</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168"/>
        <w:gridCol w:w="1492"/>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第二届董事会第十二次会议辞去总经理职务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庄展诺</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第二届董事会第十二次会议聘任总经理职务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曾凡伟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第二届董事会第十二次会议聘任副总经理职务</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黎文崇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第二届董事会第十二次会议聘任副总经理职务</w:t>
            </w:r>
          </w:p>
        </w:tc>
      </w:tr>
    </w:tbl>
    <w:p>
      <w:pPr>
        <w:spacing w:line="240" w:lineRule="auto" w:before="2"/>
        <w:rPr>
          <w:rFonts w:ascii="宋体" w:hAnsi="宋体" w:cs="宋体" w:eastAsia="宋体" w:hint="default"/>
          <w:sz w:val="18"/>
          <w:szCs w:val="18"/>
        </w:rPr>
      </w:pPr>
    </w:p>
    <w:p>
      <w:pPr>
        <w:pStyle w:val="Heading2"/>
        <w:spacing w:line="240" w:lineRule="auto" w:before="26"/>
        <w:ind w:left="154" w:right="889"/>
        <w:jc w:val="left"/>
        <w:rPr>
          <w:b w:val="0"/>
          <w:bCs w:val="0"/>
        </w:rPr>
      </w:pPr>
      <w:bookmarkStart w:name="三、任职情况" w:id="120"/>
      <w:bookmarkEnd w:id="120"/>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pStyle w:val="BodyText"/>
        <w:spacing w:line="391" w:lineRule="auto"/>
        <w:ind w:left="576" w:right="3733" w:hanging="423"/>
        <w:jc w:val="left"/>
        <w:rPr>
          <w:rFonts w:ascii="宋体" w:hAnsi="宋体" w:cs="宋体" w:eastAsia="宋体" w:hint="default"/>
        </w:rPr>
      </w:pPr>
      <w:r>
        <w:rPr/>
        <w:t>公司现任董事、监事、高级管理人员专业背景、主要工作经历以及目前在公司的主要职责 </w:t>
      </w:r>
      <w:r>
        <w:rPr>
          <w:rFonts w:ascii="宋体" w:hAnsi="宋体" w:cs="宋体" w:eastAsia="宋体" w:hint="default"/>
          <w:b/>
          <w:bCs/>
        </w:rPr>
        <w:t>1</w:t>
      </w:r>
      <w:r>
        <w:rPr>
          <w:rFonts w:ascii="宋体" w:hAnsi="宋体" w:cs="宋体" w:eastAsia="宋体" w:hint="default"/>
          <w:b/>
          <w:bCs/>
        </w:rPr>
        <w:t>、董事会成员</w:t>
      </w:r>
      <w:r>
        <w:rPr>
          <w:rFonts w:ascii="宋体" w:hAnsi="宋体" w:cs="宋体" w:eastAsia="宋体" w:hint="default"/>
        </w:rPr>
      </w:r>
    </w:p>
    <w:p>
      <w:pPr>
        <w:pStyle w:val="BodyText"/>
        <w:spacing w:line="316" w:lineRule="auto" w:before="35"/>
        <w:ind w:right="1131" w:firstLine="361"/>
        <w:jc w:val="both"/>
      </w:pPr>
      <w:r>
        <w:rPr>
          <w:rFonts w:ascii="宋体" w:hAnsi="宋体" w:cs="宋体" w:eastAsia="宋体" w:hint="default"/>
          <w:b/>
          <w:bCs/>
        </w:rPr>
        <w:t>庄重</w:t>
      </w:r>
      <w:r>
        <w:rPr/>
        <w:t>先生：中国国籍，</w:t>
      </w:r>
      <w:r>
        <w:rPr>
          <w:rFonts w:ascii="宋体" w:hAnsi="宋体" w:cs="宋体" w:eastAsia="宋体" w:hint="default"/>
        </w:rPr>
        <w:t>1962</w:t>
      </w:r>
      <w:r>
        <w:rPr/>
        <w:t>年出生，</w:t>
      </w:r>
      <w:r>
        <w:rPr>
          <w:rFonts w:ascii="宋体" w:hAnsi="宋体" w:cs="宋体" w:eastAsia="宋体" w:hint="default"/>
        </w:rPr>
        <w:t>EMBA</w:t>
      </w:r>
      <w:r>
        <w:rPr/>
        <w:t>在读，国家注册一级建造师。曾任职深圳市南利建筑装饰工程公司；</w:t>
      </w:r>
      <w:r>
        <w:rPr>
          <w:rFonts w:ascii="宋体" w:hAnsi="宋体" w:cs="宋体" w:eastAsia="宋体" w:hint="default"/>
        </w:rPr>
        <w:t>2001</w:t>
      </w:r>
      <w:r>
        <w:rPr/>
        <w:t>年</w:t>
      </w:r>
      <w:r>
        <w:rPr>
          <w:rFonts w:ascii="宋体" w:hAnsi="宋体" w:cs="宋体" w:eastAsia="宋体" w:hint="default"/>
        </w:rPr>
        <w:t>4 </w:t>
      </w:r>
      <w:r>
        <w:rPr>
          <w:spacing w:val="-2"/>
        </w:rPr>
        <w:t>月起担任中装有限执行董事、总经理；</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月起任本公司董事长、总经理；</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20</w:t>
      </w:r>
      <w:r>
        <w:rPr>
          <w:spacing w:val="-2"/>
        </w:rPr>
        <w:t>日辞去本公司总经理职务，现任</w:t>
      </w:r>
      <w:r>
        <w:rPr>
          <w:spacing w:val="-54"/>
        </w:rPr>
        <w:t> </w:t>
      </w:r>
      <w:r>
        <w:rPr>
          <w:spacing w:val="-54"/>
        </w:rPr>
      </w:r>
      <w:r>
        <w:rPr/>
        <w:t>本公司董事长。</w:t>
      </w:r>
    </w:p>
    <w:p>
      <w:pPr>
        <w:pStyle w:val="BodyText"/>
        <w:spacing w:line="316" w:lineRule="auto" w:before="91"/>
        <w:ind w:right="889" w:firstLine="360"/>
        <w:jc w:val="left"/>
      </w:pPr>
      <w:r>
        <w:rPr/>
        <w:t>庄重先生是广东省建筑业协会理事、中国建筑装饰协会常务理事、第九届广东省企业联合会、企业家协会理事；</w:t>
      </w:r>
      <w:r>
        <w:rPr>
          <w:rFonts w:ascii="宋体" w:hAnsi="宋体" w:cs="宋体" w:eastAsia="宋体" w:hint="default"/>
        </w:rPr>
        <w:t>2005 </w:t>
      </w:r>
      <w:r>
        <w:rPr>
          <w:spacing w:val="-2"/>
        </w:rPr>
        <w:t>年至</w:t>
      </w:r>
      <w:r>
        <w:rPr>
          <w:rFonts w:ascii="宋体" w:hAnsi="宋体" w:cs="宋体" w:eastAsia="宋体" w:hint="default"/>
          <w:spacing w:val="-2"/>
        </w:rPr>
        <w:t>2015</w:t>
      </w:r>
      <w:r>
        <w:rPr>
          <w:spacing w:val="-2"/>
        </w:rPr>
        <w:t>年间，曾荣获“全国建筑装饰优秀项目经理”、“全国优秀建造师”、“广东省建筑装饰工程优秀建造师”、“全</w:t>
      </w:r>
      <w:r>
        <w:rPr>
          <w:spacing w:val="-65"/>
        </w:rPr>
        <w:t> </w:t>
      </w:r>
      <w:r>
        <w:rPr>
          <w:spacing w:val="-65"/>
        </w:rPr>
      </w:r>
      <w:r>
        <w:rPr>
          <w:spacing w:val="-2"/>
        </w:rPr>
        <w:t>国建筑装饰行业优秀企业家”、中国建筑装饰协会专家证书及“功勋人物”等称号；由其担任项目经理的项目曾获得“全国</w:t>
      </w:r>
      <w:r>
        <w:rPr>
          <w:spacing w:val="-68"/>
        </w:rPr>
        <w:t> </w:t>
      </w:r>
      <w:r>
        <w:rPr>
          <w:spacing w:val="-68"/>
        </w:rPr>
      </w:r>
      <w:r>
        <w:rPr/>
        <w:t>建筑工程装饰奖”、“广东省优秀建筑装饰工程奖”等奖项。</w:t>
      </w:r>
    </w:p>
    <w:p>
      <w:pPr>
        <w:pStyle w:val="BodyText"/>
        <w:spacing w:line="316" w:lineRule="auto" w:before="91"/>
        <w:ind w:right="1135" w:firstLine="361"/>
        <w:jc w:val="both"/>
      </w:pPr>
      <w:r>
        <w:rPr>
          <w:rFonts w:ascii="宋体" w:hAnsi="宋体" w:cs="宋体" w:eastAsia="宋体" w:hint="default"/>
          <w:b/>
          <w:bCs/>
        </w:rPr>
        <w:t>庄展诺</w:t>
      </w:r>
      <w:r>
        <w:rPr/>
        <w:t>先生：中国国籍，</w:t>
      </w:r>
      <w:r>
        <w:rPr>
          <w:rFonts w:ascii="宋体" w:hAnsi="宋体" w:cs="宋体" w:eastAsia="宋体" w:hint="default"/>
        </w:rPr>
        <w:t>1986</w:t>
      </w:r>
      <w:r>
        <w:rPr/>
        <w:t>年出生，硕士研究生学历。</w:t>
      </w:r>
      <w:r>
        <w:rPr>
          <w:rFonts w:ascii="宋体" w:hAnsi="宋体" w:cs="宋体" w:eastAsia="宋体" w:hint="default"/>
        </w:rPr>
        <w:t>2010</w:t>
      </w:r>
      <w:r>
        <w:rPr/>
        <w:t>年</w:t>
      </w:r>
      <w:r>
        <w:rPr>
          <w:rFonts w:ascii="宋体" w:hAnsi="宋体" w:cs="宋体" w:eastAsia="宋体" w:hint="default"/>
        </w:rPr>
        <w:t>3</w:t>
      </w:r>
      <w:r>
        <w:rPr/>
        <w:t>月至</w:t>
      </w:r>
      <w:r>
        <w:rPr>
          <w:rFonts w:ascii="宋体" w:hAnsi="宋体" w:cs="宋体" w:eastAsia="宋体" w:hint="default"/>
        </w:rPr>
        <w:t>2011</w:t>
      </w:r>
      <w:r>
        <w:rPr/>
        <w:t>年</w:t>
      </w:r>
      <w:r>
        <w:rPr>
          <w:rFonts w:ascii="宋体" w:hAnsi="宋体" w:cs="宋体" w:eastAsia="宋体" w:hint="default"/>
        </w:rPr>
        <w:t>8</w:t>
      </w:r>
      <w:r>
        <w:rPr/>
        <w:t>月，任深圳润柏总经理助理；</w:t>
      </w:r>
      <w:r>
        <w:rPr>
          <w:rFonts w:ascii="宋体" w:hAnsi="宋体" w:cs="宋体" w:eastAsia="宋体" w:hint="default"/>
        </w:rPr>
        <w:t>2011</w:t>
      </w:r>
      <w:r>
        <w:rPr/>
        <w:t>年</w:t>
      </w:r>
      <w:r>
        <w:rPr>
          <w:rFonts w:ascii="宋体" w:hAnsi="宋体" w:cs="宋体" w:eastAsia="宋体" w:hint="default"/>
        </w:rPr>
        <w:t>9</w:t>
      </w:r>
      <w:r>
        <w:rPr/>
        <w:t>月 至</w:t>
      </w:r>
      <w:r>
        <w:rPr>
          <w:rFonts w:ascii="宋体" w:hAnsi="宋体" w:cs="宋体" w:eastAsia="宋体" w:hint="default"/>
        </w:rPr>
        <w:t>2012</w:t>
      </w:r>
      <w:r>
        <w:rPr/>
        <w:t>年</w:t>
      </w:r>
      <w:r>
        <w:rPr>
          <w:rFonts w:ascii="宋体" w:hAnsi="宋体" w:cs="宋体" w:eastAsia="宋体" w:hint="default"/>
        </w:rPr>
        <w:t>3</w:t>
      </w:r>
      <w:r>
        <w:rPr/>
        <w:t>月任中装园林总经理助理；自</w:t>
      </w:r>
      <w:r>
        <w:rPr>
          <w:rFonts w:ascii="宋体" w:hAnsi="宋体" w:cs="宋体" w:eastAsia="宋体" w:hint="default"/>
        </w:rPr>
        <w:t>2012</w:t>
      </w:r>
      <w:r>
        <w:rPr/>
        <w:t>年</w:t>
      </w:r>
      <w:r>
        <w:rPr>
          <w:rFonts w:ascii="宋体" w:hAnsi="宋体" w:cs="宋体" w:eastAsia="宋体" w:hint="default"/>
        </w:rPr>
        <w:t>4</w:t>
      </w:r>
      <w:r>
        <w:rPr/>
        <w:t>月起担任本公司董事兼总经理助理；</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20</w:t>
      </w:r>
      <w:r>
        <w:rPr/>
        <w:t>日起担任本公司董事兼总 经理。</w:t>
      </w:r>
      <w:r>
        <w:rPr>
          <w:rFonts w:ascii="宋体" w:hAnsi="宋体" w:cs="宋体" w:eastAsia="宋体" w:hint="default"/>
        </w:rPr>
        <w:t>2016</w:t>
      </w:r>
      <w:r>
        <w:rPr/>
        <w:t>年</w:t>
      </w:r>
      <w:r>
        <w:rPr>
          <w:rFonts w:ascii="宋体" w:hAnsi="宋体" w:cs="宋体" w:eastAsia="宋体" w:hint="default"/>
        </w:rPr>
        <w:t>1</w:t>
      </w:r>
      <w:r>
        <w:rPr/>
        <w:t>月至</w:t>
      </w:r>
      <w:r>
        <w:rPr>
          <w:rFonts w:ascii="宋体" w:hAnsi="宋体" w:cs="宋体" w:eastAsia="宋体" w:hint="default"/>
        </w:rPr>
        <w:t>2020</w:t>
      </w:r>
      <w:r>
        <w:rPr/>
        <w:t>年</w:t>
      </w:r>
      <w:r>
        <w:rPr>
          <w:rFonts w:ascii="宋体" w:hAnsi="宋体" w:cs="宋体" w:eastAsia="宋体" w:hint="default"/>
        </w:rPr>
        <w:t>1</w:t>
      </w:r>
      <w:r>
        <w:rPr/>
        <w:t>月任深圳市罗湖区青年企业家协会（第一届）常务副会长； </w:t>
      </w:r>
      <w:r>
        <w:rPr>
          <w:rFonts w:ascii="宋体" w:hAnsi="宋体" w:cs="宋体" w:eastAsia="宋体" w:hint="default"/>
        </w:rPr>
        <w:t>2016</w:t>
      </w:r>
      <w:r>
        <w:rPr/>
        <w:t>年</w:t>
      </w:r>
      <w:r>
        <w:rPr>
          <w:rFonts w:ascii="宋体" w:hAnsi="宋体" w:cs="宋体" w:eastAsia="宋体" w:hint="default"/>
        </w:rPr>
        <w:t>12</w:t>
      </w:r>
      <w:r>
        <w:rPr/>
        <w:t>月至</w:t>
      </w:r>
      <w:r>
        <w:rPr>
          <w:rFonts w:ascii="宋体" w:hAnsi="宋体" w:cs="宋体" w:eastAsia="宋体" w:hint="default"/>
        </w:rPr>
        <w:t>2019</w:t>
      </w:r>
      <w:r>
        <w:rPr/>
        <w:t>年</w:t>
      </w:r>
      <w:r>
        <w:rPr>
          <w:rFonts w:ascii="宋体" w:hAnsi="宋体" w:cs="宋体" w:eastAsia="宋体" w:hint="default"/>
        </w:rPr>
        <w:t>12</w:t>
      </w:r>
      <w:r>
        <w:rPr/>
        <w:t>月任广东省 青年企业家协会（第十届）副会长；</w:t>
      </w:r>
      <w:r>
        <w:rPr>
          <w:rFonts w:ascii="宋体" w:hAnsi="宋体" w:cs="宋体" w:eastAsia="宋体" w:hint="default"/>
        </w:rPr>
        <w:t>2016</w:t>
      </w:r>
      <w:r>
        <w:rPr/>
        <w:t>年</w:t>
      </w:r>
      <w:r>
        <w:rPr>
          <w:rFonts w:ascii="宋体" w:hAnsi="宋体" w:cs="宋体" w:eastAsia="宋体" w:hint="default"/>
        </w:rPr>
        <w:t>10</w:t>
      </w:r>
      <w:r>
        <w:rPr/>
        <w:t>月至</w:t>
      </w:r>
      <w:r>
        <w:rPr>
          <w:rFonts w:ascii="宋体" w:hAnsi="宋体" w:cs="宋体" w:eastAsia="宋体" w:hint="default"/>
        </w:rPr>
        <w:t>2019</w:t>
      </w:r>
      <w:r>
        <w:rPr/>
        <w:t>年</w:t>
      </w:r>
      <w:r>
        <w:rPr>
          <w:rFonts w:ascii="宋体" w:hAnsi="宋体" w:cs="宋体" w:eastAsia="宋体" w:hint="default"/>
        </w:rPr>
        <w:t>10</w:t>
      </w:r>
      <w:r>
        <w:rPr/>
        <w:t>月任深圳市罗湖区人大常委会（第七届）人大代表。</w:t>
      </w:r>
    </w:p>
    <w:p>
      <w:pPr>
        <w:pStyle w:val="BodyText"/>
        <w:spacing w:line="316" w:lineRule="auto" w:before="91"/>
        <w:ind w:right="1130" w:firstLine="361"/>
        <w:jc w:val="both"/>
      </w:pPr>
      <w:r>
        <w:rPr>
          <w:rFonts w:ascii="宋体" w:hAnsi="宋体" w:cs="宋体" w:eastAsia="宋体" w:hint="default"/>
          <w:b/>
          <w:bCs/>
          <w:spacing w:val="-2"/>
        </w:rPr>
        <w:t>熊谨慎</w:t>
      </w:r>
      <w:r>
        <w:rPr>
          <w:spacing w:val="-2"/>
        </w:rPr>
        <w:t>先生：中国国籍，</w:t>
      </w:r>
      <w:r>
        <w:rPr>
          <w:rFonts w:ascii="宋体" w:hAnsi="宋体" w:cs="宋体" w:eastAsia="宋体" w:hint="default"/>
          <w:spacing w:val="-2"/>
        </w:rPr>
        <w:t>1964</w:t>
      </w:r>
      <w:r>
        <w:rPr>
          <w:spacing w:val="-2"/>
        </w:rPr>
        <w:t>年出生，本科学历。曾任职于江西宜春农校、深圳龙城中学、深圳龙岗中专、深圳信义假</w:t>
      </w:r>
      <w:r>
        <w:rPr/>
        <w:t> </w:t>
      </w:r>
      <w:r>
        <w:rPr>
          <w:spacing w:val="-5"/>
        </w:rPr>
        <w:t>日名城学校校长，现任深圳市南湾学校副校长，并被聘为深圳市校长培训客座讲师、深圳市龙岗区教育督导评估督学；自</w:t>
      </w:r>
      <w:r>
        <w:rPr>
          <w:rFonts w:ascii="宋体" w:hAnsi="宋体" w:cs="宋体" w:eastAsia="宋体" w:hint="default"/>
          <w:spacing w:val="-5"/>
        </w:rPr>
        <w:t>2012</w:t>
      </w:r>
      <w:r>
        <w:rPr>
          <w:rFonts w:ascii="宋体" w:hAnsi="宋体" w:cs="宋体" w:eastAsia="宋体" w:hint="default"/>
          <w:spacing w:val="-71"/>
        </w:rPr>
        <w:t> </w:t>
      </w:r>
      <w:r>
        <w:rPr>
          <w:rFonts w:ascii="宋体" w:hAnsi="宋体" w:cs="宋体" w:eastAsia="宋体" w:hint="default"/>
          <w:spacing w:val="-71"/>
        </w:rPr>
      </w:r>
      <w:r>
        <w:rPr/>
        <w:t>年</w:t>
      </w:r>
      <w:r>
        <w:rPr>
          <w:rFonts w:ascii="宋体" w:hAnsi="宋体" w:cs="宋体" w:eastAsia="宋体" w:hint="default"/>
        </w:rPr>
        <w:t>4</w:t>
      </w:r>
      <w:r>
        <w:rPr/>
        <w:t>月起任本公司董事。</w:t>
      </w:r>
    </w:p>
    <w:p>
      <w:pPr>
        <w:pStyle w:val="BodyText"/>
        <w:spacing w:line="316" w:lineRule="auto" w:before="91"/>
        <w:ind w:right="1129" w:firstLine="361"/>
        <w:jc w:val="both"/>
      </w:pPr>
      <w:r>
        <w:rPr>
          <w:rFonts w:ascii="宋体" w:hAnsi="宋体" w:cs="宋体" w:eastAsia="宋体" w:hint="default"/>
          <w:b/>
          <w:bCs/>
          <w:spacing w:val="-2"/>
        </w:rPr>
        <w:t>任顺标</w:t>
      </w:r>
      <w:r>
        <w:rPr>
          <w:spacing w:val="-2"/>
        </w:rPr>
        <w:t>先生：中国国籍，</w:t>
      </w:r>
      <w:r>
        <w:rPr>
          <w:rFonts w:ascii="宋体" w:hAnsi="宋体" w:cs="宋体" w:eastAsia="宋体" w:hint="default"/>
          <w:spacing w:val="-2"/>
        </w:rPr>
        <w:t>1971</w:t>
      </w:r>
      <w:r>
        <w:rPr>
          <w:spacing w:val="-2"/>
        </w:rPr>
        <w:t>年出生，本科学历。曾任职于深圳市南山基金管理有限公司、中关村创业投资管理有限公</w:t>
      </w:r>
      <w:r>
        <w:rPr/>
        <w:t> </w:t>
      </w:r>
      <w:r>
        <w:rPr>
          <w:spacing w:val="-2"/>
        </w:rPr>
        <w:t>司；</w:t>
      </w:r>
      <w:r>
        <w:rPr>
          <w:rFonts w:ascii="宋体" w:hAnsi="宋体" w:cs="宋体" w:eastAsia="宋体" w:hint="default"/>
          <w:spacing w:val="-2"/>
        </w:rPr>
        <w:t>2009</w:t>
      </w:r>
      <w:r>
        <w:rPr>
          <w:spacing w:val="-2"/>
        </w:rPr>
        <w:t>年至今，任中科招商投资管理集团股份有限公司执行副总裁，兼任深圳市新星轻合金材料股份有限公司董事、深圳</w:t>
      </w:r>
      <w:r>
        <w:rPr>
          <w:spacing w:val="-62"/>
        </w:rPr>
        <w:t> </w:t>
      </w:r>
      <w:r>
        <w:rPr>
          <w:spacing w:val="-62"/>
        </w:rPr>
      </w:r>
      <w:r>
        <w:rPr/>
        <w:t>市富恒新材料股份有限公司董事；自</w:t>
      </w:r>
      <w:r>
        <w:rPr>
          <w:rFonts w:ascii="宋体" w:hAnsi="宋体" w:cs="宋体" w:eastAsia="宋体" w:hint="default"/>
        </w:rPr>
        <w:t>2012</w:t>
      </w:r>
      <w:r>
        <w:rPr/>
        <w:t>年</w:t>
      </w:r>
      <w:r>
        <w:rPr>
          <w:rFonts w:ascii="宋体" w:hAnsi="宋体" w:cs="宋体" w:eastAsia="宋体" w:hint="default"/>
        </w:rPr>
        <w:t>4</w:t>
      </w:r>
      <w:r>
        <w:rPr/>
        <w:t>月起任本公司董事。</w:t>
      </w:r>
    </w:p>
    <w:p>
      <w:pPr>
        <w:pStyle w:val="BodyText"/>
        <w:spacing w:line="240" w:lineRule="auto" w:before="91"/>
        <w:ind w:left="515" w:right="889"/>
        <w:jc w:val="left"/>
      </w:pPr>
      <w:r>
        <w:rPr>
          <w:rFonts w:ascii="宋体" w:hAnsi="宋体" w:cs="宋体" w:eastAsia="宋体" w:hint="default"/>
          <w:b/>
          <w:bCs/>
        </w:rPr>
        <w:t>肖幼美</w:t>
      </w:r>
      <w:r>
        <w:rPr/>
        <w:t>女士：中国国籍，</w:t>
      </w:r>
      <w:r>
        <w:rPr>
          <w:rFonts w:ascii="宋体" w:hAnsi="宋体" w:cs="宋体" w:eastAsia="宋体" w:hint="default"/>
        </w:rPr>
        <w:t>1955</w:t>
      </w:r>
      <w:r>
        <w:rPr/>
        <w:t>年出生，硕士研究生学历，高级会计师。曾任职于深圳有色金属财务股份有限公司、深圳</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1"/>
        <w:jc w:val="both"/>
      </w:pPr>
      <w:r>
        <w:rPr>
          <w:spacing w:val="-13"/>
        </w:rPr>
        <w:t>市中金财务顾问有限公司、农产品（股票代码：</w:t>
      </w:r>
      <w:r>
        <w:rPr>
          <w:rFonts w:ascii="宋体" w:hAnsi="宋体" w:cs="宋体" w:eastAsia="宋体" w:hint="default"/>
          <w:spacing w:val="-13"/>
        </w:rPr>
        <w:t>000061</w:t>
      </w:r>
      <w:r>
        <w:rPr>
          <w:spacing w:val="-13"/>
        </w:rPr>
        <w:t>）、深圳麦格米特电气股份有限公司；现任国信证券（股票代码：</w:t>
      </w:r>
      <w:r>
        <w:rPr>
          <w:rFonts w:ascii="宋体" w:hAnsi="宋体" w:cs="宋体" w:eastAsia="宋体" w:hint="default"/>
          <w:spacing w:val="-13"/>
        </w:rPr>
        <w:t>002736</w:t>
      </w:r>
      <w:r>
        <w:rPr>
          <w:spacing w:val="-13"/>
        </w:rPr>
        <w:t>）、</w:t>
      </w:r>
      <w:r>
        <w:rPr>
          <w:spacing w:val="-76"/>
        </w:rPr>
        <w:t> </w:t>
      </w:r>
      <w:r>
        <w:rPr>
          <w:spacing w:val="-2"/>
        </w:rPr>
        <w:t>金证股份（股票代码：</w:t>
      </w:r>
      <w:r>
        <w:rPr>
          <w:rFonts w:ascii="宋体" w:hAnsi="宋体" w:cs="宋体" w:eastAsia="宋体" w:hint="default"/>
          <w:spacing w:val="-2"/>
        </w:rPr>
        <w:t>600466</w:t>
      </w:r>
      <w:r>
        <w:rPr>
          <w:spacing w:val="-2"/>
        </w:rPr>
        <w:t>）独立董事；兼任深圳市人大计划预算专业委员会委员、深圳市中级人民法院司法监督员、深</w:t>
      </w:r>
      <w:r>
        <w:rPr>
          <w:spacing w:val="-60"/>
        </w:rPr>
        <w:t> </w:t>
      </w:r>
      <w:r>
        <w:rPr>
          <w:spacing w:val="-60"/>
        </w:rPr>
      </w:r>
      <w:r>
        <w:rPr>
          <w:spacing w:val="-2"/>
        </w:rPr>
        <w:t>圳市社会保障基金监督管理委员会委员、深圳市第六届人大代表、深圳市中小企业担保集团项目评审顾问；自</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月起</w:t>
      </w:r>
      <w:r>
        <w:rPr>
          <w:spacing w:val="-59"/>
        </w:rPr>
        <w:t> </w:t>
      </w:r>
      <w:r>
        <w:rPr/>
        <w:t>任本公司独立董事。</w:t>
      </w:r>
    </w:p>
    <w:p>
      <w:pPr>
        <w:pStyle w:val="BodyText"/>
        <w:spacing w:line="316" w:lineRule="auto" w:before="91"/>
        <w:ind w:right="1033" w:firstLine="361"/>
        <w:jc w:val="left"/>
      </w:pPr>
      <w:r>
        <w:rPr>
          <w:rFonts w:ascii="宋体" w:hAnsi="宋体" w:cs="宋体" w:eastAsia="宋体" w:hint="default"/>
          <w:b/>
          <w:bCs/>
          <w:spacing w:val="-2"/>
        </w:rPr>
        <w:t>高刚</w:t>
      </w:r>
      <w:r>
        <w:rPr>
          <w:spacing w:val="-2"/>
        </w:rPr>
        <w:t>先生：中国国籍，</w:t>
      </w:r>
      <w:r>
        <w:rPr>
          <w:rFonts w:ascii="宋体" w:hAnsi="宋体" w:cs="宋体" w:eastAsia="宋体" w:hint="default"/>
          <w:spacing w:val="-2"/>
        </w:rPr>
        <w:t>1963</w:t>
      </w:r>
      <w:r>
        <w:rPr>
          <w:spacing w:val="-2"/>
        </w:rPr>
        <w:t>年出生，硕士学位，教授，硕士生导师。曾任职于中建一局五公司先后担任施工员、技术负</w:t>
      </w:r>
      <w:r>
        <w:rPr/>
        <w:t> </w:t>
      </w:r>
      <w:r>
        <w:rPr>
          <w:spacing w:val="-2"/>
        </w:rPr>
        <w:t>责人、项目经理、常务副总经理兼总经济师等，中建一局（集团）有限公司西南区总经理、深圳海外装饰工程有限公司董事</w:t>
      </w:r>
      <w:r>
        <w:rPr>
          <w:spacing w:val="-68"/>
        </w:rPr>
        <w:t> </w:t>
      </w:r>
      <w:r>
        <w:rPr>
          <w:spacing w:val="-68"/>
        </w:rPr>
      </w:r>
      <w:r>
        <w:rPr/>
        <w:t>长、总经理、党委书记。现任深圳市装饰行业协会会长、首都师范大学客座教授、广田股份独立董事、宝鹰股份独立董事、</w:t>
      </w:r>
      <w:r>
        <w:rPr/>
        <w:t> 深圳市亚泰国际建设股份有限公司独立董事、中航三鑫股份有限公司独立董事。自</w:t>
      </w:r>
      <w:r>
        <w:rPr>
          <w:rFonts w:ascii="宋体" w:hAnsi="宋体" w:cs="宋体" w:eastAsia="宋体" w:hint="default"/>
        </w:rPr>
        <w:t>2015</w:t>
      </w:r>
      <w:r>
        <w:rPr/>
        <w:t>年</w:t>
      </w:r>
      <w:r>
        <w:rPr>
          <w:rFonts w:ascii="宋体" w:hAnsi="宋体" w:cs="宋体" w:eastAsia="宋体" w:hint="default"/>
        </w:rPr>
        <w:t>12</w:t>
      </w:r>
      <w:r>
        <w:rPr/>
        <w:t>月起任本公司独立董事。</w:t>
      </w:r>
    </w:p>
    <w:p>
      <w:pPr>
        <w:pStyle w:val="BodyText"/>
        <w:spacing w:line="316" w:lineRule="auto" w:before="91"/>
        <w:ind w:right="1130" w:firstLine="361"/>
        <w:jc w:val="both"/>
      </w:pPr>
      <w:r>
        <w:rPr>
          <w:rFonts w:ascii="宋体" w:hAnsi="宋体" w:cs="宋体" w:eastAsia="宋体" w:hint="default"/>
          <w:b/>
          <w:bCs/>
          <w:spacing w:val="-2"/>
        </w:rPr>
        <w:t>袁易明</w:t>
      </w:r>
      <w:r>
        <w:rPr>
          <w:spacing w:val="-2"/>
        </w:rPr>
        <w:t>先生：中国国籍，</w:t>
      </w:r>
      <w:r>
        <w:rPr>
          <w:rFonts w:ascii="宋体" w:hAnsi="宋体" w:cs="宋体" w:eastAsia="宋体" w:hint="default"/>
          <w:spacing w:val="-2"/>
        </w:rPr>
        <w:t>1963</w:t>
      </w:r>
      <w:r>
        <w:rPr>
          <w:spacing w:val="-2"/>
        </w:rPr>
        <w:t>年出生，博士学位，教授，博士生导师。曾任职于贵州省农科院综合研究所，从事农村经</w:t>
      </w:r>
      <w:r>
        <w:rPr/>
        <w:t> </w:t>
      </w:r>
      <w:r>
        <w:rPr>
          <w:spacing w:val="-2"/>
        </w:rPr>
        <w:t>济发展研究工作；</w:t>
      </w:r>
      <w:r>
        <w:rPr>
          <w:rFonts w:ascii="宋体" w:hAnsi="宋体" w:cs="宋体" w:eastAsia="宋体" w:hint="default"/>
          <w:spacing w:val="-2"/>
        </w:rPr>
        <w:t>1994</w:t>
      </w:r>
      <w:r>
        <w:rPr>
          <w:spacing w:val="-2"/>
        </w:rPr>
        <w:t>年至今，就职于深圳大学，曾任世界银行地区研究顾问、深圳市绿色低碳发展基金会理事长，现任深</w:t>
      </w:r>
      <w:r>
        <w:rPr>
          <w:spacing w:val="-62"/>
        </w:rPr>
        <w:t> </w:t>
      </w:r>
      <w:r>
        <w:rPr>
          <w:spacing w:val="-62"/>
        </w:rPr>
      </w:r>
      <w:r>
        <w:rPr>
          <w:spacing w:val="-2"/>
        </w:rPr>
        <w:t>圳大学中国经济特区研究中心副主任，兼任深圳市产业经济研究会副会长、非洲开发银行课题主持专家，深圳市科技工作者</w:t>
      </w:r>
      <w:r>
        <w:rPr>
          <w:spacing w:val="-66"/>
        </w:rPr>
        <w:t> </w:t>
      </w:r>
      <w:r>
        <w:rPr>
          <w:spacing w:val="-66"/>
        </w:rPr>
      </w:r>
      <w:r>
        <w:rPr/>
        <w:t>联合会会长；自</w:t>
      </w:r>
      <w:r>
        <w:rPr>
          <w:rFonts w:ascii="宋体" w:hAnsi="宋体" w:cs="宋体" w:eastAsia="宋体" w:hint="default"/>
        </w:rPr>
        <w:t>2013</w:t>
      </w:r>
      <w:r>
        <w:rPr/>
        <w:t>年</w:t>
      </w:r>
      <w:r>
        <w:rPr>
          <w:rFonts w:ascii="宋体" w:hAnsi="宋体" w:cs="宋体" w:eastAsia="宋体" w:hint="default"/>
        </w:rPr>
        <w:t>6</w:t>
      </w:r>
      <w:r>
        <w:rPr/>
        <w:t>月起任本公司独立董事。</w:t>
      </w:r>
    </w:p>
    <w:p>
      <w:pPr>
        <w:pStyle w:val="BodyText"/>
        <w:spacing w:line="391" w:lineRule="auto" w:before="91"/>
        <w:ind w:left="515" w:right="889" w:firstLine="61"/>
        <w:jc w:val="left"/>
      </w:pPr>
      <w:r>
        <w:rPr>
          <w:rFonts w:ascii="宋体" w:hAnsi="宋体" w:cs="宋体" w:eastAsia="宋体" w:hint="default"/>
          <w:b/>
          <w:bCs/>
        </w:rPr>
        <w:t>2</w:t>
      </w:r>
      <w:r>
        <w:rPr>
          <w:rFonts w:ascii="宋体" w:hAnsi="宋体" w:cs="宋体" w:eastAsia="宋体" w:hint="default"/>
          <w:b/>
          <w:bCs/>
        </w:rPr>
        <w:t>、监事会成员</w:t>
      </w:r>
      <w:r>
        <w:rPr>
          <w:rFonts w:ascii="宋体" w:hAnsi="宋体" w:cs="宋体" w:eastAsia="宋体" w:hint="default"/>
          <w:b/>
          <w:bCs/>
          <w:w w:val="99"/>
        </w:rPr>
        <w:t> </w:t>
      </w:r>
      <w:r>
        <w:rPr>
          <w:rFonts w:ascii="宋体" w:hAnsi="宋体" w:cs="宋体" w:eastAsia="宋体" w:hint="default"/>
          <w:b/>
          <w:bCs/>
          <w:spacing w:val="-2"/>
        </w:rPr>
        <w:t>何玉辉</w:t>
      </w:r>
      <w:r>
        <w:rPr>
          <w:spacing w:val="-2"/>
        </w:rPr>
        <w:t>女士：中国国籍，</w:t>
      </w:r>
      <w:r>
        <w:rPr>
          <w:rFonts w:ascii="宋体" w:hAnsi="宋体" w:cs="宋体" w:eastAsia="宋体" w:hint="default"/>
          <w:spacing w:val="-2"/>
        </w:rPr>
        <w:t>1973</w:t>
      </w:r>
      <w:r>
        <w:rPr>
          <w:spacing w:val="-2"/>
        </w:rPr>
        <w:t>年出生，本科学历。曾任职于湖南省邵东县界岭镇和杨桥镇人民政府、深圳市信和达投资</w:t>
      </w:r>
    </w:p>
    <w:p>
      <w:pPr>
        <w:pStyle w:val="BodyText"/>
        <w:spacing w:line="199" w:lineRule="exact"/>
        <w:ind w:right="0"/>
        <w:jc w:val="both"/>
      </w:pPr>
      <w:r>
        <w:rPr/>
        <w:t>发展有限公司；</w:t>
      </w:r>
      <w:r>
        <w:rPr>
          <w:rFonts w:ascii="宋体" w:hAnsi="宋体" w:cs="宋体" w:eastAsia="宋体" w:hint="default"/>
        </w:rPr>
        <w:t>2007</w:t>
      </w:r>
      <w:r>
        <w:rPr/>
        <w:t>年起就职于中装有限，任法务部副经理；自</w:t>
      </w:r>
      <w:r>
        <w:rPr>
          <w:rFonts w:ascii="宋体" w:hAnsi="宋体" w:cs="宋体" w:eastAsia="宋体" w:hint="default"/>
        </w:rPr>
        <w:t>2012</w:t>
      </w:r>
      <w:r>
        <w:rPr/>
        <w:t>年</w:t>
      </w:r>
      <w:r>
        <w:rPr>
          <w:rFonts w:ascii="宋体" w:hAnsi="宋体" w:cs="宋体" w:eastAsia="宋体" w:hint="default"/>
        </w:rPr>
        <w:t>4</w:t>
      </w:r>
      <w:r>
        <w:rPr/>
        <w:t>月起任本公司监事会主席、法务部经理。</w:t>
      </w:r>
    </w:p>
    <w:p>
      <w:pPr>
        <w:pStyle w:val="BodyText"/>
        <w:spacing w:line="316" w:lineRule="auto" w:before="148"/>
        <w:ind w:right="1132" w:firstLine="361"/>
        <w:jc w:val="both"/>
      </w:pPr>
      <w:r>
        <w:rPr>
          <w:rFonts w:ascii="宋体" w:hAnsi="宋体" w:cs="宋体" w:eastAsia="宋体" w:hint="default"/>
          <w:b/>
          <w:bCs/>
          <w:spacing w:val="-5"/>
        </w:rPr>
        <w:t>张雄</w:t>
      </w:r>
      <w:r>
        <w:rPr>
          <w:spacing w:val="-5"/>
        </w:rPr>
        <w:t>先生：中国国籍，</w:t>
      </w:r>
      <w:r>
        <w:rPr>
          <w:rFonts w:ascii="宋体" w:hAnsi="宋体" w:cs="宋体" w:eastAsia="宋体" w:hint="default"/>
          <w:spacing w:val="-5"/>
        </w:rPr>
        <w:t>1960</w:t>
      </w:r>
      <w:r>
        <w:rPr>
          <w:spacing w:val="-5"/>
        </w:rPr>
        <w:t>年出生，大专学历。曾任职于广东省信宜市汽车修理厂、深圳市南利建筑装饰工程公司；</w:t>
      </w:r>
      <w:r>
        <w:rPr>
          <w:rFonts w:ascii="宋体" w:hAnsi="宋体" w:cs="宋体" w:eastAsia="宋体" w:hint="default"/>
          <w:spacing w:val="-5"/>
        </w:rPr>
        <w:t>2005</w:t>
      </w:r>
      <w:r>
        <w:rPr>
          <w:rFonts w:ascii="宋体" w:hAnsi="宋体" w:cs="宋体" w:eastAsia="宋体" w:hint="default"/>
        </w:rPr>
        <w:t> </w:t>
      </w:r>
      <w:r>
        <w:rPr/>
        <w:t>年</w:t>
      </w:r>
      <w:r>
        <w:rPr>
          <w:rFonts w:ascii="宋体" w:hAnsi="宋体" w:cs="宋体" w:eastAsia="宋体" w:hint="default"/>
        </w:rPr>
        <w:t>1</w:t>
      </w:r>
      <w:r>
        <w:rPr/>
        <w:t>月起就职于中装有限，历任业务部副经理、经理；自</w:t>
      </w:r>
      <w:r>
        <w:rPr>
          <w:rFonts w:ascii="宋体" w:hAnsi="宋体" w:cs="宋体" w:eastAsia="宋体" w:hint="default"/>
        </w:rPr>
        <w:t>2012</w:t>
      </w:r>
      <w:r>
        <w:rPr/>
        <w:t>年</w:t>
      </w:r>
      <w:r>
        <w:rPr>
          <w:rFonts w:ascii="宋体" w:hAnsi="宋体" w:cs="宋体" w:eastAsia="宋体" w:hint="default"/>
        </w:rPr>
        <w:t>4</w:t>
      </w:r>
      <w:r>
        <w:rPr/>
        <w:t>月起任本公司监事、营运策略二部经理。</w:t>
      </w:r>
    </w:p>
    <w:p>
      <w:pPr>
        <w:pStyle w:val="BodyText"/>
        <w:spacing w:line="316" w:lineRule="auto" w:before="91"/>
        <w:ind w:right="1132" w:firstLine="361"/>
        <w:jc w:val="both"/>
      </w:pPr>
      <w:r>
        <w:rPr>
          <w:rFonts w:ascii="宋体" w:hAnsi="宋体" w:cs="宋体" w:eastAsia="宋体" w:hint="default"/>
          <w:b/>
          <w:bCs/>
          <w:spacing w:val="-2"/>
        </w:rPr>
        <w:t>张水霞</w:t>
      </w:r>
      <w:r>
        <w:rPr>
          <w:spacing w:val="-2"/>
        </w:rPr>
        <w:t>女士：中国国籍，</w:t>
      </w:r>
      <w:r>
        <w:rPr>
          <w:rFonts w:ascii="宋体" w:hAnsi="宋体" w:cs="宋体" w:eastAsia="宋体" w:hint="default"/>
          <w:spacing w:val="-2"/>
        </w:rPr>
        <w:t>1973</w:t>
      </w:r>
      <w:r>
        <w:rPr>
          <w:spacing w:val="-2"/>
        </w:rPr>
        <w:t>年出生，大专学历。曾任职于黑龙江省萝北县宝泉岭管理局、宝泉岭高级中学；</w:t>
      </w:r>
      <w:r>
        <w:rPr>
          <w:rFonts w:ascii="宋体" w:hAnsi="宋体" w:cs="宋体" w:eastAsia="宋体" w:hint="default"/>
          <w:spacing w:val="-2"/>
        </w:rPr>
        <w:t>2001</w:t>
      </w:r>
      <w:r>
        <w:rPr>
          <w:spacing w:val="-2"/>
        </w:rPr>
        <w:t>年起</w:t>
      </w:r>
      <w:r>
        <w:rPr/>
        <w:t> 就职于中装有限，任企管部经理；自</w:t>
      </w:r>
      <w:r>
        <w:rPr>
          <w:rFonts w:ascii="宋体" w:hAnsi="宋体" w:cs="宋体" w:eastAsia="宋体" w:hint="default"/>
        </w:rPr>
        <w:t>2012</w:t>
      </w:r>
      <w:r>
        <w:rPr/>
        <w:t>年</w:t>
      </w:r>
      <w:r>
        <w:rPr>
          <w:rFonts w:ascii="宋体" w:hAnsi="宋体" w:cs="宋体" w:eastAsia="宋体" w:hint="default"/>
        </w:rPr>
        <w:t>4</w:t>
      </w:r>
      <w:r>
        <w:rPr/>
        <w:t>月起任本公司职工代表监事、人力资源部经理。</w:t>
      </w:r>
    </w:p>
    <w:p>
      <w:pPr>
        <w:spacing w:line="391" w:lineRule="auto" w:before="91"/>
        <w:ind w:left="515" w:right="4539" w:firstLine="61"/>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、高级管理人员</w:t>
      </w:r>
      <w:r>
        <w:rPr>
          <w:rFonts w:ascii="宋体" w:hAnsi="宋体" w:cs="宋体" w:eastAsia="宋体" w:hint="default"/>
          <w:b/>
          <w:bCs/>
          <w:w w:val="99"/>
          <w:sz w:val="18"/>
          <w:szCs w:val="18"/>
        </w:rPr>
        <w:t> </w:t>
      </w:r>
      <w:r>
        <w:rPr>
          <w:rFonts w:ascii="宋体" w:hAnsi="宋体" w:cs="宋体" w:eastAsia="宋体" w:hint="default"/>
          <w:b/>
          <w:bCs/>
          <w:sz w:val="18"/>
          <w:szCs w:val="18"/>
        </w:rPr>
        <w:t>庄展诺</w:t>
      </w:r>
      <w:r>
        <w:rPr>
          <w:rFonts w:ascii="宋体" w:hAnsi="宋体" w:cs="宋体" w:eastAsia="宋体" w:hint="default"/>
          <w:sz w:val="18"/>
          <w:szCs w:val="18"/>
        </w:rPr>
        <w:t>先生：个人简历详见本节之“三、任职情况”之“</w:t>
      </w:r>
      <w:r>
        <w:rPr>
          <w:rFonts w:ascii="宋体" w:hAnsi="宋体" w:cs="宋体" w:eastAsia="宋体" w:hint="default"/>
          <w:sz w:val="18"/>
          <w:szCs w:val="18"/>
        </w:rPr>
        <w:t>1</w:t>
      </w:r>
      <w:r>
        <w:rPr>
          <w:rFonts w:ascii="宋体" w:hAnsi="宋体" w:cs="宋体" w:eastAsia="宋体" w:hint="default"/>
          <w:sz w:val="18"/>
          <w:szCs w:val="18"/>
        </w:rPr>
        <w:t>、董事会成员“</w:t>
      </w:r>
    </w:p>
    <w:p>
      <w:pPr>
        <w:pStyle w:val="BodyText"/>
        <w:spacing w:line="316" w:lineRule="auto" w:before="35"/>
        <w:ind w:right="1131" w:firstLine="361"/>
        <w:jc w:val="both"/>
      </w:pPr>
      <w:r>
        <w:rPr>
          <w:rFonts w:ascii="宋体" w:hAnsi="宋体" w:cs="宋体" w:eastAsia="宋体" w:hint="default"/>
          <w:b/>
          <w:bCs/>
          <w:spacing w:val="-2"/>
        </w:rPr>
        <w:t>何斌</w:t>
      </w:r>
      <w:r>
        <w:rPr>
          <w:spacing w:val="-2"/>
        </w:rPr>
        <w:t>先生：中国国籍，</w:t>
      </w:r>
      <w:r>
        <w:rPr>
          <w:rFonts w:ascii="宋体" w:hAnsi="宋体" w:cs="宋体" w:eastAsia="宋体" w:hint="default"/>
          <w:spacing w:val="-2"/>
        </w:rPr>
        <w:t>1962</w:t>
      </w:r>
      <w:r>
        <w:rPr>
          <w:spacing w:val="-2"/>
        </w:rPr>
        <w:t>年出生，本科学历，高级工程师，国家注册一级建造师。曾任职于江西省机械施工公司、南</w:t>
      </w:r>
      <w:r>
        <w:rPr/>
        <w:t> </w:t>
      </w:r>
      <w:r>
        <w:rPr>
          <w:spacing w:val="-2"/>
        </w:rPr>
        <w:t>昌中侨（惠阳）房地产开发有限公司、深圳市福田区建设实业发展有限公司</w:t>
      </w:r>
      <w:r>
        <w:rPr>
          <w:rFonts w:ascii="宋体" w:hAnsi="宋体" w:cs="宋体" w:eastAsia="宋体" w:hint="default"/>
          <w:spacing w:val="-2"/>
        </w:rPr>
        <w:t>117</w:t>
      </w:r>
      <w:r>
        <w:rPr>
          <w:spacing w:val="-2"/>
        </w:rPr>
        <w:t>队；</w:t>
      </w:r>
      <w:r>
        <w:rPr>
          <w:rFonts w:ascii="宋体" w:hAnsi="宋体" w:cs="宋体" w:eastAsia="宋体" w:hint="default"/>
          <w:spacing w:val="-2"/>
        </w:rPr>
        <w:t>2005</w:t>
      </w:r>
      <w:r>
        <w:rPr>
          <w:spacing w:val="-2"/>
        </w:rPr>
        <w:t>年</w:t>
      </w:r>
      <w:r>
        <w:rPr>
          <w:rFonts w:ascii="宋体" w:hAnsi="宋体" w:cs="宋体" w:eastAsia="宋体" w:hint="default"/>
          <w:spacing w:val="-2"/>
        </w:rPr>
        <w:t>4</w:t>
      </w:r>
      <w:r>
        <w:rPr>
          <w:spacing w:val="-2"/>
        </w:rPr>
        <w:t>月起就职于中装有限，任副总经</w:t>
      </w:r>
      <w:r>
        <w:rPr>
          <w:spacing w:val="-58"/>
        </w:rPr>
        <w:t> </w:t>
      </w:r>
      <w:r>
        <w:rPr>
          <w:spacing w:val="-58"/>
        </w:rPr>
      </w:r>
      <w:r>
        <w:rPr/>
        <w:t>理、总工程师；自</w:t>
      </w:r>
      <w:r>
        <w:rPr>
          <w:rFonts w:ascii="宋体" w:hAnsi="宋体" w:cs="宋体" w:eastAsia="宋体" w:hint="default"/>
        </w:rPr>
        <w:t>2012</w:t>
      </w:r>
      <w:r>
        <w:rPr/>
        <w:t>年</w:t>
      </w:r>
      <w:r>
        <w:rPr>
          <w:rFonts w:ascii="宋体" w:hAnsi="宋体" w:cs="宋体" w:eastAsia="宋体" w:hint="default"/>
        </w:rPr>
        <w:t>4</w:t>
      </w:r>
      <w:r>
        <w:rPr/>
        <w:t>月起，任本公司常务副总经理。</w:t>
      </w:r>
    </w:p>
    <w:p>
      <w:pPr>
        <w:pStyle w:val="BodyText"/>
        <w:spacing w:line="316" w:lineRule="auto" w:before="91"/>
        <w:ind w:right="1131" w:firstLine="360"/>
        <w:jc w:val="both"/>
      </w:pPr>
      <w:r>
        <w:rPr>
          <w:spacing w:val="-2"/>
        </w:rPr>
        <w:t>何斌先生是中国建筑装饰协会专家，广东省建筑业协会工程质量技术管理专家，深圳市建筑工程系列专业技术资格第三</w:t>
      </w:r>
      <w:r>
        <w:rPr/>
        <w:t> </w:t>
      </w:r>
      <w:r>
        <w:rPr>
          <w:spacing w:val="-2"/>
        </w:rPr>
        <w:t>评审委员会（高级工程师职称）评委，深圳市装饰协会专家。曾多次荣获“全国建筑装饰优秀项目经理”“全国建筑装饰行</w:t>
      </w:r>
      <w:r>
        <w:rPr>
          <w:spacing w:val="-68"/>
        </w:rPr>
        <w:t> </w:t>
      </w:r>
      <w:r>
        <w:rPr>
          <w:spacing w:val="-68"/>
        </w:rPr>
      </w:r>
      <w:r>
        <w:rPr>
          <w:spacing w:val="-2"/>
        </w:rPr>
        <w:t>业科技示范工程科技创新奖”、“全国建筑装饰行业科技创新成果奖”、“全国优秀建造师”、“广东省建筑装饰工程优秀</w:t>
      </w:r>
      <w:r>
        <w:rPr>
          <w:spacing w:val="-70"/>
        </w:rPr>
        <w:t> </w:t>
      </w:r>
      <w:r>
        <w:rPr>
          <w:spacing w:val="-70"/>
        </w:rPr>
      </w:r>
      <w:r>
        <w:rPr/>
        <w:t>建造师”、“广东省优秀建筑装饰工程奖项目经理”等荣誉。</w:t>
      </w:r>
    </w:p>
    <w:p>
      <w:pPr>
        <w:pStyle w:val="BodyText"/>
        <w:spacing w:line="316" w:lineRule="auto" w:before="91"/>
        <w:ind w:right="1030" w:firstLine="361"/>
        <w:jc w:val="left"/>
      </w:pPr>
      <w:r>
        <w:rPr>
          <w:rFonts w:ascii="宋体" w:hAnsi="宋体" w:cs="宋体" w:eastAsia="宋体" w:hint="default"/>
          <w:b/>
          <w:bCs/>
        </w:rPr>
        <w:t>廖伟潭</w:t>
      </w:r>
      <w:r>
        <w:rPr/>
        <w:t>先生：中国国籍，</w:t>
      </w:r>
      <w:r>
        <w:rPr>
          <w:rFonts w:ascii="宋体" w:hAnsi="宋体" w:cs="宋体" w:eastAsia="宋体" w:hint="default"/>
        </w:rPr>
        <w:t>1965</w:t>
      </w:r>
      <w:r>
        <w:rPr/>
        <w:t>年出生，中专学历。曾任职于广东省陆丰县及陆河县邮电局、深圳市亿通电讯有限公司、 深圳市博大装饰设计工程有限公司；</w:t>
      </w:r>
      <w:r>
        <w:rPr>
          <w:rFonts w:ascii="宋体" w:hAnsi="宋体" w:cs="宋体" w:eastAsia="宋体" w:hint="default"/>
        </w:rPr>
        <w:t>2008</w:t>
      </w:r>
      <w:r>
        <w:rPr/>
        <w:t>年</w:t>
      </w:r>
      <w:r>
        <w:rPr>
          <w:rFonts w:ascii="宋体" w:hAnsi="宋体" w:cs="宋体" w:eastAsia="宋体" w:hint="default"/>
        </w:rPr>
        <w:t>10</w:t>
      </w:r>
      <w:r>
        <w:rPr/>
        <w:t>月起就职于中装有限，任副总经理；自</w:t>
      </w:r>
      <w:r>
        <w:rPr>
          <w:rFonts w:ascii="宋体" w:hAnsi="宋体" w:cs="宋体" w:eastAsia="宋体" w:hint="default"/>
        </w:rPr>
        <w:t>2012</w:t>
      </w:r>
      <w:r>
        <w:rPr/>
        <w:t>年</w:t>
      </w:r>
      <w:r>
        <w:rPr>
          <w:rFonts w:ascii="宋体" w:hAnsi="宋体" w:cs="宋体" w:eastAsia="宋体" w:hint="default"/>
        </w:rPr>
        <w:t>4</w:t>
      </w:r>
      <w:r>
        <w:rPr/>
        <w:t>月起任本公司副总经理兼运营 管理中心总经理。</w:t>
      </w:r>
    </w:p>
    <w:p>
      <w:pPr>
        <w:pStyle w:val="BodyText"/>
        <w:spacing w:line="316" w:lineRule="auto" w:before="91"/>
        <w:ind w:right="1130" w:firstLine="361"/>
        <w:jc w:val="both"/>
      </w:pPr>
      <w:r>
        <w:rPr>
          <w:rFonts w:ascii="宋体" w:hAnsi="宋体" w:cs="宋体" w:eastAsia="宋体" w:hint="default"/>
          <w:b/>
          <w:bCs/>
          <w:spacing w:val="-2"/>
        </w:rPr>
        <w:t>庄超喜</w:t>
      </w:r>
      <w:r>
        <w:rPr>
          <w:spacing w:val="-2"/>
        </w:rPr>
        <w:t>先生：中国国籍，</w:t>
      </w:r>
      <w:r>
        <w:rPr>
          <w:rFonts w:ascii="宋体" w:hAnsi="宋体" w:cs="宋体" w:eastAsia="宋体" w:hint="default"/>
          <w:spacing w:val="-2"/>
        </w:rPr>
        <w:t>1975</w:t>
      </w:r>
      <w:r>
        <w:rPr>
          <w:spacing w:val="-2"/>
        </w:rPr>
        <w:t>年出生，大专学历，国家注册一级建造师。</w:t>
      </w:r>
      <w:r>
        <w:rPr>
          <w:rFonts w:ascii="宋体" w:hAnsi="宋体" w:cs="宋体" w:eastAsia="宋体" w:hint="default"/>
          <w:spacing w:val="-2"/>
        </w:rPr>
        <w:t>2002</w:t>
      </w:r>
      <w:r>
        <w:rPr>
          <w:spacing w:val="-2"/>
        </w:rPr>
        <w:t>年</w:t>
      </w:r>
      <w:r>
        <w:rPr>
          <w:rFonts w:ascii="宋体" w:hAnsi="宋体" w:cs="宋体" w:eastAsia="宋体" w:hint="default"/>
          <w:spacing w:val="-2"/>
        </w:rPr>
        <w:t>12</w:t>
      </w:r>
      <w:r>
        <w:rPr>
          <w:spacing w:val="-2"/>
        </w:rPr>
        <w:t>月就职于中装有限，历任采购员、采</w:t>
      </w:r>
      <w:r>
        <w:rPr/>
        <w:t> 购部经理；自</w:t>
      </w:r>
      <w:r>
        <w:rPr>
          <w:rFonts w:ascii="宋体" w:hAnsi="宋体" w:cs="宋体" w:eastAsia="宋体" w:hint="default"/>
        </w:rPr>
        <w:t>2010</w:t>
      </w:r>
      <w:r>
        <w:rPr/>
        <w:t>年</w:t>
      </w:r>
      <w:r>
        <w:rPr>
          <w:rFonts w:ascii="宋体" w:hAnsi="宋体" w:cs="宋体" w:eastAsia="宋体" w:hint="default"/>
        </w:rPr>
        <w:t>5</w:t>
      </w:r>
      <w:r>
        <w:rPr/>
        <w:t>月起就职于中装有限，任副总经理；自</w:t>
      </w:r>
      <w:r>
        <w:rPr>
          <w:rFonts w:ascii="宋体" w:hAnsi="宋体" w:cs="宋体" w:eastAsia="宋体" w:hint="default"/>
        </w:rPr>
        <w:t>2012</w:t>
      </w:r>
      <w:r>
        <w:rPr/>
        <w:t>年</w:t>
      </w:r>
      <w:r>
        <w:rPr>
          <w:rFonts w:ascii="宋体" w:hAnsi="宋体" w:cs="宋体" w:eastAsia="宋体" w:hint="default"/>
        </w:rPr>
        <w:t>4</w:t>
      </w:r>
      <w:r>
        <w:rPr/>
        <w:t>月起任本公司副总经理兼工程管理中心总经理。</w:t>
      </w:r>
    </w:p>
    <w:p>
      <w:pPr>
        <w:pStyle w:val="BodyText"/>
        <w:spacing w:line="316" w:lineRule="auto" w:before="91"/>
        <w:ind w:right="1040" w:firstLine="361"/>
        <w:jc w:val="both"/>
      </w:pPr>
      <w:r>
        <w:rPr>
          <w:rFonts w:ascii="宋体" w:hAnsi="宋体" w:cs="宋体" w:eastAsia="宋体" w:hint="default"/>
          <w:b/>
          <w:bCs/>
          <w:spacing w:val="-4"/>
        </w:rPr>
        <w:t>赵海峰</w:t>
      </w:r>
      <w:r>
        <w:rPr>
          <w:spacing w:val="-4"/>
        </w:rPr>
        <w:t>先生：中国国籍，</w:t>
      </w:r>
      <w:r>
        <w:rPr>
          <w:rFonts w:ascii="宋体" w:hAnsi="宋体" w:cs="宋体" w:eastAsia="宋体" w:hint="default"/>
          <w:spacing w:val="-4"/>
        </w:rPr>
        <w:t>1979</w:t>
      </w:r>
      <w:r>
        <w:rPr>
          <w:spacing w:val="-4"/>
        </w:rPr>
        <w:t>年出生，本科学历。曾任职于深圳万基集团有限公司、深圳市鹏劳人力资源管理有限公司；</w:t>
      </w:r>
      <w:r>
        <w:rPr/>
        <w:t> </w:t>
      </w:r>
      <w:r>
        <w:rPr>
          <w:rFonts w:ascii="宋体" w:hAnsi="宋体" w:cs="宋体" w:eastAsia="宋体" w:hint="default"/>
        </w:rPr>
        <w:t>2011</w:t>
      </w:r>
      <w:r>
        <w:rPr/>
        <w:t>年</w:t>
      </w:r>
      <w:r>
        <w:rPr>
          <w:rFonts w:ascii="宋体" w:hAnsi="宋体" w:cs="宋体" w:eastAsia="宋体" w:hint="default"/>
        </w:rPr>
        <w:t>2</w:t>
      </w:r>
      <w:r>
        <w:rPr/>
        <w:t>月起就职于中装有限，历任人力资源总监、副总经理；自</w:t>
      </w:r>
      <w:r>
        <w:rPr>
          <w:rFonts w:ascii="宋体" w:hAnsi="宋体" w:cs="宋体" w:eastAsia="宋体" w:hint="default"/>
        </w:rPr>
        <w:t>2012</w:t>
      </w:r>
      <w:r>
        <w:rPr/>
        <w:t>年</w:t>
      </w:r>
      <w:r>
        <w:rPr>
          <w:rFonts w:ascii="宋体" w:hAnsi="宋体" w:cs="宋体" w:eastAsia="宋体" w:hint="default"/>
        </w:rPr>
        <w:t>4</w:t>
      </w:r>
      <w:r>
        <w:rPr/>
        <w:t>月起任本公司副总经理兼行政管理中心总经理。</w:t>
      </w:r>
    </w:p>
    <w:p>
      <w:pPr>
        <w:pStyle w:val="BodyText"/>
        <w:spacing w:line="316" w:lineRule="auto" w:before="91"/>
        <w:ind w:right="1130" w:firstLine="361"/>
        <w:jc w:val="both"/>
      </w:pPr>
      <w:r>
        <w:rPr>
          <w:rFonts w:ascii="宋体" w:hAnsi="宋体" w:cs="宋体" w:eastAsia="宋体" w:hint="default"/>
          <w:b/>
          <w:bCs/>
          <w:spacing w:val="-2"/>
        </w:rPr>
        <w:t>于桂添</w:t>
      </w:r>
      <w:r>
        <w:rPr>
          <w:spacing w:val="-2"/>
        </w:rPr>
        <w:t>先生：中国国籍，</w:t>
      </w:r>
      <w:r>
        <w:rPr>
          <w:rFonts w:ascii="宋体" w:hAnsi="宋体" w:cs="宋体" w:eastAsia="宋体" w:hint="default"/>
          <w:spacing w:val="-2"/>
        </w:rPr>
        <w:t>1982</w:t>
      </w:r>
      <w:r>
        <w:rPr>
          <w:spacing w:val="-2"/>
        </w:rPr>
        <w:t>年出生，硕士研究生学历。曾任职于安信证券股份有限公司投资银行部、齐鲁证券有限公</w:t>
      </w:r>
      <w:r>
        <w:rPr/>
        <w:t> 司投资银行部；自</w:t>
      </w:r>
      <w:r>
        <w:rPr>
          <w:rFonts w:ascii="宋体" w:hAnsi="宋体" w:cs="宋体" w:eastAsia="宋体" w:hint="default"/>
        </w:rPr>
        <w:t>2012</w:t>
      </w:r>
      <w:r>
        <w:rPr/>
        <w:t>年</w:t>
      </w:r>
      <w:r>
        <w:rPr>
          <w:rFonts w:ascii="宋体" w:hAnsi="宋体" w:cs="宋体" w:eastAsia="宋体" w:hint="default"/>
        </w:rPr>
        <w:t>7</w:t>
      </w:r>
      <w:r>
        <w:rPr/>
        <w:t>月起任本公司副总经理、董事会秘书；</w:t>
      </w:r>
      <w:r>
        <w:rPr>
          <w:rFonts w:ascii="宋体" w:hAnsi="宋体" w:cs="宋体" w:eastAsia="宋体" w:hint="default"/>
        </w:rPr>
        <w:t>2015</w:t>
      </w:r>
      <w:r>
        <w:rPr/>
        <w:t>年</w:t>
      </w:r>
      <w:r>
        <w:rPr>
          <w:rFonts w:ascii="宋体" w:hAnsi="宋体" w:cs="宋体" w:eastAsia="宋体" w:hint="default"/>
        </w:rPr>
        <w:t>4</w:t>
      </w:r>
      <w:r>
        <w:rPr/>
        <w:t>月起兼任本公司财务总监。</w:t>
      </w:r>
    </w:p>
    <w:p>
      <w:pPr>
        <w:pStyle w:val="BodyText"/>
        <w:spacing w:line="316" w:lineRule="auto" w:before="91"/>
        <w:ind w:right="1074" w:firstLine="422"/>
        <w:jc w:val="both"/>
      </w:pPr>
      <w:r>
        <w:rPr>
          <w:rFonts w:ascii="宋体" w:hAnsi="宋体" w:cs="宋体" w:eastAsia="宋体" w:hint="default"/>
          <w:b/>
          <w:bCs/>
        </w:rPr>
        <w:t>曾凡伟</w:t>
      </w:r>
      <w:r>
        <w:rPr/>
        <w:t>先生，中国国籍，</w:t>
      </w:r>
      <w:r>
        <w:rPr>
          <w:rFonts w:ascii="宋体" w:hAnsi="宋体" w:cs="宋体" w:eastAsia="宋体" w:hint="default"/>
        </w:rPr>
        <w:t>1976</w:t>
      </w:r>
      <w:r>
        <w:rPr/>
        <w:t>年出生，</w:t>
      </w:r>
      <w:r>
        <w:rPr>
          <w:rFonts w:ascii="宋体" w:hAnsi="宋体" w:cs="宋体" w:eastAsia="宋体" w:hint="default"/>
        </w:rPr>
        <w:t>EMBA</w:t>
      </w:r>
      <w:r>
        <w:rPr/>
        <w:t>，中国注册会计师、中国注册税务师、会计师、国际内部审计师（</w:t>
      </w:r>
      <w:r>
        <w:rPr>
          <w:rFonts w:ascii="宋体" w:hAnsi="宋体" w:cs="宋体" w:eastAsia="宋体" w:hint="default"/>
        </w:rPr>
        <w:t>CIA</w:t>
      </w:r>
      <w:r>
        <w:rPr/>
        <w:t>）、 </w:t>
      </w:r>
      <w:r>
        <w:rPr>
          <w:spacing w:val="-2"/>
        </w:rPr>
        <w:t>国际信息系统审计师（</w:t>
      </w:r>
      <w:r>
        <w:rPr>
          <w:rFonts w:ascii="宋体" w:hAnsi="宋体" w:cs="宋体" w:eastAsia="宋体" w:hint="default"/>
          <w:spacing w:val="-2"/>
        </w:rPr>
        <w:t>CISA</w:t>
      </w:r>
      <w:r>
        <w:rPr>
          <w:spacing w:val="-2"/>
        </w:rPr>
        <w:t>）。曾任职于星光印刷（深圳）有限公司、大华会计师事务所（特殊普通合伙）深圳分所，</w:t>
      </w:r>
      <w:r>
        <w:rPr>
          <w:rFonts w:ascii="宋体" w:hAnsi="宋体" w:cs="宋体" w:eastAsia="宋体" w:hint="default"/>
          <w:spacing w:val="-2"/>
        </w:rPr>
        <w:t>2016</w:t>
      </w:r>
      <w:r>
        <w:rPr>
          <w:rFonts w:ascii="宋体" w:hAnsi="宋体" w:cs="宋体" w:eastAsia="宋体" w:hint="default"/>
          <w:spacing w:val="-61"/>
        </w:rPr>
        <w:t> </w:t>
      </w:r>
      <w:r>
        <w:rPr>
          <w:rFonts w:ascii="宋体" w:hAnsi="宋体" w:cs="宋体" w:eastAsia="宋体" w:hint="default"/>
          <w:spacing w:val="-61"/>
        </w:rPr>
      </w:r>
      <w:r>
        <w:rPr/>
        <w:t>年</w:t>
      </w:r>
      <w:r>
        <w:rPr>
          <w:rFonts w:ascii="宋体" w:hAnsi="宋体" w:cs="宋体" w:eastAsia="宋体" w:hint="default"/>
        </w:rPr>
        <w:t>8</w:t>
      </w:r>
      <w:r>
        <w:rPr/>
        <w:t>月起就职于深圳市中装建设集团股份有限公司，任审计总监；</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20</w:t>
      </w:r>
      <w:r>
        <w:rPr/>
        <w:t>日起任本公司副总经理兼审计总监。</w:t>
      </w:r>
    </w:p>
    <w:p>
      <w:pPr>
        <w:pStyle w:val="BodyText"/>
        <w:spacing w:line="240" w:lineRule="auto" w:before="91"/>
        <w:ind w:left="576" w:right="889"/>
        <w:jc w:val="left"/>
      </w:pPr>
      <w:r>
        <w:rPr>
          <w:rFonts w:ascii="宋体" w:hAnsi="宋体" w:cs="宋体" w:eastAsia="宋体" w:hint="default"/>
          <w:b/>
          <w:bCs/>
        </w:rPr>
        <w:t>黎文崇</w:t>
      </w:r>
      <w:r>
        <w:rPr/>
        <w:t>先生，中国国籍，</w:t>
      </w:r>
      <w:r>
        <w:rPr>
          <w:rFonts w:ascii="宋体" w:hAnsi="宋体" w:cs="宋体" w:eastAsia="宋体" w:hint="default"/>
        </w:rPr>
        <w:t>1975</w:t>
      </w:r>
      <w:r>
        <w:rPr/>
        <w:t>年出生，本科学历，二级建造师，中国施工企业高级职业经理人，中级工程师。曾任职</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889"/>
        <w:jc w:val="left"/>
      </w:pPr>
      <w:r>
        <w:rPr>
          <w:spacing w:val="-2"/>
        </w:rPr>
        <w:t>于广州市第四建筑工程有限公司、广东浩天建设工程有限公司、广东浩城房地产开发有限公司。</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月任职于中装有限，</w:t>
      </w:r>
      <w:r>
        <w:rPr>
          <w:spacing w:val="-59"/>
        </w:rPr>
        <w:t> </w:t>
      </w:r>
      <w:r>
        <w:rPr/>
        <w:t>任业务大区总监；自</w:t>
      </w:r>
      <w:r>
        <w:rPr>
          <w:rFonts w:ascii="宋体" w:hAnsi="宋体" w:cs="宋体" w:eastAsia="宋体" w:hint="default"/>
        </w:rPr>
        <w:t>2012</w:t>
      </w:r>
      <w:r>
        <w:rPr/>
        <w:t>年</w:t>
      </w:r>
      <w:r>
        <w:rPr>
          <w:rFonts w:ascii="宋体" w:hAnsi="宋体" w:cs="宋体" w:eastAsia="宋体" w:hint="default"/>
        </w:rPr>
        <w:t>6</w:t>
      </w:r>
      <w:r>
        <w:rPr/>
        <w:t>月任业务大区总经理。</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BodyText"/>
        <w:spacing w:line="240" w:lineRule="auto"/>
        <w:ind w:left="154" w:right="889"/>
        <w:jc w:val="left"/>
      </w:pPr>
      <w:r>
        <w:rPr/>
        <w:t>在股东单位任职情况</w:t>
      </w:r>
    </w:p>
    <w:p>
      <w:pPr>
        <w:pStyle w:val="BodyText"/>
        <w:spacing w:line="240" w:lineRule="auto" w:before="117"/>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036"/>
        <w:gridCol w:w="992"/>
        <w:gridCol w:w="1490"/>
        <w:gridCol w:w="1487"/>
        <w:gridCol w:w="1345"/>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任顺标</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center"/>
              <w:rPr>
                <w:rFonts w:ascii="宋体" w:hAnsi="宋体" w:cs="宋体" w:eastAsia="宋体" w:hint="default"/>
                <w:sz w:val="18"/>
                <w:szCs w:val="18"/>
              </w:rPr>
            </w:pPr>
            <w:r>
              <w:rPr>
                <w:rFonts w:ascii="宋体" w:hAnsi="宋体" w:cs="宋体" w:eastAsia="宋体" w:hint="default"/>
                <w:sz w:val="18"/>
                <w:szCs w:val="18"/>
              </w:rPr>
              <w:t>中科招商投资管理集团股份有限公司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执行副总裁</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889"/>
        <w:jc w:val="left"/>
      </w:pPr>
      <w:r>
        <w:rPr/>
        <w:t>在其他单位任职情况</w:t>
      </w:r>
    </w:p>
    <w:p>
      <w:pPr>
        <w:pStyle w:val="BodyText"/>
        <w:spacing w:line="240" w:lineRule="auto" w:before="117"/>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2595"/>
        <w:gridCol w:w="1276"/>
        <w:gridCol w:w="1560"/>
        <w:gridCol w:w="1559"/>
        <w:gridCol w:w="134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5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熊谨慎</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深圳市南湾学校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校长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肖幼美</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深圳市中小企业担保集团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项目评审顾问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袁易明</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深圳大学中国经济特区研究中心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高刚</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深圳市装饰行业协会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889"/>
        <w:jc w:val="left"/>
      </w:pPr>
      <w:r>
        <w:rPr/>
        <w:t>公司现任及报告期内离任董事、监事和高级管理人员近三年证券监管机构处罚的情况</w:t>
      </w:r>
    </w:p>
    <w:p>
      <w:pPr>
        <w:pStyle w:val="BodyText"/>
        <w:spacing w:line="240" w:lineRule="auto" w:before="116"/>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89"/>
        <w:jc w:val="left"/>
        <w:rPr>
          <w:b w:val="0"/>
          <w:bCs w:val="0"/>
        </w:rPr>
      </w:pPr>
      <w:bookmarkStart w:name="四、董事、监事、高级管理人员报酬情况" w:id="121"/>
      <w:bookmarkEnd w:id="121"/>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49" w:right="889" w:hanging="296"/>
        <w:jc w:val="left"/>
      </w:pPr>
      <w:r>
        <w:rPr/>
        <w:t>董事、监事、高级管理人员报酬的决策程序、确定依据、实际支付情况 </w:t>
      </w:r>
      <w:r>
        <w:rPr>
          <w:spacing w:val="-1"/>
        </w:rPr>
        <w:t>在公司任职的董事（除独立董事外）、监事、高级管理人员按照其职务根据公司现行的薪酬制度领取薪酬。高级管理人</w:t>
      </w:r>
    </w:p>
    <w:p>
      <w:pPr>
        <w:pStyle w:val="BodyText"/>
        <w:spacing w:line="224" w:lineRule="exact"/>
        <w:ind w:right="889"/>
        <w:jc w:val="left"/>
      </w:pPr>
      <w:r>
        <w:rPr/>
        <w:t>员的薪酬由基本年薪、绩效薪酬构成，年薪与公司年度经营业绩及与高级管理人员签订的目标责任挂钩，于年终实行绩效考</w:t>
      </w:r>
    </w:p>
    <w:p>
      <w:pPr>
        <w:pStyle w:val="BodyText"/>
        <w:spacing w:line="316" w:lineRule="auto" w:before="76"/>
        <w:ind w:right="889"/>
        <w:jc w:val="left"/>
      </w:pPr>
      <w:r>
        <w:rPr>
          <w:spacing w:val="-2"/>
        </w:rPr>
        <w:t>核并报公司董事会确定。非高管董事薪酬经董事会确定后，提交股东大会审批。独立董事津贴按公司股东大会审议通过的方</w:t>
      </w:r>
      <w:r>
        <w:rPr>
          <w:spacing w:val="-66"/>
        </w:rPr>
        <w:t> </w:t>
      </w:r>
      <w:r>
        <w:rPr>
          <w:spacing w:val="-66"/>
        </w:rPr>
      </w:r>
      <w:r>
        <w:rPr/>
        <w:t>案发放。</w:t>
      </w:r>
    </w:p>
    <w:p>
      <w:pPr>
        <w:pStyle w:val="BodyText"/>
        <w:spacing w:line="240" w:lineRule="auto" w:before="59"/>
        <w:ind w:right="889"/>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1418"/>
        <w:gridCol w:w="709"/>
        <w:gridCol w:w="708"/>
        <w:gridCol w:w="851"/>
        <w:gridCol w:w="2410"/>
        <w:gridCol w:w="2341"/>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从公司获得的税前报酬总额</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是否在公司关联方获取报酬</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134.75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庄展诺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熊谨慎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任顺标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肖幼美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1418"/>
        <w:gridCol w:w="709"/>
        <w:gridCol w:w="708"/>
        <w:gridCol w:w="851"/>
        <w:gridCol w:w="2410"/>
        <w:gridCol w:w="2341"/>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袁易明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何玉辉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22.29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11.36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张水霞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14.47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67.89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廖伟潭</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28.66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庄超喜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40.76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赵海峰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64.41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于桂添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58.26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曾凡伟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43.87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黎文崇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7"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615.22</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889"/>
        <w:jc w:val="left"/>
      </w:pPr>
      <w:r>
        <w:rPr/>
        <w:t>公司董事、高级管理人员报告期内被授予的股权激励情况</w:t>
      </w:r>
    </w:p>
    <w:p>
      <w:pPr>
        <w:pStyle w:val="BodyText"/>
        <w:spacing w:line="240" w:lineRule="auto" w:before="117"/>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89"/>
        <w:jc w:val="left"/>
        <w:rPr>
          <w:b w:val="0"/>
          <w:bCs w:val="0"/>
        </w:rPr>
      </w:pPr>
      <w:bookmarkStart w:name="五、公司员工情况" w:id="122"/>
      <w:bookmarkEnd w:id="122"/>
      <w:r>
        <w:rPr>
          <w:b w:val="0"/>
          <w:bCs w:val="0"/>
        </w:rPr>
      </w:r>
      <w:r>
        <w:rPr/>
        <w:t>五、公司员工情况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89"/>
        <w:jc w:val="left"/>
        <w:rPr>
          <w:b w:val="0"/>
          <w:bCs w:val="0"/>
        </w:rPr>
      </w:pPr>
      <w:bookmarkStart w:name="1、员工数量、专业构成及教育程度" w:id="123"/>
      <w:bookmarkEnd w:id="12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w:t>
            </w:r>
          </w:p>
        </w:tc>
      </w:tr>
    </w:tbl>
    <w:p>
      <w:pPr>
        <w:spacing w:line="240" w:lineRule="auto" w:before="2"/>
        <w:rPr>
          <w:rFonts w:ascii="宋体" w:hAnsi="宋体" w:cs="宋体" w:eastAsia="宋体" w:hint="default"/>
          <w:b/>
          <w:bCs/>
          <w:sz w:val="19"/>
          <w:szCs w:val="19"/>
        </w:rPr>
      </w:pPr>
    </w:p>
    <w:p>
      <w:pPr>
        <w:spacing w:before="35"/>
        <w:ind w:left="154" w:right="889" w:firstLine="0"/>
        <w:jc w:val="left"/>
        <w:rPr>
          <w:rFonts w:ascii="宋体" w:hAnsi="宋体" w:cs="宋体" w:eastAsia="宋体" w:hint="default"/>
          <w:sz w:val="21"/>
          <w:szCs w:val="21"/>
        </w:rPr>
      </w:pPr>
      <w:bookmarkStart w:name="2、薪酬政策" w:id="124"/>
      <w:bookmarkEnd w:id="12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9" w:lineRule="auto"/>
        <w:ind w:left="154" w:right="1133" w:firstLine="360"/>
        <w:jc w:val="both"/>
      </w:pPr>
      <w:r>
        <w:rPr>
          <w:spacing w:val="-2"/>
        </w:rPr>
        <w:t>公司建有完善的薪酬考核体系，根据经营效益、未来发展目标及装饰行业薪酬水平等确定薪酬总体水平，通过绩效管理</w:t>
      </w:r>
      <w:r>
        <w:rPr/>
        <w:t> 实现公司经营目标，并确定员工薪酬。</w:t>
      </w:r>
    </w:p>
    <w:p>
      <w:pPr>
        <w:spacing w:line="240" w:lineRule="auto" w:before="4"/>
        <w:rPr>
          <w:rFonts w:ascii="宋体" w:hAnsi="宋体" w:cs="宋体" w:eastAsia="宋体" w:hint="default"/>
          <w:sz w:val="22"/>
          <w:szCs w:val="22"/>
        </w:rPr>
      </w:pPr>
    </w:p>
    <w:p>
      <w:pPr>
        <w:pStyle w:val="Heading3"/>
        <w:spacing w:line="240" w:lineRule="auto"/>
        <w:ind w:left="154" w:right="889"/>
        <w:jc w:val="left"/>
        <w:rPr>
          <w:b w:val="0"/>
          <w:bCs w:val="0"/>
        </w:rPr>
      </w:pPr>
      <w:bookmarkStart w:name="3、培训计划" w:id="125"/>
      <w:bookmarkEnd w:id="12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360"/>
        <w:jc w:val="both"/>
      </w:pPr>
      <w:r>
        <w:rPr>
          <w:spacing w:val="-2"/>
        </w:rPr>
        <w:t>公司重视员工的培训，建立了有完善的培训体系。公司战略指导思想和经营指导思想为规范准则，以入职培训、岗位技</w:t>
      </w:r>
      <w:r>
        <w:rPr/>
        <w:t> </w:t>
      </w:r>
      <w:r>
        <w:rPr>
          <w:spacing w:val="-2"/>
        </w:rPr>
        <w:t>能培训、经营理念培训为重点，以素质和能力建设为核心，逐步形成与企业发展相适应、符合员工成长规律的多层次、分类</w:t>
      </w:r>
      <w:r>
        <w:rPr>
          <w:spacing w:val="-66"/>
        </w:rPr>
        <w:t> </w:t>
      </w:r>
      <w:r>
        <w:rPr>
          <w:spacing w:val="-66"/>
        </w:rPr>
      </w:r>
      <w:r>
        <w:rPr/>
        <w:t>别、多形式、重实效、充满活力的培训格局。</w:t>
      </w:r>
    </w:p>
    <w:p>
      <w:pPr>
        <w:spacing w:line="240" w:lineRule="auto" w:before="4"/>
        <w:rPr>
          <w:rFonts w:ascii="宋体" w:hAnsi="宋体" w:cs="宋体" w:eastAsia="宋体" w:hint="default"/>
          <w:sz w:val="22"/>
          <w:szCs w:val="22"/>
        </w:rPr>
      </w:pPr>
    </w:p>
    <w:p>
      <w:pPr>
        <w:pStyle w:val="Heading3"/>
        <w:spacing w:line="240" w:lineRule="auto"/>
        <w:ind w:left="154" w:right="889"/>
        <w:jc w:val="left"/>
        <w:rPr>
          <w:b w:val="0"/>
          <w:bCs w:val="0"/>
        </w:rPr>
      </w:pPr>
      <w:bookmarkStart w:name="4、劳务外包情况" w:id="126"/>
      <w:bookmarkEnd w:id="12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221"/>
        <w:jc w:val="center"/>
        <w:rPr>
          <w:b w:val="0"/>
          <w:bCs w:val="0"/>
        </w:rPr>
      </w:pPr>
      <w:bookmarkStart w:name="第九节 公司治理" w:id="127"/>
      <w:bookmarkEnd w:id="127"/>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89"/>
        <w:jc w:val="left"/>
        <w:rPr>
          <w:b w:val="0"/>
          <w:bCs w:val="0"/>
        </w:rPr>
      </w:pPr>
      <w:bookmarkStart w:name="一、公司治理的基本状况" w:id="128"/>
      <w:bookmarkEnd w:id="128"/>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1" w:firstLine="360"/>
        <w:jc w:val="both"/>
      </w:pPr>
      <w:r>
        <w:rPr>
          <w:spacing w:val="-2"/>
        </w:rPr>
        <w:t>公司自成立以来，严格按照《公司法》、《证券法》、《深圳证券交易所股票上市规则》等相关法律、法规和规范性文</w:t>
      </w:r>
      <w:r>
        <w:rPr/>
        <w:t> </w:t>
      </w:r>
      <w:r>
        <w:rPr>
          <w:spacing w:val="-2"/>
        </w:rPr>
        <w:t>件及公司章程的要求，加强公司治理和规范运作，建立健全了由股东大会、董事会、监事会、高级管理层组成的规范的公司</w:t>
      </w:r>
      <w:r>
        <w:rPr>
          <w:spacing w:val="-65"/>
        </w:rPr>
        <w:t> </w:t>
      </w:r>
      <w:r>
        <w:rPr>
          <w:spacing w:val="-65"/>
        </w:rPr>
      </w:r>
      <w:r>
        <w:rPr/>
        <w:t>治理架构，制定了严禁务实的内部控制制度，在公司治理的各个方面基本符合《上市公司治理准则》的要求。</w:t>
      </w:r>
    </w:p>
    <w:p>
      <w:pPr>
        <w:pStyle w:val="BodyText"/>
        <w:spacing w:line="316" w:lineRule="auto" w:before="56"/>
        <w:ind w:left="154" w:right="1043" w:firstLine="360"/>
        <w:jc w:val="both"/>
      </w:pP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11</w:t>
      </w:r>
      <w:r>
        <w:rPr/>
        <w:t>日，公司召开创立大会暨第一次股东大会，审议通过了《深圳市中装建设集团股份有限公司章程》，并陆 </w:t>
      </w:r>
      <w:r>
        <w:rPr>
          <w:spacing w:val="-4"/>
        </w:rPr>
        <w:t>续建立相应的配套制度。目前，公司在治理方面的各项规章制度配套齐全，主要有：《公司章程》、《股东大会议事规则》、</w:t>
      </w:r>
    </w:p>
    <w:p>
      <w:pPr>
        <w:pStyle w:val="BodyText"/>
        <w:spacing w:line="319" w:lineRule="auto" w:before="19"/>
        <w:ind w:right="1133"/>
        <w:jc w:val="both"/>
      </w:pPr>
      <w:r>
        <w:rPr>
          <w:spacing w:val="-5"/>
        </w:rPr>
        <w:t>《董事会议事规则》、《监事会议事规则》、《独立董事工作细则》、《总经理工作细则》、《董事会秘书工作细则》、《担</w:t>
      </w:r>
      <w:r>
        <w:rPr>
          <w:spacing w:val="-79"/>
        </w:rPr>
        <w:t> </w:t>
      </w:r>
      <w:r>
        <w:rPr>
          <w:spacing w:val="-79"/>
        </w:rPr>
      </w:r>
      <w:r>
        <w:rPr>
          <w:spacing w:val="-2"/>
        </w:rPr>
        <w:t>保管理办法》、《关联交易决策制度》、《投资管理制度》、《信息披露事务管理制度》、《投资者关系管理制度》、《募</w:t>
      </w:r>
      <w:r>
        <w:rPr>
          <w:spacing w:val="-69"/>
        </w:rPr>
        <w:t> </w:t>
      </w:r>
      <w:r>
        <w:rPr>
          <w:spacing w:val="-69"/>
        </w:rPr>
      </w:r>
      <w:r>
        <w:rPr>
          <w:spacing w:val="-2"/>
        </w:rPr>
        <w:t>集资金管理办法》等管理制度。通过制定和不断完善公司章程、股东大会、董事会、监事会和高级管理层的职权和议事规则</w:t>
      </w:r>
      <w:r>
        <w:rPr>
          <w:spacing w:val="-66"/>
        </w:rPr>
        <w:t> </w:t>
      </w:r>
      <w:r>
        <w:rPr>
          <w:spacing w:val="-66"/>
        </w:rPr>
      </w:r>
      <w:r>
        <w:rPr/>
        <w:t>等相关制度，公司已基本建立起符合股份公司上市要求的公司治理结构。</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889"/>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889"/>
        <w:jc w:val="left"/>
        <w:rPr>
          <w:b w:val="0"/>
          <w:bCs w:val="0"/>
        </w:rPr>
      </w:pPr>
      <w:bookmarkStart w:name="二、公司相对于控股股东在业务、人员、资产、机构、财务等方面的独立情况" w:id="129"/>
      <w:bookmarkEnd w:id="129"/>
      <w:r>
        <w:rPr>
          <w:b w:val="0"/>
          <w:bCs w:val="0"/>
        </w:rPr>
      </w:r>
      <w:r>
        <w:rPr/>
        <w:t>二、公司相对于控股股东在业务、人员、资产、机构、财务等方面的独立情况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889"/>
        <w:jc w:val="left"/>
      </w:pPr>
      <w:r>
        <w:rPr>
          <w:rFonts w:ascii="宋体" w:hAnsi="宋体" w:cs="宋体" w:eastAsia="宋体" w:hint="default"/>
        </w:rPr>
        <w:t>1</w:t>
      </w:r>
      <w:r>
        <w:rPr/>
        <w:t>、资产独立情况 </w:t>
      </w:r>
      <w:r>
        <w:rPr>
          <w:spacing w:val="-2"/>
        </w:rPr>
        <w:t>公司合法拥有与业务经营相关的工程施工系统、辅助施工系统和配套设施。公司对与生产经营相关的房屋、设备、土地</w:t>
      </w:r>
    </w:p>
    <w:p>
      <w:pPr>
        <w:pStyle w:val="BodyText"/>
        <w:spacing w:line="224" w:lineRule="exact"/>
        <w:ind w:left="154" w:right="889"/>
        <w:jc w:val="left"/>
      </w:pPr>
      <w:r>
        <w:rPr/>
        <w:t>使用权、商标、专利等资产均合法拥有所有权或使用权。公司与股东之间的资产产权界定清晰，生产经营场所独立，公司未</w:t>
      </w:r>
    </w:p>
    <w:p>
      <w:pPr>
        <w:pStyle w:val="BodyText"/>
        <w:spacing w:line="360" w:lineRule="auto" w:before="77"/>
        <w:ind w:left="513" w:right="7513" w:hanging="360"/>
        <w:jc w:val="left"/>
      </w:pPr>
      <w:r>
        <w:rPr/>
        <w:t>以资产或信用为各股东的债务提供担保。 </w:t>
      </w:r>
      <w:r>
        <w:rPr>
          <w:rFonts w:ascii="宋体" w:hAnsi="宋体" w:cs="宋体" w:eastAsia="宋体" w:hint="default"/>
        </w:rPr>
        <w:t>2</w:t>
      </w:r>
      <w:r>
        <w:rPr/>
        <w:t>、人员独立情况</w:t>
      </w:r>
    </w:p>
    <w:p>
      <w:pPr>
        <w:pStyle w:val="BodyText"/>
        <w:spacing w:line="319" w:lineRule="auto" w:before="25"/>
        <w:ind w:left="154" w:right="1131" w:firstLine="360"/>
        <w:jc w:val="both"/>
      </w:pPr>
      <w:r>
        <w:rPr>
          <w:spacing w:val="-2"/>
        </w:rPr>
        <w:t>公司拥有自己独立的人事管理部门，独立负责员工劳动、人事和工资管理，与公司控股股东、实际控制人的相关管理体</w:t>
      </w:r>
      <w:r>
        <w:rPr/>
        <w:t> </w:t>
      </w:r>
      <w:r>
        <w:rPr>
          <w:spacing w:val="-2"/>
        </w:rPr>
        <w:t>系完全分离。公司的董事、总经理及其他高级管理人员均通过合法程序选举产生，不存在控股股东、其他任何部门、单位或</w:t>
      </w:r>
      <w:r>
        <w:rPr>
          <w:spacing w:val="-66"/>
        </w:rPr>
        <w:t> </w:t>
      </w:r>
      <w:r>
        <w:rPr>
          <w:spacing w:val="-66"/>
        </w:rPr>
      </w:r>
      <w:r>
        <w:rPr>
          <w:spacing w:val="-2"/>
        </w:rPr>
        <w:t>人士违反《公司章程》规定干预公司人事任免的情况。公司总经理、副总经理、财务总监和董事会秘书等高级管理人员没有</w:t>
      </w:r>
      <w:r>
        <w:rPr>
          <w:spacing w:val="-66"/>
        </w:rPr>
        <w:t> </w:t>
      </w:r>
      <w:r>
        <w:rPr>
          <w:spacing w:val="-66"/>
        </w:rPr>
      </w:r>
      <w:r>
        <w:rPr>
          <w:spacing w:val="-2"/>
        </w:rPr>
        <w:t>在控股股东、实际控制人及其控制的其他企业中担任除董事、监事以外的其他职务，也没有在控股股东、实际控制人及其控</w:t>
      </w:r>
      <w:r>
        <w:rPr>
          <w:spacing w:val="-66"/>
        </w:rPr>
        <w:t> </w:t>
      </w:r>
      <w:r>
        <w:rPr>
          <w:spacing w:val="-66"/>
        </w:rPr>
      </w:r>
      <w:r>
        <w:rPr/>
        <w:t>制的其他企业领薪。公司的财务人员也没有在控股股东、实际控制人及其控制的其他企业中兼职。</w:t>
      </w:r>
    </w:p>
    <w:p>
      <w:pPr>
        <w:pStyle w:val="BodyText"/>
        <w:spacing w:line="357" w:lineRule="auto" w:before="56"/>
        <w:ind w:left="514" w:right="889"/>
        <w:jc w:val="left"/>
      </w:pPr>
      <w:r>
        <w:rPr>
          <w:rFonts w:ascii="宋体" w:hAnsi="宋体" w:cs="宋体" w:eastAsia="宋体" w:hint="default"/>
        </w:rPr>
        <w:t>3</w:t>
      </w:r>
      <w:r>
        <w:rPr/>
        <w:t>、财务独立情况 </w:t>
      </w:r>
      <w:r>
        <w:rPr>
          <w:spacing w:val="-2"/>
        </w:rPr>
        <w:t>公司设有独立的财务部门，建立了独立、健全、规范的会计核算体系和财务管理制度，独立做出财务决策。现有财务人</w:t>
      </w:r>
    </w:p>
    <w:p>
      <w:pPr>
        <w:pStyle w:val="BodyText"/>
        <w:spacing w:line="224" w:lineRule="exact"/>
        <w:ind w:left="154" w:right="889"/>
        <w:jc w:val="left"/>
      </w:pPr>
      <w:r>
        <w:rPr/>
        <w:t>员均专职在公司工作，未在股东单位及其他企业任职。公司设有独立的财务部门并配有专职会计人员。公司及各下属子公司</w:t>
      </w:r>
    </w:p>
    <w:p>
      <w:pPr>
        <w:pStyle w:val="BodyText"/>
        <w:spacing w:line="357" w:lineRule="auto" w:before="77"/>
        <w:ind w:left="514" w:right="5532" w:hanging="360"/>
        <w:jc w:val="left"/>
      </w:pPr>
      <w:r>
        <w:rPr/>
        <w:t>均独立在银行开立账户，不存在与控股股东共用银行账户的情况。 </w:t>
      </w:r>
      <w:r>
        <w:rPr>
          <w:rFonts w:ascii="宋体" w:hAnsi="宋体" w:cs="宋体" w:eastAsia="宋体" w:hint="default"/>
        </w:rPr>
        <w:t>4</w:t>
      </w:r>
      <w:r>
        <w:rPr/>
        <w:t>、机构独立情况</w:t>
      </w:r>
    </w:p>
    <w:p>
      <w:pPr>
        <w:pStyle w:val="BodyText"/>
        <w:spacing w:line="319" w:lineRule="auto" w:before="26"/>
        <w:ind w:left="154" w:right="1032" w:firstLine="360"/>
        <w:jc w:val="left"/>
      </w:pPr>
      <w:r>
        <w:rPr>
          <w:spacing w:val="-2"/>
        </w:rPr>
        <w:t>公司各级管理部门和各机构独立于控股股东、实际控制人及其控制的其他企业运作，依法行使各自职权，不存在股东单</w:t>
      </w:r>
      <w:r>
        <w:rPr/>
        <w:t> 位和其他关联单位或个人干预公司机构设置的情况。公司建立了较为高效完善的组织结构，拥有完整的施工、设计、研发、 </w:t>
      </w:r>
      <w:r>
        <w:rPr>
          <w:spacing w:val="-2"/>
        </w:rPr>
        <w:t>采购、销售系统及配套服务部门，独立行使经营管理权，不存在与控股股东、实际控制人及其控制的其他企业机构混同的情</w:t>
      </w:r>
      <w:r>
        <w:rPr>
          <w:spacing w:val="-66"/>
        </w:rPr>
        <w:t> </w:t>
      </w:r>
      <w:r>
        <w:rPr>
          <w:spacing w:val="-66"/>
        </w:rPr>
      </w:r>
      <w:r>
        <w:rPr/>
        <w:t>形。</w:t>
      </w:r>
    </w:p>
    <w:p>
      <w:pPr>
        <w:pStyle w:val="BodyText"/>
        <w:spacing w:line="240" w:lineRule="auto" w:before="58"/>
        <w:ind w:left="514" w:right="889"/>
        <w:jc w:val="left"/>
      </w:pPr>
      <w:r>
        <w:rPr>
          <w:rFonts w:ascii="宋体" w:hAnsi="宋体" w:cs="宋体" w:eastAsia="宋体" w:hint="default"/>
        </w:rPr>
        <w:t>5</w:t>
      </w:r>
      <w:r>
        <w:rPr/>
        <w:t>、业务独立情况</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2" w:firstLine="360"/>
        <w:jc w:val="both"/>
      </w:pPr>
      <w:r>
        <w:rPr>
          <w:spacing w:val="-2"/>
        </w:rPr>
        <w:t>公司主要从事建筑装饰施工和设计业务，不存在依赖控股股东或其他股东进行采购或销售的情况，业务运营与各股东单</w:t>
      </w:r>
      <w:r>
        <w:rPr/>
        <w:t> </w:t>
      </w:r>
      <w:r>
        <w:rPr>
          <w:spacing w:val="-2"/>
        </w:rPr>
        <w:t>位及实际控制人及其控制的其他企业完全分开，不存在竞争关系。公司业务独立完整，具备独立自主经营并参与市场竞争的</w:t>
      </w:r>
      <w:r>
        <w:rPr>
          <w:spacing w:val="-66"/>
        </w:rPr>
        <w:t> </w:t>
      </w:r>
      <w:r>
        <w:rPr>
          <w:spacing w:val="-66"/>
        </w:rPr>
      </w:r>
      <w:r>
        <w:rPr/>
        <w:t>能力。</w:t>
      </w:r>
    </w:p>
    <w:p>
      <w:pPr>
        <w:spacing w:line="240" w:lineRule="auto" w:before="6"/>
        <w:rPr>
          <w:rFonts w:ascii="宋体" w:hAnsi="宋体" w:cs="宋体" w:eastAsia="宋体" w:hint="default"/>
          <w:sz w:val="20"/>
          <w:szCs w:val="20"/>
        </w:rPr>
      </w:pPr>
    </w:p>
    <w:p>
      <w:pPr>
        <w:pStyle w:val="Heading2"/>
        <w:spacing w:line="240" w:lineRule="auto"/>
        <w:ind w:right="889"/>
        <w:jc w:val="left"/>
        <w:rPr>
          <w:b w:val="0"/>
          <w:bCs w:val="0"/>
        </w:rPr>
      </w:pPr>
      <w:bookmarkStart w:name="三、同业竞争情况" w:id="130"/>
      <w:bookmarkEnd w:id="130"/>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89"/>
        <w:jc w:val="left"/>
        <w:rPr>
          <w:b w:val="0"/>
          <w:bCs w:val="0"/>
        </w:rPr>
      </w:pPr>
      <w:bookmarkStart w:name="四、报告期内召开的年度股东大会和临时股东大会的有关情况" w:id="131"/>
      <w:bookmarkEnd w:id="131"/>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89"/>
        <w:jc w:val="left"/>
        <w:rPr>
          <w:b w:val="0"/>
          <w:bCs w:val="0"/>
        </w:rPr>
      </w:pPr>
      <w:bookmarkStart w:name="1、本报告期股东大会情况" w:id="132"/>
      <w:bookmarkEnd w:id="13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BodyText"/>
        <w:spacing w:line="240" w:lineRule="auto" w:before="44"/>
        <w:ind w:left="0" w:right="1150"/>
        <w:jc w:val="right"/>
      </w:pPr>
      <w:r>
        <w:rPr/>
        <w:pict>
          <v:shape style="position:absolute;margin-left:56.459999pt;margin-top:-232.798264pt;width:479.1pt;height:335.0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240"/>
                    <w:gridCol w:w="1418"/>
                    <w:gridCol w:w="1559"/>
                    <w:gridCol w:w="1560"/>
                    <w:gridCol w:w="21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0"/>
                          <w:jc w:val="both"/>
                          <w:rPr>
                            <w:rFonts w:ascii="宋体" w:hAnsi="宋体" w:cs="宋体" w:eastAsia="宋体" w:hint="default"/>
                            <w:sz w:val="18"/>
                            <w:szCs w:val="18"/>
                          </w:rPr>
                        </w:pPr>
                        <w:r>
                          <w:rPr>
                            <w:rFonts w:ascii="宋体" w:hAnsi="宋体" w:cs="宋体" w:eastAsia="宋体" w:hint="default"/>
                            <w:sz w:val="18"/>
                            <w:szCs w:val="18"/>
                          </w:rPr>
                          <w:t>详见公司刊登在巨潮资讯 网（</w:t>
                        </w:r>
                        <w:hyperlink r:id="rId16">
                          <w:r>
                            <w:rPr>
                              <w:rFonts w:ascii="Times New Roman" w:hAnsi="Times New Roman" w:cs="Times New Roman" w:eastAsia="Times New Roman" w:hint="default"/>
                              <w:sz w:val="18"/>
                              <w:szCs w:val="18"/>
                            </w:rPr>
                            <w:t>www.cninfo.con.cn</w:t>
                          </w:r>
                        </w:hyperlink>
                        <w:r>
                          <w:rPr>
                            <w:rFonts w:ascii="宋体" w:hAnsi="宋体" w:cs="宋体" w:eastAsia="宋体" w:hint="default"/>
                            <w:sz w:val="18"/>
                            <w:szCs w:val="18"/>
                          </w:rPr>
                          <w:t>）</w:t>
                        </w:r>
                      </w:p>
                      <w:p>
                        <w:pPr>
                          <w:pStyle w:val="TableParagraph"/>
                          <w:spacing w:line="309" w:lineRule="auto"/>
                          <w:ind w:left="22" w:right="9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w:t>
                        </w:r>
                        <w:r>
                          <w:rPr>
                            <w:rFonts w:ascii="宋体" w:hAnsi="宋体" w:cs="宋体" w:eastAsia="宋体" w:hint="default"/>
                            <w:spacing w:val="-8"/>
                            <w:sz w:val="18"/>
                            <w:szCs w:val="18"/>
                          </w:rPr>
                          <w:t>大会决议公告》（公告号：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2017-002</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0"/>
                          <w:jc w:val="both"/>
                          <w:rPr>
                            <w:rFonts w:ascii="宋体" w:hAnsi="宋体" w:cs="宋体" w:eastAsia="宋体" w:hint="default"/>
                            <w:sz w:val="18"/>
                            <w:szCs w:val="18"/>
                          </w:rPr>
                        </w:pPr>
                        <w:r>
                          <w:rPr>
                            <w:rFonts w:ascii="宋体" w:hAnsi="宋体" w:cs="宋体" w:eastAsia="宋体" w:hint="default"/>
                            <w:sz w:val="18"/>
                            <w:szCs w:val="18"/>
                          </w:rPr>
                          <w:t>详见公司刊登在巨潮资讯 网（</w:t>
                        </w:r>
                        <w:hyperlink r:id="rId16">
                          <w:r>
                            <w:rPr>
                              <w:rFonts w:ascii="Times New Roman" w:hAnsi="Times New Roman" w:cs="Times New Roman" w:eastAsia="Times New Roman" w:hint="default"/>
                              <w:sz w:val="18"/>
                              <w:szCs w:val="18"/>
                            </w:rPr>
                            <w:t>www.cninfo.con.cn</w:t>
                          </w:r>
                        </w:hyperlink>
                        <w:r>
                          <w:rPr>
                            <w:rFonts w:ascii="宋体" w:hAnsi="宋体" w:cs="宋体" w:eastAsia="宋体" w:hint="default"/>
                            <w:sz w:val="18"/>
                            <w:szCs w:val="18"/>
                          </w:rPr>
                          <w:t>）</w:t>
                        </w:r>
                      </w:p>
                      <w:p>
                        <w:pPr>
                          <w:pStyle w:val="TableParagraph"/>
                          <w:spacing w:line="309" w:lineRule="auto"/>
                          <w:ind w:left="22" w:right="9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 </w:t>
                        </w:r>
                        <w:r>
                          <w:rPr>
                            <w:rFonts w:ascii="宋体" w:hAnsi="宋体" w:cs="宋体" w:eastAsia="宋体" w:hint="default"/>
                            <w:spacing w:val="-8"/>
                            <w:sz w:val="18"/>
                            <w:szCs w:val="18"/>
                          </w:rPr>
                          <w:t>大会决议公告》（公告号：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2017-017</w:t>
                        </w:r>
                        <w:r>
                          <w:rPr>
                            <w:rFonts w:ascii="宋体" w:hAnsi="宋体" w:cs="宋体" w:eastAsia="宋体" w:hint="default"/>
                            <w:sz w:val="18"/>
                            <w:szCs w:val="18"/>
                          </w:rPr>
                          <w:t>）</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0"/>
                          <w:jc w:val="left"/>
                          <w:rPr>
                            <w:rFonts w:ascii="宋体" w:hAnsi="宋体" w:cs="宋体" w:eastAsia="宋体" w:hint="default"/>
                            <w:sz w:val="18"/>
                            <w:szCs w:val="18"/>
                          </w:rPr>
                        </w:pPr>
                        <w:r>
                          <w:rPr>
                            <w:rFonts w:ascii="宋体" w:hAnsi="宋体" w:cs="宋体" w:eastAsia="宋体" w:hint="default"/>
                            <w:sz w:val="18"/>
                            <w:szCs w:val="18"/>
                          </w:rPr>
                          <w:t>详见公司刊登在巨潮资讯 网（</w:t>
                        </w:r>
                        <w:hyperlink r:id="rId16">
                          <w:r>
                            <w:rPr>
                              <w:rFonts w:ascii="Times New Roman" w:hAnsi="Times New Roman" w:cs="Times New Roman" w:eastAsia="Times New Roman" w:hint="default"/>
                              <w:sz w:val="18"/>
                              <w:szCs w:val="18"/>
                            </w:rPr>
                            <w:t>www.cninfo.con.cn</w:t>
                          </w:r>
                        </w:hyperlink>
                        <w:r>
                          <w:rPr>
                            <w:rFonts w:ascii="宋体" w:hAnsi="宋体" w:cs="宋体" w:eastAsia="宋体" w:hint="default"/>
                            <w:sz w:val="18"/>
                            <w:szCs w:val="18"/>
                          </w:rPr>
                          <w:t>）</w:t>
                        </w:r>
                      </w:p>
                      <w:p>
                        <w:pPr>
                          <w:pStyle w:val="TableParagraph"/>
                          <w:spacing w:line="302" w:lineRule="auto"/>
                          <w:ind w:left="22" w:right="12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 </w:t>
                        </w:r>
                        <w:r>
                          <w:rPr>
                            <w:rFonts w:ascii="宋体" w:hAnsi="宋体" w:cs="宋体" w:eastAsia="宋体" w:hint="default"/>
                            <w:spacing w:val="-6"/>
                            <w:sz w:val="18"/>
                            <w:szCs w:val="18"/>
                          </w:rPr>
                          <w:t>公告》（公告号：</w:t>
                        </w:r>
                        <w:r>
                          <w:rPr>
                            <w:rFonts w:ascii="Times New Roman" w:hAnsi="Times New Roman" w:cs="Times New Roman" w:eastAsia="Times New Roman" w:hint="default"/>
                            <w:spacing w:val="-6"/>
                            <w:sz w:val="18"/>
                            <w:szCs w:val="18"/>
                          </w:rPr>
                          <w:t>2017-038</w:t>
                        </w:r>
                      </w:p>
                    </w:tc>
                  </w:tr>
                  <w:tr>
                    <w:trPr>
                      <w:trHeight w:val="165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0"/>
                          <w:jc w:val="both"/>
                          <w:rPr>
                            <w:rFonts w:ascii="宋体" w:hAnsi="宋体" w:cs="宋体" w:eastAsia="宋体" w:hint="default"/>
                            <w:sz w:val="18"/>
                            <w:szCs w:val="18"/>
                          </w:rPr>
                        </w:pPr>
                        <w:r>
                          <w:rPr>
                            <w:rFonts w:ascii="宋体" w:hAnsi="宋体" w:cs="宋体" w:eastAsia="宋体" w:hint="default"/>
                            <w:sz w:val="18"/>
                            <w:szCs w:val="18"/>
                          </w:rPr>
                          <w:t>详见公司刊登在巨潮资讯 网（</w:t>
                        </w:r>
                        <w:hyperlink r:id="rId16">
                          <w:r>
                            <w:rPr>
                              <w:rFonts w:ascii="Times New Roman" w:hAnsi="Times New Roman" w:cs="Times New Roman" w:eastAsia="Times New Roman" w:hint="default"/>
                              <w:sz w:val="18"/>
                              <w:szCs w:val="18"/>
                            </w:rPr>
                            <w:t>www.cninfo.con.cn</w:t>
                          </w:r>
                        </w:hyperlink>
                        <w:r>
                          <w:rPr>
                            <w:rFonts w:ascii="宋体" w:hAnsi="宋体" w:cs="宋体" w:eastAsia="宋体" w:hint="default"/>
                            <w:sz w:val="18"/>
                            <w:szCs w:val="18"/>
                          </w:rPr>
                          <w:t>）</w:t>
                        </w:r>
                      </w:p>
                      <w:p>
                        <w:pPr>
                          <w:pStyle w:val="TableParagraph"/>
                          <w:spacing w:line="309" w:lineRule="auto"/>
                          <w:ind w:left="22" w:right="9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 </w:t>
                        </w:r>
                        <w:r>
                          <w:rPr>
                            <w:rFonts w:ascii="宋体" w:hAnsi="宋体" w:cs="宋体" w:eastAsia="宋体" w:hint="default"/>
                            <w:spacing w:val="-8"/>
                            <w:sz w:val="18"/>
                            <w:szCs w:val="18"/>
                          </w:rPr>
                          <w:t>大会决议公告》（公告号：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2017-065</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3"/>
        <w:spacing w:line="240" w:lineRule="auto" w:before="35"/>
        <w:ind w:left="154" w:right="889"/>
        <w:jc w:val="left"/>
        <w:rPr>
          <w:b w:val="0"/>
          <w:bCs w:val="0"/>
        </w:rPr>
      </w:pPr>
      <w:bookmarkStart w:name="2、表决权恢复的优先股股东请求召开临时股东大会" w:id="133"/>
      <w:bookmarkEnd w:id="13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89"/>
        <w:jc w:val="left"/>
        <w:rPr>
          <w:b w:val="0"/>
          <w:bCs w:val="0"/>
        </w:rPr>
      </w:pPr>
      <w:bookmarkStart w:name="五、报告期内独立董事履行职责的情况" w:id="134"/>
      <w:bookmarkEnd w:id="134"/>
      <w:r>
        <w:rPr>
          <w:b w:val="0"/>
          <w:bCs w:val="0"/>
        </w:rPr>
      </w: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89"/>
        <w:jc w:val="left"/>
        <w:rPr>
          <w:b w:val="0"/>
          <w:bCs w:val="0"/>
        </w:rPr>
      </w:pPr>
      <w:bookmarkStart w:name="1、独立董事出席董事会及股东大会的情况" w:id="135"/>
      <w:bookmarkEnd w:id="13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76"/>
        <w:gridCol w:w="1315"/>
        <w:gridCol w:w="1164"/>
        <w:gridCol w:w="1163"/>
        <w:gridCol w:w="1037"/>
        <w:gridCol w:w="850"/>
        <w:gridCol w:w="1702"/>
        <w:gridCol w:w="1053"/>
      </w:tblGrid>
      <w:tr>
        <w:trPr>
          <w:trHeight w:val="402" w:hRule="exact"/>
        </w:trPr>
        <w:tc>
          <w:tcPr>
            <w:tcW w:w="956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2" w:right="0"/>
              <w:jc w:val="left"/>
              <w:rPr>
                <w:rFonts w:ascii="宋体" w:hAnsi="宋体" w:cs="宋体" w:eastAsia="宋体" w:hint="default"/>
                <w:sz w:val="18"/>
                <w:szCs w:val="18"/>
              </w:rPr>
            </w:pPr>
            <w:r>
              <w:rPr>
                <w:rFonts w:ascii="宋体" w:hAnsi="宋体" w:cs="宋体" w:eastAsia="宋体" w:hint="default"/>
                <w:sz w:val="18"/>
                <w:szCs w:val="18"/>
              </w:rPr>
              <w:t>本报告期应参</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6" w:right="0"/>
              <w:jc w:val="left"/>
              <w:rPr>
                <w:rFonts w:ascii="宋体" w:hAnsi="宋体" w:cs="宋体" w:eastAsia="宋体" w:hint="default"/>
                <w:sz w:val="18"/>
                <w:szCs w:val="18"/>
              </w:rPr>
            </w:pPr>
            <w:r>
              <w:rPr>
                <w:rFonts w:ascii="宋体" w:hAnsi="宋体" w:cs="宋体" w:eastAsia="宋体" w:hint="default"/>
                <w:sz w:val="18"/>
                <w:szCs w:val="18"/>
              </w:rPr>
              <w:t>现场出席董事</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5" w:right="0"/>
              <w:jc w:val="left"/>
              <w:rPr>
                <w:rFonts w:ascii="宋体" w:hAnsi="宋体" w:cs="宋体" w:eastAsia="宋体" w:hint="default"/>
                <w:sz w:val="18"/>
                <w:szCs w:val="18"/>
              </w:rPr>
            </w:pPr>
            <w:r>
              <w:rPr>
                <w:rFonts w:ascii="宋体" w:hAnsi="宋体" w:cs="宋体" w:eastAsia="宋体" w:hint="default"/>
                <w:sz w:val="18"/>
                <w:szCs w:val="18"/>
              </w:rPr>
              <w:t>以通讯方式参</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3" w:right="0"/>
              <w:jc w:val="left"/>
              <w:rPr>
                <w:rFonts w:ascii="宋体" w:hAnsi="宋体" w:cs="宋体" w:eastAsia="宋体" w:hint="default"/>
                <w:sz w:val="18"/>
                <w:szCs w:val="18"/>
              </w:rPr>
            </w:pPr>
            <w:r>
              <w:rPr>
                <w:rFonts w:ascii="宋体" w:hAnsi="宋体" w:cs="宋体" w:eastAsia="宋体" w:hint="default"/>
                <w:sz w:val="18"/>
                <w:szCs w:val="18"/>
              </w:rPr>
              <w:t>委托出席董</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9" w:right="0"/>
              <w:jc w:val="left"/>
              <w:rPr>
                <w:rFonts w:ascii="宋体" w:hAnsi="宋体" w:cs="宋体" w:eastAsia="宋体" w:hint="default"/>
                <w:sz w:val="18"/>
                <w:szCs w:val="18"/>
              </w:rPr>
            </w:pPr>
            <w:r>
              <w:rPr>
                <w:rFonts w:ascii="宋体" w:hAnsi="宋体" w:cs="宋体" w:eastAsia="宋体" w:hint="default"/>
                <w:sz w:val="18"/>
                <w:szCs w:val="18"/>
              </w:rPr>
              <w:t>缺席董事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是否连续两次未亲自</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出席股东大</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1315"/>
        <w:gridCol w:w="1164"/>
        <w:gridCol w:w="1163"/>
        <w:gridCol w:w="1037"/>
        <w:gridCol w:w="850"/>
        <w:gridCol w:w="1702"/>
        <w:gridCol w:w="1064"/>
      </w:tblGrid>
      <w:tr>
        <w:trPr>
          <w:trHeight w:val="36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06" w:right="0"/>
              <w:jc w:val="left"/>
              <w:rPr>
                <w:rFonts w:ascii="宋体" w:hAnsi="宋体" w:cs="宋体" w:eastAsia="宋体" w:hint="default"/>
                <w:sz w:val="18"/>
                <w:szCs w:val="18"/>
              </w:rPr>
            </w:pPr>
            <w:r>
              <w:rPr>
                <w:rFonts w:ascii="宋体" w:hAnsi="宋体" w:cs="宋体" w:eastAsia="宋体" w:hint="default"/>
                <w:sz w:val="18"/>
                <w:szCs w:val="18"/>
              </w:rPr>
              <w:t>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5"/>
              <w:jc w:val="right"/>
              <w:rPr>
                <w:rFonts w:ascii="宋体" w:hAnsi="宋体" w:cs="宋体" w:eastAsia="宋体" w:hint="default"/>
                <w:sz w:val="18"/>
                <w:szCs w:val="18"/>
              </w:rPr>
            </w:pPr>
            <w:r>
              <w:rPr>
                <w:rFonts w:ascii="宋体" w:hAnsi="宋体" w:cs="宋体" w:eastAsia="宋体" w:hint="default"/>
                <w:sz w:val="18"/>
                <w:szCs w:val="18"/>
              </w:rPr>
              <w:t>加董事会次数</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3" w:right="0"/>
              <w:jc w:val="left"/>
              <w:rPr>
                <w:rFonts w:ascii="宋体" w:hAnsi="宋体" w:cs="宋体" w:eastAsia="宋体" w:hint="default"/>
                <w:sz w:val="18"/>
                <w:szCs w:val="18"/>
              </w:rPr>
            </w:pPr>
            <w:r>
              <w:rPr>
                <w:rFonts w:ascii="宋体" w:hAnsi="宋体" w:cs="宋体" w:eastAsia="宋体" w:hint="default"/>
                <w:sz w:val="18"/>
                <w:szCs w:val="18"/>
              </w:rPr>
              <w:t>事会次数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49" w:right="0"/>
              <w:jc w:val="left"/>
              <w:rPr>
                <w:rFonts w:ascii="宋体" w:hAnsi="宋体" w:cs="宋体" w:eastAsia="宋体" w:hint="default"/>
                <w:sz w:val="18"/>
                <w:szCs w:val="18"/>
              </w:rPr>
            </w:pPr>
            <w:r>
              <w:rPr>
                <w:rFonts w:ascii="宋体" w:hAnsi="宋体" w:cs="宋体" w:eastAsia="宋体" w:hint="default"/>
                <w:sz w:val="18"/>
                <w:szCs w:val="18"/>
              </w:rPr>
              <w:t>会次数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5" w:right="0"/>
              <w:jc w:val="left"/>
              <w:rPr>
                <w:rFonts w:ascii="宋体" w:hAnsi="宋体" w:cs="宋体" w:eastAsia="宋体" w:hint="default"/>
                <w:sz w:val="18"/>
                <w:szCs w:val="18"/>
              </w:rPr>
            </w:pPr>
            <w:r>
              <w:rPr>
                <w:rFonts w:ascii="宋体" w:hAnsi="宋体" w:cs="宋体" w:eastAsia="宋体" w:hint="default"/>
                <w:sz w:val="18"/>
                <w:szCs w:val="18"/>
              </w:rPr>
              <w:t>参加董事会会议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6" w:right="0"/>
              <w:jc w:val="left"/>
              <w:rPr>
                <w:rFonts w:ascii="宋体" w:hAnsi="宋体" w:cs="宋体" w:eastAsia="宋体" w:hint="default"/>
                <w:sz w:val="18"/>
                <w:szCs w:val="18"/>
              </w:rPr>
            </w:pPr>
            <w:r>
              <w:rPr>
                <w:rFonts w:ascii="宋体" w:hAnsi="宋体" w:cs="宋体" w:eastAsia="宋体" w:hint="default"/>
                <w:sz w:val="18"/>
                <w:szCs w:val="18"/>
              </w:rPr>
              <w:t>会次数</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肖幼美</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袁易明</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高刚</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2"/>
        <w:rPr>
          <w:rFonts w:ascii="宋体" w:hAnsi="宋体" w:cs="宋体" w:eastAsia="宋体" w:hint="default"/>
          <w:b/>
          <w:bCs/>
          <w:sz w:val="19"/>
          <w:szCs w:val="19"/>
        </w:rPr>
      </w:pPr>
    </w:p>
    <w:p>
      <w:pPr>
        <w:spacing w:before="35"/>
        <w:ind w:left="154" w:right="889" w:firstLine="0"/>
        <w:jc w:val="left"/>
        <w:rPr>
          <w:rFonts w:ascii="宋体" w:hAnsi="宋体" w:cs="宋体" w:eastAsia="宋体" w:hint="default"/>
          <w:sz w:val="21"/>
          <w:szCs w:val="21"/>
        </w:rPr>
      </w:pPr>
      <w:bookmarkStart w:name="2、独立董事对公司有关事项提出异议的情况" w:id="136"/>
      <w:bookmarkEnd w:id="13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154" w:right="889"/>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889"/>
        <w:jc w:val="left"/>
        <w:rPr>
          <w:b w:val="0"/>
          <w:bCs w:val="0"/>
        </w:rPr>
      </w:pPr>
      <w:bookmarkStart w:name="3、独立董事履行职责的其他说明" w:id="137"/>
      <w:bookmarkEnd w:id="13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t>独立董事对公司有关建议是否被采纳</w:t>
      </w:r>
    </w:p>
    <w:p>
      <w:pPr>
        <w:pStyle w:val="BodyText"/>
        <w:spacing w:line="240" w:lineRule="auto" w:before="116"/>
        <w:ind w:right="8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19" w:lineRule="auto" w:before="101"/>
        <w:ind w:right="1033" w:firstLine="420"/>
        <w:jc w:val="left"/>
      </w:pPr>
      <w:r>
        <w:rPr/>
        <w:t>公司独立董事密切关注公司日常生产经营状况及财务状况，并多次对公司进行实地考察，监督董事会决议的执行情况 等；同时积极与其他董事、监事、高管及相关工作人员保持密切联系，关注外部环境及市场变化对公司的影响，关注传媒、 </w:t>
      </w:r>
      <w:r>
        <w:rPr>
          <w:spacing w:val="-2"/>
        </w:rPr>
        <w:t>网络上出现的与公司有关的报道；并利用自身的专业优势，向公司传递同行业龙头企业最新发展动态，在公司的发展战略提</w:t>
      </w:r>
      <w:r>
        <w:rPr>
          <w:spacing w:val="-66"/>
        </w:rPr>
        <w:t> </w:t>
      </w:r>
      <w:r>
        <w:rPr>
          <w:spacing w:val="-66"/>
        </w:rPr>
      </w:r>
      <w:r>
        <w:rPr/>
        <w:t>出宝贵意见。</w:t>
      </w:r>
    </w:p>
    <w:p>
      <w:pPr>
        <w:spacing w:line="240" w:lineRule="auto" w:before="7"/>
        <w:rPr>
          <w:rFonts w:ascii="宋体" w:hAnsi="宋体" w:cs="宋体" w:eastAsia="宋体" w:hint="default"/>
          <w:sz w:val="20"/>
          <w:szCs w:val="20"/>
        </w:rPr>
      </w:pPr>
    </w:p>
    <w:p>
      <w:pPr>
        <w:pStyle w:val="Heading2"/>
        <w:spacing w:line="240" w:lineRule="auto"/>
        <w:ind w:right="889"/>
        <w:jc w:val="left"/>
        <w:rPr>
          <w:b w:val="0"/>
          <w:bCs w:val="0"/>
        </w:rPr>
      </w:pPr>
      <w:bookmarkStart w:name="六、董事会下设专门委员会在报告期内履行职责情况" w:id="138"/>
      <w:bookmarkEnd w:id="138"/>
      <w:r>
        <w:rPr>
          <w:b w:val="0"/>
          <w:bCs w:val="0"/>
        </w:rPr>
      </w:r>
      <w:r>
        <w:rPr/>
        <w:t>六、董事会下设专门委员会在报告期内履行职责情况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1" w:firstLine="360"/>
        <w:jc w:val="both"/>
      </w:pPr>
      <w:r>
        <w:rPr>
          <w:spacing w:val="-2"/>
        </w:rPr>
        <w:t>公司董事会下设审计委员会、提名委员会、薪酬与考核委员会、战略委员会四个专门委员会，并为各专门委员会的有效</w:t>
      </w:r>
      <w:r>
        <w:rPr/>
        <w:t> </w:t>
      </w:r>
      <w:r>
        <w:rPr>
          <w:spacing w:val="-2"/>
        </w:rPr>
        <w:t>履职制定了相应的工作细则。各专门委员会的产生、人员组成及议事程序，均符合相关法律法规、《公司章程》等规定，报</w:t>
      </w:r>
      <w:r>
        <w:rPr>
          <w:spacing w:val="-69"/>
        </w:rPr>
        <w:t> </w:t>
      </w:r>
      <w:r>
        <w:rPr>
          <w:spacing w:val="-69"/>
        </w:rPr>
      </w:r>
      <w:r>
        <w:rPr/>
        <w:t>告期内，公司董事会各专门委员会按照各自工作细则规定，以认真负责的态度忠实勤勉地履行各自职责。</w:t>
      </w:r>
    </w:p>
    <w:p>
      <w:pPr>
        <w:pStyle w:val="BodyText"/>
        <w:spacing w:line="612" w:lineRule="exact" w:before="39"/>
        <w:ind w:left="513" w:right="889" w:hanging="360"/>
        <w:jc w:val="left"/>
      </w:pPr>
      <w:r>
        <w:rPr/>
        <w:t>（</w:t>
      </w:r>
      <w:r>
        <w:rPr>
          <w:rFonts w:ascii="宋体" w:hAnsi="宋体" w:cs="宋体" w:eastAsia="宋体" w:hint="default"/>
        </w:rPr>
        <w:t>1</w:t>
      </w:r>
      <w:r>
        <w:rPr/>
        <w:t>）审计委员会 </w:t>
      </w:r>
      <w:r>
        <w:rPr>
          <w:spacing w:val="-2"/>
        </w:rPr>
        <w:t>审计委员会严格按照中国证监会、深圳证券交易所有关规定及公司《董事会审计委员会工作细则》履行相关职责。报告</w:t>
      </w:r>
    </w:p>
    <w:p>
      <w:pPr>
        <w:pStyle w:val="BodyText"/>
        <w:spacing w:line="215" w:lineRule="exact"/>
        <w:ind w:right="889"/>
        <w:jc w:val="left"/>
      </w:pPr>
      <w:r>
        <w:rPr/>
        <w:t>期内，审计委员会对公司关联交易、财务状况等重大事项进行了审议和监督。在公司年度和半年度审计过程中对公司定期报</w:t>
      </w:r>
    </w:p>
    <w:p>
      <w:pPr>
        <w:pStyle w:val="BodyText"/>
        <w:spacing w:line="240" w:lineRule="auto" w:before="76"/>
        <w:ind w:right="889"/>
        <w:jc w:val="left"/>
      </w:pPr>
      <w:r>
        <w:rPr/>
        <w:t>告进行认真审核；对公司内部控制制度建设情况严格把关。</w:t>
      </w:r>
    </w:p>
    <w:p>
      <w:pPr>
        <w:pStyle w:val="BodyText"/>
        <w:spacing w:line="610" w:lineRule="atLeast" w:before="2"/>
        <w:ind w:left="513" w:right="889" w:hanging="360"/>
        <w:jc w:val="left"/>
      </w:pPr>
      <w:r>
        <w:rPr/>
        <w:t>（</w:t>
      </w:r>
      <w:r>
        <w:rPr>
          <w:rFonts w:ascii="宋体" w:hAnsi="宋体" w:cs="宋体" w:eastAsia="宋体" w:hint="default"/>
        </w:rPr>
        <w:t>2</w:t>
      </w:r>
      <w:r>
        <w:rPr/>
        <w:t>）提名委员会 </w:t>
      </w:r>
      <w:r>
        <w:rPr>
          <w:spacing w:val="-2"/>
        </w:rPr>
        <w:t>提名委员会严格按照中国证监会、深圳证券交易所有关规定及公司《董事会提名委员会工作细则》履行相关职责，根据</w:t>
      </w:r>
    </w:p>
    <w:p>
      <w:pPr>
        <w:pStyle w:val="BodyText"/>
        <w:spacing w:line="316" w:lineRule="auto" w:before="76"/>
        <w:ind w:right="889"/>
        <w:jc w:val="left"/>
      </w:pPr>
      <w:r>
        <w:rPr>
          <w:spacing w:val="-2"/>
        </w:rPr>
        <w:t>公司发展的需要，确定董事、高级管理人员人选的选择标准，广泛搜寻合格的董事和经理人员的后备人选，保证了公司未来</w:t>
      </w:r>
      <w:r>
        <w:rPr>
          <w:spacing w:val="-66"/>
        </w:rPr>
        <w:t> </w:t>
      </w:r>
      <w:r>
        <w:rPr>
          <w:spacing w:val="-66"/>
        </w:rPr>
      </w:r>
      <w:r>
        <w:rPr/>
        <w:t>运营的人才需求。</w:t>
      </w:r>
    </w:p>
    <w:p>
      <w:pPr>
        <w:pStyle w:val="BodyText"/>
        <w:spacing w:line="612" w:lineRule="exact" w:before="39"/>
        <w:ind w:left="514" w:right="889" w:hanging="360"/>
        <w:jc w:val="left"/>
      </w:pPr>
      <w:r>
        <w:rPr/>
        <w:t>（</w:t>
      </w:r>
      <w:r>
        <w:rPr>
          <w:rFonts w:ascii="宋体" w:hAnsi="宋体" w:cs="宋体" w:eastAsia="宋体" w:hint="default"/>
        </w:rPr>
        <w:t>3</w:t>
      </w:r>
      <w:r>
        <w:rPr/>
        <w:t>）薪酬与考核委员会 </w:t>
      </w:r>
      <w:r>
        <w:rPr>
          <w:spacing w:val="-2"/>
        </w:rPr>
        <w:t>薪酬与考核委员会严格按照中国证监会、深圳证券交易所有关规定及公司《董事会薪酬与考核委员会工作细则》履行相</w:t>
      </w:r>
    </w:p>
    <w:p>
      <w:pPr>
        <w:pStyle w:val="BodyText"/>
        <w:spacing w:line="215" w:lineRule="exact"/>
        <w:ind w:left="154" w:right="889"/>
        <w:jc w:val="left"/>
      </w:pPr>
      <w:r>
        <w:rPr/>
        <w:t>关职责，审查公司董事及高级管理人员的履行职责情况，对公司薪酬制度执行情况进行监督。</w:t>
      </w:r>
    </w:p>
    <w:p>
      <w:pPr>
        <w:spacing w:after="0" w:line="215"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889"/>
        <w:jc w:val="left"/>
      </w:pPr>
      <w:r>
        <w:rPr/>
        <w:t>（</w:t>
      </w:r>
      <w:r>
        <w:rPr>
          <w:rFonts w:ascii="宋体" w:hAnsi="宋体" w:cs="宋体" w:eastAsia="宋体" w:hint="default"/>
        </w:rPr>
        <w:t>4</w:t>
      </w:r>
      <w:r>
        <w:rPr/>
        <w:t>）战略委员会</w:t>
      </w:r>
    </w:p>
    <w:p>
      <w:pPr>
        <w:spacing w:line="240" w:lineRule="auto" w:before="0"/>
        <w:rPr>
          <w:rFonts w:ascii="宋体" w:hAnsi="宋体" w:cs="宋体" w:eastAsia="宋体" w:hint="default"/>
          <w:sz w:val="18"/>
          <w:szCs w:val="18"/>
        </w:rPr>
      </w:pPr>
    </w:p>
    <w:p>
      <w:pPr>
        <w:pStyle w:val="BodyText"/>
        <w:spacing w:line="316" w:lineRule="auto" w:before="141"/>
        <w:ind w:right="889" w:firstLine="360"/>
        <w:jc w:val="left"/>
      </w:pPr>
      <w:r>
        <w:rPr>
          <w:spacing w:val="-2"/>
        </w:rPr>
        <w:t>战略委员会严格按照中国证监会、深圳证券交易所有关规定及公司《董事会战略委员会工作细则》履行相关职责，积极</w:t>
      </w:r>
      <w:r>
        <w:rPr/>
        <w:t> 推进上市进度，对影响公司发展的重大事项的实施进行检查和提出建议。</w:t>
      </w:r>
    </w:p>
    <w:p>
      <w:pPr>
        <w:spacing w:line="240" w:lineRule="auto" w:before="10"/>
        <w:rPr>
          <w:rFonts w:ascii="宋体" w:hAnsi="宋体" w:cs="宋体" w:eastAsia="宋体" w:hint="default"/>
          <w:sz w:val="20"/>
          <w:szCs w:val="20"/>
        </w:rPr>
      </w:pPr>
    </w:p>
    <w:p>
      <w:pPr>
        <w:pStyle w:val="Heading2"/>
        <w:spacing w:line="240" w:lineRule="auto"/>
        <w:ind w:right="889"/>
        <w:jc w:val="left"/>
        <w:rPr>
          <w:b w:val="0"/>
          <w:bCs w:val="0"/>
        </w:rPr>
      </w:pPr>
      <w:bookmarkStart w:name="七、监事会工作情况" w:id="139"/>
      <w:bookmarkEnd w:id="139"/>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89"/>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889"/>
        <w:jc w:val="left"/>
        <w:rPr>
          <w:b w:val="0"/>
          <w:bCs w:val="0"/>
        </w:rPr>
      </w:pPr>
      <w:bookmarkStart w:name="八、高级管理人员的考评及激励情况" w:id="140"/>
      <w:bookmarkEnd w:id="140"/>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firstLine="360"/>
        <w:jc w:val="left"/>
      </w:pPr>
      <w:r>
        <w:rPr/>
        <w:t>公司由董事会薪酬与考核委员会参考同行业薪资水平、通胀水平、公司盈利状况等，对高级管理人员的个人工作能力、 履职情况、工作目标完成情况等进行综合考评并形成年度薪酬方案，报董事会批准。</w:t>
      </w:r>
    </w:p>
    <w:p>
      <w:pPr>
        <w:pStyle w:val="BodyText"/>
        <w:spacing w:line="319" w:lineRule="auto" w:before="55"/>
        <w:ind w:right="889" w:firstLine="307"/>
        <w:jc w:val="left"/>
      </w:pPr>
      <w:r>
        <w:rPr>
          <w:spacing w:val="-1"/>
        </w:rPr>
        <w:t>报告期内，公司高级管理人员领取的薪酬与披露的情况一致，符合行业发展及公司发展现状，不存在违反法律法规及相</w:t>
      </w:r>
      <w:r>
        <w:rPr/>
        <w:t> 关规定的情形。</w:t>
      </w:r>
    </w:p>
    <w:p>
      <w:pPr>
        <w:spacing w:line="240" w:lineRule="auto" w:before="6"/>
        <w:rPr>
          <w:rFonts w:ascii="宋体" w:hAnsi="宋体" w:cs="宋体" w:eastAsia="宋体" w:hint="default"/>
          <w:sz w:val="20"/>
          <w:szCs w:val="20"/>
        </w:rPr>
      </w:pPr>
    </w:p>
    <w:p>
      <w:pPr>
        <w:pStyle w:val="Heading2"/>
        <w:spacing w:line="240" w:lineRule="auto"/>
        <w:ind w:right="889"/>
        <w:jc w:val="left"/>
        <w:rPr>
          <w:b w:val="0"/>
          <w:bCs w:val="0"/>
        </w:rPr>
      </w:pPr>
      <w:bookmarkStart w:name="九、内部控制评价报告" w:id="141"/>
      <w:bookmarkEnd w:id="141"/>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89"/>
        <w:jc w:val="left"/>
        <w:rPr>
          <w:b w:val="0"/>
          <w:bCs w:val="0"/>
        </w:rPr>
      </w:pPr>
      <w:bookmarkStart w:name="1、报告期内发现的内部控制重大缺陷的具体情况" w:id="142"/>
      <w:bookmarkEnd w:id="14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889"/>
        <w:jc w:val="left"/>
        <w:rPr>
          <w:b w:val="0"/>
          <w:bCs w:val="0"/>
        </w:rPr>
      </w:pPr>
      <w:bookmarkStart w:name="2、内控自我评价报告" w:id="143"/>
      <w:bookmarkEnd w:id="14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before="44"/>
        <w:ind w:left="0" w:right="1139"/>
        <w:jc w:val="right"/>
      </w:pPr>
      <w:r>
        <w:rPr/>
        <w:pict>
          <v:shape style="position:absolute;margin-left:56.459999pt;margin-top:-152.708282pt;width:479.2pt;height:279.650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8"/>
                    <w:gridCol w:w="1055"/>
                    <w:gridCol w:w="2075"/>
                    <w:gridCol w:w="4311"/>
                  </w:tblGrid>
                  <w:tr>
                    <w:trPr>
                      <w:trHeight w:val="402"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402"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年度内部控制评价报告》详见巨潮资讯网（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4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078" w:hRule="exact"/>
                    </w:trPr>
                    <w:tc>
                      <w:tcPr>
                        <w:tcW w:w="2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29" w:type="dxa"/>
                        <w:gridSpan w:val="2"/>
                        <w:vMerge w:val="restart"/>
                        <w:tcBorders>
                          <w:top w:val="single" w:sz="4" w:space="0" w:color="000000"/>
                          <w:left w:val="single" w:sz="9" w:space="0" w:color="D2D2D2"/>
                          <w:right w:val="single" w:sz="13" w:space="0" w:color="FFFFFF"/>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16" w:right="-33"/>
                          <w:jc w:val="both"/>
                          <w:rPr>
                            <w:rFonts w:ascii="宋体" w:hAnsi="宋体" w:cs="宋体" w:eastAsia="宋体" w:hint="default"/>
                            <w:sz w:val="18"/>
                            <w:szCs w:val="18"/>
                          </w:rPr>
                        </w:pPr>
                        <w:r>
                          <w:rPr>
                            <w:rFonts w:ascii="宋体" w:hAnsi="宋体" w:cs="宋体" w:eastAsia="宋体" w:hint="default"/>
                            <w:sz w:val="18"/>
                            <w:szCs w:val="18"/>
                          </w:rPr>
                          <w:t>重大缺陷：导致不能及时防止、发现并 </w:t>
                        </w:r>
                        <w:r>
                          <w:rPr>
                            <w:rFonts w:ascii="宋体" w:hAnsi="宋体" w:cs="宋体" w:eastAsia="宋体" w:hint="default"/>
                            <w:spacing w:val="-7"/>
                            <w:sz w:val="18"/>
                            <w:szCs w:val="18"/>
                          </w:rPr>
                          <w:t>纠正财务报表中的重大错报；重要缺陷：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虽然未达到和超过重要性水平、但仍应</w:t>
                        </w:r>
                        <w:r>
                          <w:rPr>
                            <w:rFonts w:ascii="宋体" w:hAnsi="宋体" w:cs="宋体" w:eastAsia="宋体" w:hint="default"/>
                            <w:sz w:val="18"/>
                            <w:szCs w:val="18"/>
                          </w:rPr>
                          <w:t> 引起董事会和经理层重视的错报；一般 缺陷：不构成重大缺陷和重要缺陷的财 务报告内部控制缺陷。</w:t>
                        </w:r>
                      </w:p>
                    </w:tc>
                    <w:tc>
                      <w:tcPr>
                        <w:tcW w:w="4311" w:type="dxa"/>
                        <w:vMerge w:val="restart"/>
                        <w:tcBorders>
                          <w:top w:val="single" w:sz="4" w:space="0" w:color="000000"/>
                          <w:left w:val="single" w:sz="13" w:space="0" w:color="FFFFFF"/>
                          <w:right w:val="single" w:sz="4" w:space="0" w:color="000000"/>
                        </w:tcBorders>
                      </w:tcPr>
                      <w:p>
                        <w:pPr>
                          <w:pStyle w:val="TableParagraph"/>
                          <w:spacing w:line="314" w:lineRule="auto" w:before="52"/>
                          <w:ind w:right="20"/>
                          <w:jc w:val="left"/>
                          <w:rPr>
                            <w:rFonts w:ascii="宋体" w:hAnsi="宋体" w:cs="宋体" w:eastAsia="宋体" w:hint="default"/>
                            <w:sz w:val="18"/>
                            <w:szCs w:val="18"/>
                          </w:rPr>
                        </w:pPr>
                        <w:r>
                          <w:rPr>
                            <w:rFonts w:ascii="宋体" w:hAnsi="宋体" w:cs="宋体" w:eastAsia="宋体" w:hint="default"/>
                            <w:spacing w:val="-7"/>
                            <w:sz w:val="18"/>
                            <w:szCs w:val="18"/>
                          </w:rPr>
                          <w:t>重大缺陷为关于企业安全、环保、社会责任、执业道德</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经营状况的负面消息流传全国各地，被政府或监管机构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专项调查，引起公众媒体连续专题报道，企业因此出现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6"/>
                            <w:sz w:val="18"/>
                            <w:szCs w:val="18"/>
                          </w:rPr>
                          <w:t>资金借贷和回收、行政许可被暂停或吊销、资产被质押</w:t>
                        </w:r>
                        <w:r>
                          <w:rPr>
                            <w:rFonts w:ascii="宋体" w:hAnsi="宋体" w:cs="宋体" w:eastAsia="宋体" w:hint="default"/>
                            <w:sz w:val="18"/>
                            <w:szCs w:val="18"/>
                          </w:rPr>
                          <w:t> </w:t>
                        </w:r>
                        <w:r>
                          <w:rPr>
                            <w:rFonts w:ascii="宋体" w:hAnsi="宋体" w:cs="宋体" w:eastAsia="宋体" w:hint="default"/>
                            <w:spacing w:val="-4"/>
                            <w:sz w:val="18"/>
                            <w:szCs w:val="18"/>
                          </w:rPr>
                          <w:t>大量索偿等不利条件（发生Ⅰ级群体事件）；重要缺陷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为关于企业安全、环保、社会责任、执业道德、经营状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况的负面消息，被全国性媒体持续报道</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次以上，受到</w:t>
                        </w:r>
                        <w:r>
                          <w:rPr>
                            <w:rFonts w:ascii="宋体" w:hAnsi="宋体" w:cs="宋体" w:eastAsia="宋体" w:hint="default"/>
                            <w:sz w:val="18"/>
                            <w:szCs w:val="18"/>
                          </w:rPr>
                          <w:t> </w:t>
                        </w:r>
                        <w:r>
                          <w:rPr>
                            <w:rFonts w:ascii="宋体" w:hAnsi="宋体" w:cs="宋体" w:eastAsia="宋体" w:hint="default"/>
                            <w:spacing w:val="-3"/>
                            <w:sz w:val="18"/>
                            <w:szCs w:val="18"/>
                          </w:rPr>
                          <w:t>行业或监管机构关注、调查、在行业范围内造成较大不</w:t>
                        </w:r>
                      </w:p>
                    </w:tc>
                  </w:tr>
                  <w:tr>
                    <w:trPr>
                      <w:trHeight w:val="393" w:hRule="exact"/>
                    </w:trPr>
                    <w:tc>
                      <w:tcPr>
                        <w:tcW w:w="21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129" w:type="dxa"/>
                        <w:gridSpan w:val="2"/>
                        <w:vMerge/>
                        <w:tcBorders>
                          <w:left w:val="single" w:sz="9" w:space="0" w:color="D2D2D2"/>
                          <w:right w:val="single" w:sz="13" w:space="0" w:color="FFFFFF"/>
                        </w:tcBorders>
                      </w:tcPr>
                      <w:p>
                        <w:pPr/>
                      </w:p>
                    </w:tc>
                    <w:tc>
                      <w:tcPr>
                        <w:tcW w:w="4311" w:type="dxa"/>
                        <w:vMerge/>
                        <w:tcBorders>
                          <w:left w:val="single" w:sz="13" w:space="0" w:color="FFFFFF"/>
                          <w:right w:val="single" w:sz="4" w:space="0" w:color="000000"/>
                        </w:tcBorders>
                      </w:tcPr>
                      <w:p>
                        <w:pPr/>
                      </w:p>
                    </w:tc>
                  </w:tr>
                  <w:tr>
                    <w:trPr>
                      <w:trHeight w:val="1076" w:hRule="exact"/>
                    </w:trPr>
                    <w:tc>
                      <w:tcPr>
                        <w:tcW w:w="2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29" w:type="dxa"/>
                        <w:gridSpan w:val="2"/>
                        <w:vMerge/>
                        <w:tcBorders>
                          <w:left w:val="single" w:sz="9" w:space="0" w:color="D2D2D2"/>
                          <w:bottom w:val="single" w:sz="4" w:space="0" w:color="000000"/>
                          <w:right w:val="single" w:sz="13" w:space="0" w:color="FFFFFF"/>
                        </w:tcBorders>
                      </w:tcPr>
                      <w:p>
                        <w:pPr/>
                      </w:p>
                    </w:tc>
                    <w:tc>
                      <w:tcPr>
                        <w:tcW w:w="4311" w:type="dxa"/>
                        <w:vMerge/>
                        <w:tcBorders>
                          <w:left w:val="single" w:sz="13" w:space="0" w:color="FFFFFF"/>
                          <w:bottom w:val="single" w:sz="4" w:space="0" w:color="000000"/>
                          <w:right w:val="single" w:sz="4" w:space="0" w:color="000000"/>
                        </w:tcBorders>
                      </w:tcPr>
                      <w:p>
                        <w:pPr/>
                      </w:p>
                    </w:tc>
                  </w:tr>
                </w:tbl>
                <w:p>
                  <w:pPr/>
                </w:p>
              </w:txbxContent>
            </v:textbox>
            <w10:wrap type="none"/>
          </v:shape>
        </w:pict>
      </w:r>
      <w:r>
        <w:rPr/>
        <w:t>、</w:t>
      </w:r>
    </w:p>
    <w:p>
      <w:pPr>
        <w:spacing w:line="240" w:lineRule="auto" w:before="10"/>
        <w:rPr>
          <w:rFonts w:ascii="宋体" w:hAnsi="宋体" w:cs="宋体" w:eastAsia="宋体" w:hint="default"/>
          <w:sz w:val="28"/>
          <w:szCs w:val="28"/>
        </w:rPr>
      </w:pPr>
    </w:p>
    <w:p>
      <w:pPr>
        <w:spacing w:line="312" w:lineRule="exact"/>
        <w:ind w:left="5427"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213.4pt;height:15.6pt;mso-position-horizontal-relative:char;mso-position-vertical-relative:line" coordorigin="0,0" coordsize="4268,312">
            <v:group style="position:absolute;left:0;top:0;width:4268;height:312" coordorigin="0,0" coordsize="4268,312">
              <v:shape style="position:absolute;left:0;top:0;width:4268;height:312" coordorigin="0,0" coordsize="4268,312" path="m0,312l4268,312,4268,0,0,0,0,312xe" filled="true" fillcolor="#ffffff" stroked="false">
                <v:path arrowok="t"/>
                <v:fill type="solid"/>
              </v:shape>
            </v:group>
          </v:group>
        </w:pict>
      </w:r>
      <w:r>
        <w:rPr>
          <w:rFonts w:ascii="宋体" w:hAnsi="宋体" w:cs="宋体" w:eastAsia="宋体" w:hint="default"/>
          <w:position w:val="-5"/>
          <w:sz w:val="20"/>
          <w:szCs w:val="20"/>
        </w:rPr>
      </w:r>
    </w:p>
    <w:p>
      <w:pPr>
        <w:pStyle w:val="BodyText"/>
        <w:spacing w:line="240" w:lineRule="auto" w:before="10"/>
        <w:ind w:left="0" w:right="1140"/>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0" w:right="1140"/>
        <w:jc w:val="right"/>
      </w:pPr>
      <w:r>
        <w:rPr/>
        <w:pict>
          <v:shape style="position:absolute;margin-left:56.459999pt;margin-top:-16.608294pt;width:479.2pt;height:290.7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3119"/>
                    <w:gridCol w:w="4323"/>
                  </w:tblGrid>
                  <w:tr>
                    <w:trPr>
                      <w:trHeight w:val="161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30"/>
                          <w:jc w:val="left"/>
                          <w:rPr>
                            <w:rFonts w:ascii="宋体" w:hAnsi="宋体" w:cs="宋体" w:eastAsia="宋体" w:hint="default"/>
                            <w:sz w:val="18"/>
                            <w:szCs w:val="18"/>
                          </w:rPr>
                        </w:pPr>
                        <w:r>
                          <w:rPr>
                            <w:rFonts w:ascii="宋体" w:hAnsi="宋体" w:cs="宋体" w:eastAsia="宋体" w:hint="default"/>
                            <w:spacing w:val="-4"/>
                            <w:sz w:val="18"/>
                            <w:szCs w:val="18"/>
                          </w:rPr>
                          <w:t>良影响（发生Ⅱ群体性事件）；一般缺陷为关于企业安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全、环保、社会责任、执业道德、经营状况的负面消息</w:t>
                        </w:r>
                        <w:r>
                          <w:rPr>
                            <w:rFonts w:ascii="宋体" w:hAnsi="宋体" w:cs="宋体" w:eastAsia="宋体" w:hint="default"/>
                            <w:sz w:val="18"/>
                            <w:szCs w:val="18"/>
                          </w:rPr>
                          <w:t> 被全国性媒体持续报道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次（含）以下，省、自治区、 </w:t>
                        </w:r>
                        <w:r>
                          <w:rPr>
                            <w:rFonts w:ascii="宋体" w:hAnsi="宋体" w:cs="宋体" w:eastAsia="宋体" w:hint="default"/>
                            <w:spacing w:val="-3"/>
                            <w:sz w:val="18"/>
                            <w:szCs w:val="18"/>
                          </w:rPr>
                          <w:t>直辖市政府部门或企业要求报告，对企业声誉造成一定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5"/>
                            <w:sz w:val="18"/>
                            <w:szCs w:val="18"/>
                          </w:rPr>
                          <w:t>不良影响（发生Ⅲ或Ⅳ级群体性事件）。</w:t>
                        </w:r>
                      </w:p>
                    </w:tc>
                  </w:tr>
                  <w:tr>
                    <w:trPr>
                      <w:trHeight w:val="1338"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重大缺陷为错报金额高于上年税前利润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以上；重要缺陷为错报金额高于 上年税前利润的</w:t>
                        </w:r>
                        <w:r>
                          <w:rPr>
                            <w:rFonts w:ascii="宋体" w:hAnsi="宋体" w:cs="宋体" w:eastAsia="宋体" w:hint="default"/>
                            <w:spacing w:val="-38"/>
                            <w:sz w:val="18"/>
                            <w:szCs w:val="18"/>
                          </w:rPr>
                          <w:t> </w:t>
                        </w:r>
                        <w:r>
                          <w:rPr>
                            <w:rFonts w:ascii="Times New Roman" w:hAnsi="Times New Roman" w:cs="Times New Roman" w:eastAsia="Times New Roman" w:hint="default"/>
                            <w:spacing w:val="-7"/>
                            <w:sz w:val="18"/>
                            <w:szCs w:val="18"/>
                          </w:rPr>
                          <w:t>3-5%</w:t>
                        </w:r>
                        <w:r>
                          <w:rPr>
                            <w:rFonts w:ascii="宋体" w:hAnsi="宋体" w:cs="宋体" w:eastAsia="宋体" w:hint="default"/>
                            <w:spacing w:val="-7"/>
                            <w:sz w:val="18"/>
                            <w:szCs w:val="18"/>
                          </w:rPr>
                          <w:t>；一般缺陷为错报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金额低于上年税前利润的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以下。</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重大缺陷为造成</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万元以上直接财产损失；重要缺</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陷为造成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万元的直接财产损失；一般缺陷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为造成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万元以下的直接财产损失。</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7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7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7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7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2"/>
        <w:spacing w:line="240" w:lineRule="auto" w:before="26"/>
        <w:ind w:left="154" w:right="889"/>
        <w:jc w:val="left"/>
        <w:rPr>
          <w:b w:val="0"/>
          <w:bCs w:val="0"/>
        </w:rPr>
      </w:pPr>
      <w:bookmarkStart w:name="十、内部控制审计报告或鉴证报告" w:id="144"/>
      <w:bookmarkEnd w:id="144"/>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89"/>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我们认为，中装建设按照《企业内部控制基本规范》及相关规范于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日在所有重大方面保持了有效的与财 务报告有关的内部控制。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年度内部控制评价报告》详见巨潮资讯网（</w:t>
            </w:r>
            <w:r>
              <w:rPr>
                <w:rFonts w:ascii="Times New Roman" w:hAnsi="Times New Roman" w:cs="Times New Roman" w:eastAsia="Times New Roman" w:hint="default"/>
                <w:color w:val="0000FF"/>
                <w:sz w:val="18"/>
                <w:szCs w:val="18"/>
              </w:rPr>
            </w:r>
            <w:hyperlink r:id="rId13">
              <w:r>
                <w:rPr>
                  <w:rFonts w:ascii="Times New Roman" w:hAnsi="Times New Roman" w:cs="Times New Roman" w:eastAsia="Times New Roman" w:hint="default"/>
                  <w:color w:val="0000FF"/>
                  <w:sz w:val="18"/>
                  <w:szCs w:val="18"/>
                  <w:u w:val="single" w:color="0000FF"/>
                </w:rPr>
                <w:t>http://www.cninfo.com.cn</w:t>
              </w:r>
              <w:r>
                <w:rPr>
                  <w:rFonts w:ascii="Times New Roman" w:hAnsi="Times New Roman" w:cs="Times New Roman" w:eastAsia="Times New Roman" w:hint="default"/>
                  <w:color w:val="0000FF"/>
                  <w:sz w:val="18"/>
                  <w:szCs w:val="18"/>
                </w:rPr>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889"/>
        <w:jc w:val="left"/>
      </w:pPr>
      <w:r>
        <w:rPr/>
        <w:t>会计师事务所是否出具非标准意见的内部控制审计报告</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0"/>
        <w:ind w:right="8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889"/>
        <w:jc w:val="left"/>
        <w:rPr>
          <w:b w:val="0"/>
          <w:bCs w:val="0"/>
        </w:rPr>
      </w:pPr>
      <w:bookmarkStart w:name="第十节 公司债券相关情况" w:id="145"/>
      <w:bookmarkEnd w:id="145"/>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889"/>
        <w:jc w:val="left"/>
        <w:rPr>
          <w:b w:val="0"/>
          <w:bCs w:val="0"/>
        </w:rPr>
      </w:pPr>
      <w:bookmarkStart w:name="第十一节 财务报告" w:id="146"/>
      <w:bookmarkEnd w:id="146"/>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89"/>
        <w:jc w:val="left"/>
        <w:rPr>
          <w:b w:val="0"/>
          <w:bCs w:val="0"/>
        </w:rPr>
      </w:pPr>
      <w:bookmarkStart w:name="一、审计报告" w:id="147"/>
      <w:bookmarkEnd w:id="14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[2018]9888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黄琼 李世文</w:t>
            </w:r>
          </w:p>
        </w:tc>
      </w:tr>
    </w:tbl>
    <w:p>
      <w:pPr>
        <w:pStyle w:val="BodyText"/>
        <w:spacing w:line="240" w:lineRule="auto" w:before="51"/>
        <w:ind w:left="2243" w:right="3219"/>
        <w:jc w:val="center"/>
      </w:pPr>
      <w:r>
        <w:rPr/>
        <w:t>审计报告正文</w:t>
      </w:r>
    </w:p>
    <w:p>
      <w:pPr>
        <w:spacing w:line="240" w:lineRule="auto" w:before="3"/>
        <w:rPr>
          <w:rFonts w:ascii="宋体" w:hAnsi="宋体" w:cs="宋体" w:eastAsia="宋体" w:hint="default"/>
          <w:sz w:val="26"/>
          <w:szCs w:val="26"/>
        </w:rPr>
      </w:pPr>
    </w:p>
    <w:p>
      <w:pPr>
        <w:pStyle w:val="Heading5"/>
        <w:spacing w:line="636" w:lineRule="auto"/>
        <w:ind w:left="636" w:right="7139" w:hanging="483"/>
        <w:jc w:val="left"/>
        <w:rPr>
          <w:b w:val="0"/>
          <w:bCs w:val="0"/>
        </w:rPr>
      </w:pPr>
      <w:r>
        <w:rPr/>
        <w:t>深圳市中装建设集团股份有限公司全体股东：</w:t>
      </w:r>
      <w:r>
        <w:rPr>
          <w:w w:val="99"/>
        </w:rPr>
        <w:t> </w:t>
      </w:r>
      <w:r>
        <w:rPr/>
        <w:t>一、审计意见</w:t>
      </w:r>
      <w:r>
        <w:rPr>
          <w:b w:val="0"/>
          <w:bCs w:val="0"/>
        </w:rPr>
      </w:r>
    </w:p>
    <w:p>
      <w:pPr>
        <w:pStyle w:val="BodyText"/>
        <w:spacing w:line="316" w:lineRule="auto" w:before="91"/>
        <w:ind w:right="1129" w:firstLine="420"/>
        <w:jc w:val="both"/>
      </w:pPr>
      <w:r>
        <w:rPr/>
        <w:t>我们审计了后附的深圳市中装建设集团股份有限公司（以下简称“中装建设”）财务报表，包括</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日的合 </w:t>
      </w:r>
      <w:r>
        <w:rPr>
          <w:spacing w:val="-2"/>
        </w:rPr>
        <w:t>并及母公司资产负债表，</w:t>
      </w:r>
      <w:r>
        <w:rPr>
          <w:rFonts w:ascii="宋体" w:hAnsi="宋体" w:cs="宋体" w:eastAsia="宋体" w:hint="default"/>
          <w:spacing w:val="-2"/>
        </w:rPr>
        <w:t>2017</w:t>
      </w:r>
      <w:r>
        <w:rPr>
          <w:spacing w:val="-2"/>
        </w:rPr>
        <w:t>年度的合并及母公司利润表、合并及母公司现金流量表、合并及母公司股东权益变动表，以及</w:t>
      </w:r>
      <w:r>
        <w:rPr>
          <w:spacing w:val="-61"/>
        </w:rPr>
        <w:t> </w:t>
      </w:r>
      <w:r>
        <w:rPr>
          <w:spacing w:val="-61"/>
        </w:rPr>
      </w:r>
      <w:r>
        <w:rPr/>
        <w:t>财务报表附注。</w:t>
      </w:r>
    </w:p>
    <w:p>
      <w:pPr>
        <w:spacing w:line="240" w:lineRule="auto" w:before="5"/>
        <w:rPr>
          <w:rFonts w:ascii="宋体" w:hAnsi="宋体" w:cs="宋体" w:eastAsia="宋体" w:hint="default"/>
          <w:sz w:val="13"/>
          <w:szCs w:val="13"/>
        </w:rPr>
      </w:pPr>
    </w:p>
    <w:p>
      <w:pPr>
        <w:pStyle w:val="BodyText"/>
        <w:spacing w:line="316" w:lineRule="auto"/>
        <w:ind w:right="1129" w:firstLine="420"/>
        <w:jc w:val="both"/>
      </w:pPr>
      <w:r>
        <w:rPr/>
        <w:t>我们认为，后附的财务报表在所有重大方面按照企业会计准则的规定编制，公允反映了中装建设</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日的合 并及母公司财务状况以及</w:t>
      </w:r>
      <w:r>
        <w:rPr>
          <w:rFonts w:ascii="宋体" w:hAnsi="宋体" w:cs="宋体" w:eastAsia="宋体" w:hint="default"/>
        </w:rPr>
        <w:t>2017</w:t>
      </w:r>
      <w:r>
        <w:rPr/>
        <w:t>年度的合并及母公司经营成果和现金流量。</w:t>
      </w:r>
    </w:p>
    <w:p>
      <w:pPr>
        <w:pStyle w:val="BodyText"/>
        <w:spacing w:line="622" w:lineRule="exact" w:before="44"/>
        <w:ind w:left="573" w:right="889" w:firstLine="62"/>
        <w:jc w:val="left"/>
      </w:pPr>
      <w:r>
        <w:rPr>
          <w:rFonts w:ascii="宋体" w:hAnsi="宋体" w:cs="宋体" w:eastAsia="宋体" w:hint="default"/>
          <w:b/>
          <w:bCs/>
        </w:rPr>
        <w:t>二、形成审计意见的基础</w:t>
      </w:r>
      <w:r>
        <w:rPr>
          <w:rFonts w:ascii="宋体" w:hAnsi="宋体" w:cs="宋体" w:eastAsia="宋体" w:hint="default"/>
          <w:b/>
          <w:bCs/>
          <w:w w:val="99"/>
        </w:rPr>
        <w:t> </w:t>
      </w:r>
      <w:r>
        <w:rPr/>
        <w:t>我们按照中国注册会计师审计准则的规定执行了审计工作。审计报告的“注册会计师对财务报表审计的责任”部分进</w:t>
      </w:r>
    </w:p>
    <w:p>
      <w:pPr>
        <w:pStyle w:val="BodyText"/>
        <w:spacing w:line="213" w:lineRule="exact"/>
        <w:ind w:right="889"/>
        <w:jc w:val="left"/>
      </w:pPr>
      <w:r>
        <w:rPr/>
        <w:t>一步阐述了我们在这些准则下的责任。按照中国注册会计师职业道德守则，我们独立于中装建设，并履行了职业道德方面的</w:t>
      </w:r>
    </w:p>
    <w:p>
      <w:pPr>
        <w:pStyle w:val="BodyText"/>
        <w:spacing w:line="636" w:lineRule="auto" w:before="76"/>
        <w:ind w:left="636" w:right="3553" w:hanging="483"/>
        <w:jc w:val="left"/>
        <w:rPr>
          <w:rFonts w:ascii="宋体" w:hAnsi="宋体" w:cs="宋体" w:eastAsia="宋体" w:hint="default"/>
        </w:rPr>
      </w:pPr>
      <w:r>
        <w:rPr/>
        <w:t>其他责任。我们相信，我们获取的审计证据是充分、适当的，为发表审计意见提供了基础。 </w:t>
      </w:r>
      <w:r>
        <w:rPr>
          <w:rFonts w:ascii="宋体" w:hAnsi="宋体" w:cs="宋体" w:eastAsia="宋体" w:hint="default"/>
          <w:b/>
          <w:bCs/>
        </w:rPr>
        <w:t>三、关键审计事项</w:t>
      </w:r>
      <w:r>
        <w:rPr>
          <w:rFonts w:ascii="宋体" w:hAnsi="宋体" w:cs="宋体" w:eastAsia="宋体" w:hint="default"/>
        </w:rPr>
      </w:r>
    </w:p>
    <w:p>
      <w:pPr>
        <w:pStyle w:val="BodyText"/>
        <w:spacing w:line="316" w:lineRule="auto" w:before="90"/>
        <w:ind w:right="1133" w:firstLine="420"/>
        <w:jc w:val="both"/>
      </w:pPr>
      <w:r>
        <w:rPr/>
        <w:t>关键审计事项是我们根据职业判断，认为对本期财务报表审计最为重要的事项。这些事项的应对以对财务报表整体进 行审计并形成审计意见为背景，我们不对这些事项单独发表意见。</w:t>
      </w:r>
    </w:p>
    <w:p>
      <w:pPr>
        <w:spacing w:line="240" w:lineRule="auto" w:before="7"/>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674"/>
        <w:gridCol w:w="4679"/>
      </w:tblGrid>
      <w:tr>
        <w:trPr>
          <w:trHeight w:val="347" w:hRule="exact"/>
        </w:trPr>
        <w:tc>
          <w:tcPr>
            <w:tcW w:w="4674" w:type="dxa"/>
            <w:tcBorders>
              <w:top w:val="single" w:sz="6" w:space="0" w:color="000000"/>
              <w:left w:val="single" w:sz="6" w:space="0" w:color="000000"/>
              <w:bottom w:val="single" w:sz="6" w:space="0" w:color="000000"/>
              <w:right w:val="single" w:sz="6" w:space="0" w:color="000000"/>
            </w:tcBorders>
            <w:shd w:val="clear" w:color="auto" w:fill="80C586"/>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79" w:type="dxa"/>
            <w:tcBorders>
              <w:top w:val="single" w:sz="6" w:space="0" w:color="000000"/>
              <w:left w:val="single" w:sz="6" w:space="0" w:color="000000"/>
              <w:bottom w:val="single" w:sz="6" w:space="0" w:color="000000"/>
              <w:right w:val="single" w:sz="6" w:space="0" w:color="000000"/>
            </w:tcBorders>
            <w:shd w:val="clear" w:color="auto" w:fill="80C586"/>
          </w:tcPr>
          <w:p>
            <w:pPr>
              <w:pStyle w:val="TableParagraph"/>
              <w:spacing w:line="240" w:lineRule="auto" w:before="21"/>
              <w:ind w:left="1156"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7" w:hRule="exact"/>
        </w:trPr>
        <w:tc>
          <w:tcPr>
            <w:tcW w:w="9353" w:type="dxa"/>
            <w:gridSpan w:val="2"/>
            <w:tcBorders>
              <w:top w:val="single" w:sz="6" w:space="0" w:color="000000"/>
              <w:left w:val="single" w:sz="6" w:space="0" w:color="000000"/>
              <w:bottom w:val="single" w:sz="6" w:space="0" w:color="000000"/>
              <w:right w:val="single" w:sz="6" w:space="0" w:color="000000"/>
            </w:tcBorders>
            <w:shd w:val="clear" w:color="auto" w:fill="BBE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、建造合同收入及成本确认</w:t>
            </w:r>
            <w:r>
              <w:rPr>
                <w:rFonts w:ascii="宋体" w:hAnsi="宋体" w:cs="宋体" w:eastAsia="宋体" w:hint="default"/>
                <w:sz w:val="18"/>
                <w:szCs w:val="18"/>
              </w:rPr>
            </w:r>
          </w:p>
        </w:tc>
      </w:tr>
      <w:tr>
        <w:trPr>
          <w:trHeight w:val="1908" w:hRule="exact"/>
        </w:trPr>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4" w:firstLine="360"/>
              <w:jc w:val="both"/>
              <w:rPr>
                <w:rFonts w:ascii="宋体" w:hAnsi="宋体" w:cs="宋体" w:eastAsia="宋体" w:hint="default"/>
                <w:sz w:val="18"/>
                <w:szCs w:val="18"/>
              </w:rPr>
            </w:pPr>
            <w:r>
              <w:rPr>
                <w:rFonts w:ascii="宋体" w:hAnsi="宋体" w:cs="宋体" w:eastAsia="宋体" w:hint="default"/>
                <w:sz w:val="18"/>
                <w:szCs w:val="18"/>
              </w:rPr>
              <w:t>中装建设的装饰及园林工程项目按照《企业会计准则第 </w:t>
            </w:r>
            <w:r>
              <w:rPr>
                <w:rFonts w:ascii="宋体" w:hAnsi="宋体" w:cs="宋体" w:eastAsia="宋体" w:hint="default"/>
                <w:sz w:val="18"/>
                <w:szCs w:val="18"/>
              </w:rPr>
              <w:t>15</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建造合同》的规定按完工百分比法确认收入和成本。</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5"/>
                <w:sz w:val="18"/>
                <w:szCs w:val="18"/>
              </w:rPr>
              <w:t>建造合同完工百分比法的确定涉及管理层重要的判断及会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计估计，包括但不限于建造合同预计总收入、预计总成本、 </w:t>
            </w:r>
            <w:r>
              <w:rPr>
                <w:rFonts w:ascii="宋体" w:hAnsi="宋体" w:cs="宋体" w:eastAsia="宋体" w:hint="default"/>
                <w:spacing w:val="-2"/>
                <w:sz w:val="18"/>
                <w:szCs w:val="18"/>
              </w:rPr>
              <w:t>已完成工作量、剩余工程成本、合同风险等，且在合同执行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过程中需要持续评估和修订。因此我们将建造合同收入及成</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6" w:firstLine="420"/>
              <w:jc w:val="left"/>
              <w:rPr>
                <w:rFonts w:ascii="宋体" w:hAnsi="宋体" w:cs="宋体" w:eastAsia="宋体" w:hint="default"/>
                <w:sz w:val="18"/>
                <w:szCs w:val="18"/>
              </w:rPr>
            </w:pPr>
            <w:r>
              <w:rPr>
                <w:rFonts w:ascii="宋体" w:hAnsi="宋体" w:cs="宋体" w:eastAsia="宋体" w:hint="default"/>
                <w:spacing w:val="3"/>
                <w:sz w:val="18"/>
                <w:szCs w:val="18"/>
              </w:rPr>
              <w:t>我们针对建造合同收入及成本确认执行的主要审计程</w:t>
            </w:r>
            <w:r>
              <w:rPr>
                <w:rFonts w:ascii="宋体" w:hAnsi="宋体" w:cs="宋体" w:eastAsia="宋体" w:hint="default"/>
                <w:sz w:val="18"/>
                <w:szCs w:val="18"/>
              </w:rPr>
              <w:t> 序如下：</w:t>
            </w:r>
          </w:p>
          <w:p>
            <w:pPr>
              <w:pStyle w:val="TableParagraph"/>
              <w:spacing w:line="316" w:lineRule="auto" w:before="139"/>
              <w:ind w:left="2" w:right="3" w:firstLine="42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、了解、评估并测试与建造合同预算编制和收入确认 相关的内部控制；</w:t>
            </w:r>
          </w:p>
          <w:p>
            <w:pPr>
              <w:pStyle w:val="TableParagraph"/>
              <w:spacing w:line="240" w:lineRule="auto" w:before="139"/>
              <w:ind w:left="4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、对营业收入实施分析性程序，与历史同期、同行业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44"/>
        <w:ind w:left="0" w:right="1338"/>
        <w:jc w:val="right"/>
      </w:pPr>
      <w:r>
        <w:rPr/>
        <w:pict>
          <v:shape style="position:absolute;margin-left:56.34pt;margin-top:-36.7883pt;width:468.75pt;height:602.450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74"/>
                    <w:gridCol w:w="4679"/>
                  </w:tblGrid>
                  <w:tr>
                    <w:trPr>
                      <w:trHeight w:val="6996" w:hRule="exact"/>
                    </w:trPr>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本确认认定为关键审计事项。</w:t>
                        </w:r>
                      </w:p>
                      <w:p>
                        <w:pPr>
                          <w:pStyle w:val="TableParagraph"/>
                          <w:spacing w:line="240" w:lineRule="auto"/>
                          <w:ind w:right="0"/>
                          <w:jc w:val="left"/>
                          <w:rPr>
                            <w:rFonts w:ascii="宋体" w:hAnsi="宋体" w:cs="宋体" w:eastAsia="宋体" w:hint="default"/>
                            <w:sz w:val="15"/>
                            <w:szCs w:val="15"/>
                          </w:rPr>
                        </w:pPr>
                      </w:p>
                      <w:p>
                        <w:pPr>
                          <w:pStyle w:val="TableParagraph"/>
                          <w:spacing w:line="316" w:lineRule="auto"/>
                          <w:ind w:left="2" w:right="0" w:firstLine="420"/>
                          <w:jc w:val="left"/>
                          <w:rPr>
                            <w:rFonts w:ascii="宋体" w:hAnsi="宋体" w:cs="宋体" w:eastAsia="宋体" w:hint="default"/>
                            <w:sz w:val="18"/>
                            <w:szCs w:val="18"/>
                          </w:rPr>
                        </w:pPr>
                        <w:r>
                          <w:rPr>
                            <w:rFonts w:ascii="宋体" w:hAnsi="宋体" w:cs="宋体" w:eastAsia="宋体" w:hint="default"/>
                            <w:spacing w:val="-4"/>
                            <w:sz w:val="18"/>
                            <w:szCs w:val="18"/>
                          </w:rPr>
                          <w:t>关于收入确认的会计政策见附注三、（二十二）；关于</w:t>
                        </w:r>
                        <w:r>
                          <w:rPr>
                            <w:rFonts w:ascii="宋体" w:hAnsi="宋体" w:cs="宋体" w:eastAsia="宋体" w:hint="default"/>
                            <w:sz w:val="18"/>
                            <w:szCs w:val="18"/>
                          </w:rPr>
                          <w:t> 收入类别披露见附注七、</w:t>
                        </w:r>
                        <w:r>
                          <w:rPr>
                            <w:rFonts w:ascii="宋体" w:hAnsi="宋体" w:cs="宋体" w:eastAsia="宋体" w:hint="default"/>
                            <w:sz w:val="18"/>
                            <w:szCs w:val="18"/>
                          </w:rPr>
                          <w:t>31</w:t>
                        </w:r>
                        <w:r>
                          <w:rPr>
                            <w:rFonts w:ascii="宋体" w:hAnsi="宋体" w:cs="宋体" w:eastAsia="宋体" w:hint="default"/>
                            <w:sz w:val="18"/>
                            <w:szCs w:val="18"/>
                          </w:rPr>
                          <w:t>。</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
                            <w:sz w:val="18"/>
                            <w:szCs w:val="18"/>
                          </w:rPr>
                          <w:t>的毛利率进行对比，分析毛利率变动情况，复核收入的合理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性；</w:t>
                        </w:r>
                      </w:p>
                      <w:p>
                        <w:pPr>
                          <w:pStyle w:val="TableParagraph"/>
                          <w:spacing w:line="319" w:lineRule="auto" w:before="139"/>
                          <w:ind w:left="2" w:right="1" w:firstLine="420"/>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、我们获取了管理层准备的建造合同收入成本计算表</w:t>
                        </w:r>
                        <w:r>
                          <w:rPr>
                            <w:rFonts w:ascii="宋体" w:hAnsi="宋体" w:cs="宋体" w:eastAsia="宋体" w:hint="default"/>
                            <w:sz w:val="18"/>
                            <w:szCs w:val="18"/>
                          </w:rPr>
                          <w:t> </w:t>
                        </w:r>
                        <w:r>
                          <w:rPr>
                            <w:rFonts w:ascii="宋体" w:hAnsi="宋体" w:cs="宋体" w:eastAsia="宋体" w:hint="default"/>
                            <w:spacing w:val="-1"/>
                            <w:sz w:val="18"/>
                            <w:szCs w:val="18"/>
                          </w:rPr>
                          <w:t>将总金额核对至收入成本明细账，并检查了计算表算术计算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的准确性；</w:t>
                        </w:r>
                      </w:p>
                      <w:p>
                        <w:pPr>
                          <w:pStyle w:val="TableParagraph"/>
                          <w:spacing w:line="316" w:lineRule="auto" w:before="137"/>
                          <w:ind w:left="2" w:right="3" w:firstLine="42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、选取建造合同样本，检查建造合同和成本预算等资 </w:t>
                        </w:r>
                        <w:r>
                          <w:rPr>
                            <w:rFonts w:ascii="宋体" w:hAnsi="宋体" w:cs="宋体" w:eastAsia="宋体" w:hint="default"/>
                            <w:spacing w:val="-1"/>
                            <w:sz w:val="18"/>
                            <w:szCs w:val="18"/>
                          </w:rPr>
                          <w:t>料，通过与项目工程师讨论及审阅相关支持性文件，评估管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理层对预计总收入和预计总成本的估计及依据是否充分、合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理，评估已完工未结算的工程成本的可回收性；</w:t>
                        </w:r>
                      </w:p>
                      <w:p>
                        <w:pPr>
                          <w:pStyle w:val="TableParagraph"/>
                          <w:spacing w:line="316" w:lineRule="auto" w:before="139"/>
                          <w:ind w:left="2" w:right="3" w:firstLine="420"/>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、选取建造合同样本，向项目发包方（即客户）函证 </w:t>
                        </w:r>
                        <w:r>
                          <w:rPr>
                            <w:rFonts w:ascii="宋体" w:hAnsi="宋体" w:cs="宋体" w:eastAsia="宋体" w:hint="default"/>
                            <w:spacing w:val="-1"/>
                            <w:sz w:val="18"/>
                            <w:szCs w:val="18"/>
                          </w:rPr>
                          <w:t>工程执行情况，包括结算情况、回款情况等，对未回函样本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进行替代测试；</w:t>
                        </w:r>
                      </w:p>
                      <w:p>
                        <w:pPr>
                          <w:pStyle w:val="TableParagraph"/>
                          <w:spacing w:line="316" w:lineRule="auto" w:before="139"/>
                          <w:ind w:left="2" w:right="92" w:firstLine="420"/>
                          <w:jc w:val="left"/>
                          <w:rPr>
                            <w:rFonts w:ascii="宋体" w:hAnsi="宋体" w:cs="宋体" w:eastAsia="宋体" w:hint="default"/>
                            <w:sz w:val="18"/>
                            <w:szCs w:val="18"/>
                          </w:rPr>
                        </w:pPr>
                        <w:r>
                          <w:rPr>
                            <w:rFonts w:ascii="宋体" w:hAnsi="宋体" w:cs="宋体" w:eastAsia="宋体" w:hint="default"/>
                            <w:spacing w:val="-4"/>
                            <w:sz w:val="18"/>
                            <w:szCs w:val="18"/>
                          </w:rPr>
                          <w:t>6</w:t>
                        </w:r>
                        <w:r>
                          <w:rPr>
                            <w:rFonts w:ascii="宋体" w:hAnsi="宋体" w:cs="宋体" w:eastAsia="宋体" w:hint="default"/>
                            <w:spacing w:val="-4"/>
                            <w:sz w:val="18"/>
                            <w:szCs w:val="18"/>
                          </w:rPr>
                          <w:t>、选取建造合同样本，对工程形象进度进行现场查看</w:t>
                        </w:r>
                        <w:r>
                          <w:rPr>
                            <w:rFonts w:ascii="宋体" w:hAnsi="宋体" w:cs="宋体" w:eastAsia="宋体" w:hint="default"/>
                            <w:sz w:val="18"/>
                            <w:szCs w:val="18"/>
                          </w:rPr>
                          <w:t> 通过询问、观察等程序，核实项目形象进度；</w:t>
                        </w:r>
                      </w:p>
                      <w:p>
                        <w:pPr>
                          <w:pStyle w:val="TableParagraph"/>
                          <w:spacing w:line="316" w:lineRule="auto" w:before="139"/>
                          <w:ind w:left="2" w:right="3" w:firstLine="420"/>
                          <w:jc w:val="left"/>
                          <w:rPr>
                            <w:rFonts w:ascii="宋体" w:hAnsi="宋体" w:cs="宋体" w:eastAsia="宋体" w:hint="default"/>
                            <w:sz w:val="18"/>
                            <w:szCs w:val="18"/>
                          </w:rPr>
                        </w:pPr>
                        <w:r>
                          <w:rPr>
                            <w:rFonts w:ascii="宋体" w:hAnsi="宋体" w:cs="宋体" w:eastAsia="宋体" w:hint="default"/>
                            <w:spacing w:val="-4"/>
                            <w:sz w:val="18"/>
                            <w:szCs w:val="18"/>
                          </w:rPr>
                          <w:t>7</w:t>
                        </w:r>
                        <w:r>
                          <w:rPr>
                            <w:rFonts w:ascii="宋体" w:hAnsi="宋体" w:cs="宋体" w:eastAsia="宋体" w:hint="default"/>
                            <w:spacing w:val="-4"/>
                            <w:sz w:val="18"/>
                            <w:szCs w:val="18"/>
                          </w:rPr>
                          <w:t>、选取建造合同样本，检查实际工程成本的投入情况</w:t>
                        </w:r>
                        <w:r>
                          <w:rPr>
                            <w:rFonts w:ascii="宋体" w:hAnsi="宋体" w:cs="宋体" w:eastAsia="宋体" w:hint="default"/>
                            <w:sz w:val="18"/>
                            <w:szCs w:val="18"/>
                          </w:rPr>
                          <w:t> </w:t>
                        </w:r>
                        <w:r>
                          <w:rPr>
                            <w:rFonts w:ascii="宋体" w:hAnsi="宋体" w:cs="宋体" w:eastAsia="宋体" w:hint="default"/>
                            <w:spacing w:val="-5"/>
                            <w:sz w:val="18"/>
                            <w:szCs w:val="18"/>
                          </w:rPr>
                          <w:t>包括但不限于发生工程成本的合同、发票、材料采购入库单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结算单等支持性文件，并对比成本预算资料，评估建造合同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成本的确认；</w:t>
                        </w:r>
                        <w:r>
                          <w:rPr>
                            <w:rFonts w:ascii="宋体" w:hAnsi="宋体" w:cs="宋体" w:eastAsia="宋体" w:hint="default"/>
                            <w:spacing w:val="18"/>
                            <w:sz w:val="18"/>
                            <w:szCs w:val="18"/>
                          </w:rPr>
                          <w:t> </w:t>
                        </w:r>
                        <w:r>
                          <w:rPr>
                            <w:rFonts w:ascii="宋体" w:hAnsi="宋体" w:cs="宋体" w:eastAsia="宋体" w:hint="default"/>
                            <w:spacing w:val="2"/>
                            <w:sz w:val="18"/>
                            <w:szCs w:val="18"/>
                          </w:rPr>
                          <w:t>针对资产负债表日前后确认的实际发生的工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程成本核对至材料采购入库单、结算单等支持性文件，以评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估实际成本是否在恰当的期间确认。</w:t>
                        </w:r>
                      </w:p>
                    </w:tc>
                  </w:tr>
                  <w:tr>
                    <w:trPr>
                      <w:trHeight w:val="347" w:hRule="exact"/>
                    </w:trPr>
                    <w:tc>
                      <w:tcPr>
                        <w:tcW w:w="9353" w:type="dxa"/>
                        <w:gridSpan w:val="2"/>
                        <w:tcBorders>
                          <w:top w:val="single" w:sz="6" w:space="0" w:color="000000"/>
                          <w:left w:val="single" w:sz="6" w:space="0" w:color="000000"/>
                          <w:bottom w:val="single" w:sz="6" w:space="0" w:color="000000"/>
                          <w:right w:val="single" w:sz="6" w:space="0" w:color="000000"/>
                        </w:tcBorders>
                        <w:shd w:val="clear" w:color="auto" w:fill="BBE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应收账款坏账准备</w:t>
                        </w:r>
                        <w:r>
                          <w:rPr>
                            <w:rFonts w:ascii="宋体" w:hAnsi="宋体" w:cs="宋体" w:eastAsia="宋体" w:hint="default"/>
                            <w:sz w:val="18"/>
                            <w:szCs w:val="18"/>
                          </w:rPr>
                        </w:r>
                      </w:p>
                    </w:tc>
                  </w:tr>
                  <w:tr>
                    <w:trPr>
                      <w:trHeight w:val="4692" w:hRule="exact"/>
                    </w:trPr>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4" w:firstLine="420"/>
                          <w:jc w:val="both"/>
                          <w:rPr>
                            <w:rFonts w:ascii="宋体" w:hAnsi="宋体" w:cs="宋体" w:eastAsia="宋体" w:hint="default"/>
                            <w:sz w:val="18"/>
                            <w:szCs w:val="18"/>
                          </w:rPr>
                        </w:pPr>
                        <w:r>
                          <w:rPr>
                            <w:rFonts w:ascii="宋体" w:hAnsi="宋体" w:cs="宋体" w:eastAsia="宋体" w:hint="default"/>
                            <w:spacing w:val="17"/>
                            <w:sz w:val="18"/>
                            <w:szCs w:val="18"/>
                          </w:rPr>
                          <w:t>截至</w:t>
                        </w:r>
                        <w:r>
                          <w:rPr>
                            <w:rFonts w:ascii="宋体" w:hAnsi="宋体" w:cs="宋体" w:eastAsia="宋体" w:hint="default"/>
                            <w:spacing w:val="-55"/>
                            <w:sz w:val="18"/>
                            <w:szCs w:val="18"/>
                          </w:rPr>
                          <w:t> </w:t>
                        </w: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31</w:t>
                        </w:r>
                        <w:r>
                          <w:rPr>
                            <w:rFonts w:ascii="宋体" w:hAnsi="宋体" w:cs="宋体" w:eastAsia="宋体" w:hint="default"/>
                            <w:spacing w:val="-56"/>
                            <w:sz w:val="18"/>
                            <w:szCs w:val="18"/>
                          </w:rPr>
                          <w:t> </w:t>
                        </w:r>
                        <w:r>
                          <w:rPr>
                            <w:rFonts w:ascii="宋体" w:hAnsi="宋体" w:cs="宋体" w:eastAsia="宋体" w:hint="default"/>
                            <w:sz w:val="18"/>
                            <w:szCs w:val="18"/>
                          </w:rPr>
                          <w:t>日</w:t>
                        </w:r>
                        <w:r>
                          <w:rPr>
                            <w:rFonts w:ascii="宋体" w:hAnsi="宋体" w:cs="宋体" w:eastAsia="宋体" w:hint="default"/>
                            <w:spacing w:val="-56"/>
                            <w:sz w:val="18"/>
                            <w:szCs w:val="18"/>
                          </w:rPr>
                          <w:t> </w:t>
                        </w:r>
                        <w:r>
                          <w:rPr>
                            <w:rFonts w:ascii="宋体" w:hAnsi="宋体" w:cs="宋体" w:eastAsia="宋体" w:hint="default"/>
                            <w:sz w:val="18"/>
                            <w:szCs w:val="18"/>
                          </w:rPr>
                          <w:t>，</w:t>
                        </w:r>
                        <w:r>
                          <w:rPr>
                            <w:rFonts w:ascii="宋体" w:hAnsi="宋体" w:cs="宋体" w:eastAsia="宋体" w:hint="default"/>
                            <w:spacing w:val="-55"/>
                            <w:sz w:val="18"/>
                            <w:szCs w:val="18"/>
                          </w:rPr>
                          <w:t> </w:t>
                        </w:r>
                        <w:r>
                          <w:rPr>
                            <w:rFonts w:ascii="宋体" w:hAnsi="宋体" w:cs="宋体" w:eastAsia="宋体" w:hint="default"/>
                            <w:sz w:val="18"/>
                            <w:szCs w:val="18"/>
                          </w:rPr>
                          <w:t>中</w:t>
                        </w:r>
                        <w:r>
                          <w:rPr>
                            <w:rFonts w:ascii="宋体" w:hAnsi="宋体" w:cs="宋体" w:eastAsia="宋体" w:hint="default"/>
                            <w:spacing w:val="-55"/>
                            <w:sz w:val="18"/>
                            <w:szCs w:val="18"/>
                          </w:rPr>
                          <w:t> </w:t>
                        </w:r>
                        <w:r>
                          <w:rPr>
                            <w:rFonts w:ascii="宋体" w:hAnsi="宋体" w:cs="宋体" w:eastAsia="宋体" w:hint="default"/>
                            <w:sz w:val="18"/>
                            <w:szCs w:val="18"/>
                          </w:rPr>
                          <w:t>装</w:t>
                        </w:r>
                        <w:r>
                          <w:rPr>
                            <w:rFonts w:ascii="宋体" w:hAnsi="宋体" w:cs="宋体" w:eastAsia="宋体" w:hint="default"/>
                            <w:spacing w:val="-56"/>
                            <w:sz w:val="18"/>
                            <w:szCs w:val="18"/>
                          </w:rPr>
                          <w:t> </w:t>
                        </w:r>
                        <w:r>
                          <w:rPr>
                            <w:rFonts w:ascii="宋体" w:hAnsi="宋体" w:cs="宋体" w:eastAsia="宋体" w:hint="default"/>
                            <w:sz w:val="18"/>
                            <w:szCs w:val="18"/>
                          </w:rPr>
                          <w:t>建</w:t>
                        </w:r>
                        <w:r>
                          <w:rPr>
                            <w:rFonts w:ascii="宋体" w:hAnsi="宋体" w:cs="宋体" w:eastAsia="宋体" w:hint="default"/>
                            <w:spacing w:val="-56"/>
                            <w:sz w:val="18"/>
                            <w:szCs w:val="18"/>
                          </w:rPr>
                          <w:t> </w:t>
                        </w:r>
                        <w:r>
                          <w:rPr>
                            <w:rFonts w:ascii="宋体" w:hAnsi="宋体" w:cs="宋体" w:eastAsia="宋体" w:hint="default"/>
                            <w:sz w:val="18"/>
                            <w:szCs w:val="18"/>
                          </w:rPr>
                          <w:t>设</w:t>
                        </w:r>
                        <w:r>
                          <w:rPr>
                            <w:rFonts w:ascii="宋体" w:hAnsi="宋体" w:cs="宋体" w:eastAsia="宋体" w:hint="default"/>
                            <w:spacing w:val="-56"/>
                            <w:sz w:val="18"/>
                            <w:szCs w:val="18"/>
                          </w:rPr>
                          <w:t> </w:t>
                        </w:r>
                        <w:r>
                          <w:rPr>
                            <w:rFonts w:ascii="宋体" w:hAnsi="宋体" w:cs="宋体" w:eastAsia="宋体" w:hint="default"/>
                            <w:sz w:val="18"/>
                            <w:szCs w:val="18"/>
                          </w:rPr>
                          <w:t>应</w:t>
                        </w:r>
                        <w:r>
                          <w:rPr>
                            <w:rFonts w:ascii="宋体" w:hAnsi="宋体" w:cs="宋体" w:eastAsia="宋体" w:hint="default"/>
                            <w:spacing w:val="-56"/>
                            <w:sz w:val="18"/>
                            <w:szCs w:val="18"/>
                          </w:rPr>
                          <w:t> </w:t>
                        </w:r>
                        <w:r>
                          <w:rPr>
                            <w:rFonts w:ascii="宋体" w:hAnsi="宋体" w:cs="宋体" w:eastAsia="宋体" w:hint="default"/>
                            <w:sz w:val="18"/>
                            <w:szCs w:val="18"/>
                          </w:rPr>
                          <w:t>收</w:t>
                        </w:r>
                        <w:r>
                          <w:rPr>
                            <w:rFonts w:ascii="宋体" w:hAnsi="宋体" w:cs="宋体" w:eastAsia="宋体" w:hint="default"/>
                            <w:spacing w:val="-55"/>
                            <w:sz w:val="18"/>
                            <w:szCs w:val="18"/>
                          </w:rPr>
                          <w:t> </w:t>
                        </w:r>
                        <w:r>
                          <w:rPr>
                            <w:rFonts w:ascii="宋体" w:hAnsi="宋体" w:cs="宋体" w:eastAsia="宋体" w:hint="default"/>
                            <w:sz w:val="18"/>
                            <w:szCs w:val="18"/>
                          </w:rPr>
                          <w:t>账</w:t>
                        </w:r>
                        <w:r>
                          <w:rPr>
                            <w:rFonts w:ascii="宋体" w:hAnsi="宋体" w:cs="宋体" w:eastAsia="宋体" w:hint="default"/>
                            <w:spacing w:val="-56"/>
                            <w:sz w:val="18"/>
                            <w:szCs w:val="18"/>
                          </w:rPr>
                          <w:t> </w:t>
                        </w:r>
                        <w:r>
                          <w:rPr>
                            <w:rFonts w:ascii="宋体" w:hAnsi="宋体" w:cs="宋体" w:eastAsia="宋体" w:hint="default"/>
                            <w:sz w:val="18"/>
                            <w:szCs w:val="18"/>
                          </w:rPr>
                          <w:t>款</w:t>
                        </w:r>
                        <w:r>
                          <w:rPr>
                            <w:rFonts w:ascii="宋体" w:hAnsi="宋体" w:cs="宋体" w:eastAsia="宋体" w:hint="default"/>
                            <w:spacing w:val="-56"/>
                            <w:sz w:val="18"/>
                            <w:szCs w:val="18"/>
                          </w:rPr>
                          <w:t> </w:t>
                        </w:r>
                        <w:r>
                          <w:rPr>
                            <w:rFonts w:ascii="宋体" w:hAnsi="宋体" w:cs="宋体" w:eastAsia="宋体" w:hint="default"/>
                            <w:sz w:val="18"/>
                            <w:szCs w:val="18"/>
                          </w:rPr>
                          <w:t>余</w:t>
                        </w:r>
                        <w:r>
                          <w:rPr>
                            <w:rFonts w:ascii="宋体" w:hAnsi="宋体" w:cs="宋体" w:eastAsia="宋体" w:hint="default"/>
                            <w:spacing w:val="-56"/>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宋体" w:hAnsi="宋体" w:cs="宋体" w:eastAsia="宋体" w:hint="default"/>
                            <w:sz w:val="18"/>
                            <w:szCs w:val="18"/>
                          </w:rPr>
                          <w:t>261,962.62</w:t>
                        </w:r>
                        <w:r>
                          <w:rPr>
                            <w:rFonts w:ascii="宋体" w:hAnsi="宋体" w:cs="宋体" w:eastAsia="宋体" w:hint="default"/>
                            <w:sz w:val="18"/>
                            <w:szCs w:val="18"/>
                          </w:rPr>
                          <w:t>万元，坏账准备余额</w:t>
                        </w:r>
                        <w:r>
                          <w:rPr>
                            <w:rFonts w:ascii="宋体" w:hAnsi="宋体" w:cs="宋体" w:eastAsia="宋体" w:hint="default"/>
                            <w:sz w:val="18"/>
                            <w:szCs w:val="18"/>
                          </w:rPr>
                          <w:t>28,159.54</w:t>
                        </w:r>
                        <w:r>
                          <w:rPr>
                            <w:rFonts w:ascii="宋体" w:hAnsi="宋体" w:cs="宋体" w:eastAsia="宋体" w:hint="default"/>
                            <w:sz w:val="18"/>
                            <w:szCs w:val="18"/>
                          </w:rPr>
                          <w:t>万元。中装建设</w:t>
                        </w:r>
                        <w:r>
                          <w:rPr>
                            <w:rFonts w:ascii="宋体" w:hAnsi="宋体" w:cs="宋体" w:eastAsia="宋体" w:hint="default"/>
                            <w:spacing w:val="-36"/>
                            <w:sz w:val="18"/>
                            <w:szCs w:val="18"/>
                          </w:rPr>
                          <w:t> </w:t>
                        </w:r>
                        <w:r>
                          <w:rPr>
                            <w:rFonts w:ascii="宋体" w:hAnsi="宋体" w:cs="宋体" w:eastAsia="宋体" w:hint="default"/>
                            <w:sz w:val="18"/>
                            <w:szCs w:val="18"/>
                          </w:rPr>
                          <w:t>以应收账款的可收回性为判断基础确认坏账准备。应收账款</w:t>
                        </w:r>
                        <w:r>
                          <w:rPr>
                            <w:rFonts w:ascii="宋体" w:hAnsi="宋体" w:cs="宋体" w:eastAsia="宋体" w:hint="default"/>
                            <w:sz w:val="18"/>
                            <w:szCs w:val="18"/>
                          </w:rPr>
                          <w:t> </w:t>
                        </w:r>
                        <w:r>
                          <w:rPr>
                            <w:rFonts w:ascii="宋体" w:hAnsi="宋体" w:cs="宋体" w:eastAsia="宋体" w:hint="default"/>
                            <w:spacing w:val="5"/>
                            <w:sz w:val="18"/>
                            <w:szCs w:val="18"/>
                          </w:rPr>
                          <w:t>年末账面价值的确定需要管理层识别已发生减值的项目和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客观证据、评估预期未来可获取的现金流量并确定其现值， 涉及管理层运用重大会计估计和判断，且应收账款坏账准备</w:t>
                        </w:r>
                        <w:r>
                          <w:rPr>
                            <w:rFonts w:ascii="宋体" w:hAnsi="宋体" w:cs="宋体" w:eastAsia="宋体" w:hint="default"/>
                            <w:sz w:val="18"/>
                            <w:szCs w:val="18"/>
                          </w:rPr>
                          <w:t> 对于财务报表具有重要性，因此，我们将应收账款坏账准备 认定为关键审计事项。</w:t>
                        </w:r>
                      </w:p>
                      <w:p>
                        <w:pPr>
                          <w:pStyle w:val="TableParagraph"/>
                          <w:spacing w:line="316" w:lineRule="auto" w:before="139"/>
                          <w:ind w:left="2" w:right="-17" w:firstLine="420"/>
                          <w:jc w:val="both"/>
                          <w:rPr>
                            <w:rFonts w:ascii="宋体" w:hAnsi="宋体" w:cs="宋体" w:eastAsia="宋体" w:hint="default"/>
                            <w:sz w:val="18"/>
                            <w:szCs w:val="18"/>
                          </w:rPr>
                        </w:pPr>
                        <w:r>
                          <w:rPr>
                            <w:rFonts w:ascii="宋体" w:hAnsi="宋体" w:cs="宋体" w:eastAsia="宋体" w:hint="default"/>
                            <w:spacing w:val="-10"/>
                            <w:sz w:val="18"/>
                            <w:szCs w:val="18"/>
                          </w:rPr>
                          <w:t>关于应收账款坏账准备得会计政策见附注三、（十一）；</w:t>
                        </w:r>
                        <w:r>
                          <w:rPr>
                            <w:rFonts w:ascii="宋体" w:hAnsi="宋体" w:cs="宋体" w:eastAsia="宋体" w:hint="default"/>
                            <w:spacing w:val="-71"/>
                            <w:sz w:val="18"/>
                            <w:szCs w:val="18"/>
                          </w:rPr>
                          <w:t> </w:t>
                        </w:r>
                        <w:r>
                          <w:rPr>
                            <w:rFonts w:ascii="宋体" w:hAnsi="宋体" w:cs="宋体" w:eastAsia="宋体" w:hint="default"/>
                            <w:sz w:val="18"/>
                            <w:szCs w:val="18"/>
                          </w:rPr>
                          <w:t>关于应收账款账面余额及坏账准备见附注七、</w:t>
                        </w:r>
                        <w:r>
                          <w:rPr>
                            <w:rFonts w:ascii="宋体" w:hAnsi="宋体" w:cs="宋体" w:eastAsia="宋体" w:hint="default"/>
                            <w:sz w:val="18"/>
                            <w:szCs w:val="18"/>
                          </w:rPr>
                          <w:t>3</w:t>
                        </w:r>
                        <w:r>
                          <w:rPr>
                            <w:rFonts w:ascii="宋体" w:hAnsi="宋体" w:cs="宋体" w:eastAsia="宋体" w:hint="default"/>
                            <w:sz w:val="18"/>
                            <w:szCs w:val="18"/>
                          </w:rPr>
                          <w:t>。</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我们针对应收账款坏账准备执行的主要审计程序如下</w:t>
                        </w:r>
                      </w:p>
                      <w:p>
                        <w:pPr>
                          <w:pStyle w:val="TableParagraph"/>
                          <w:spacing w:line="240" w:lineRule="auto"/>
                          <w:ind w:right="0"/>
                          <w:jc w:val="left"/>
                          <w:rPr>
                            <w:rFonts w:ascii="宋体" w:hAnsi="宋体" w:cs="宋体" w:eastAsia="宋体" w:hint="default"/>
                            <w:sz w:val="15"/>
                            <w:szCs w:val="15"/>
                          </w:rPr>
                        </w:pPr>
                      </w:p>
                      <w:p>
                        <w:pPr>
                          <w:pStyle w:val="TableParagraph"/>
                          <w:spacing w:line="316" w:lineRule="auto"/>
                          <w:ind w:left="2" w:right="3" w:firstLine="42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、对信用政策及应收账款管理相关内部控制的设计及 运行有效性进行了评估和测试；</w:t>
                        </w:r>
                      </w:p>
                      <w:p>
                        <w:pPr>
                          <w:pStyle w:val="TableParagraph"/>
                          <w:spacing w:line="316" w:lineRule="auto" w:before="139"/>
                          <w:ind w:left="2" w:right="3" w:firstLine="42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、分析应收账款坏账准备会计政策的合理性，包括确 </w:t>
                        </w:r>
                        <w:r>
                          <w:rPr>
                            <w:rFonts w:ascii="宋体" w:hAnsi="宋体" w:cs="宋体" w:eastAsia="宋体" w:hint="default"/>
                            <w:spacing w:val="-1"/>
                            <w:sz w:val="18"/>
                            <w:szCs w:val="18"/>
                          </w:rPr>
                          <w:t>定应收账款组合的依据、金额重大的判断、单独计提坏账准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备的判断等，复核相关会计政策是否一贯地运用；</w:t>
                        </w:r>
                      </w:p>
                      <w:p>
                        <w:pPr>
                          <w:pStyle w:val="TableParagraph"/>
                          <w:spacing w:line="316" w:lineRule="auto" w:before="139"/>
                          <w:ind w:left="2" w:right="3" w:firstLine="42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、对于单独计提坏账准备的应收账款，选取样本获取 </w:t>
                        </w:r>
                        <w:r>
                          <w:rPr>
                            <w:rFonts w:ascii="宋体" w:hAnsi="宋体" w:cs="宋体" w:eastAsia="宋体" w:hint="default"/>
                            <w:spacing w:val="-1"/>
                            <w:sz w:val="18"/>
                            <w:szCs w:val="18"/>
                          </w:rPr>
                          <w:t>管理层对预计未来可收回金额做出估计的依据，包括客户信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用记录、违约或延迟付款记录及期后实际还款情况，并复核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其合理性。</w:t>
                        </w:r>
                      </w:p>
                      <w:p>
                        <w:pPr>
                          <w:pStyle w:val="TableParagraph"/>
                          <w:spacing w:line="316" w:lineRule="auto" w:before="139"/>
                          <w:ind w:left="2" w:right="3" w:firstLine="42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、对于按账龄分析法计提坏账准备的应收账款，分析 </w:t>
                        </w:r>
                        <w:r>
                          <w:rPr>
                            <w:rFonts w:ascii="宋体" w:hAnsi="宋体" w:cs="宋体" w:eastAsia="宋体" w:hint="default"/>
                            <w:spacing w:val="-1"/>
                            <w:sz w:val="18"/>
                            <w:szCs w:val="18"/>
                          </w:rPr>
                          <w:t>中装建设应收账款坏账准备会计估计的合理性，并选取样本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对账龄准确性进行测试，复核坏账准备计提是否准确。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44"/>
        <w:ind w:left="0" w:right="1338"/>
        <w:jc w:val="right"/>
      </w:pP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44"/>
        <w:ind w:left="0" w:right="1338"/>
        <w:jc w:val="right"/>
      </w:pPr>
      <w:r>
        <w:rPr/>
        <w:t>，</w:t>
      </w:r>
    </w:p>
    <w:p>
      <w:pPr>
        <w:pStyle w:val="BodyText"/>
        <w:spacing w:line="240" w:lineRule="auto" w:before="76"/>
        <w:ind w:left="0" w:right="13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44"/>
        <w:ind w:left="0" w:right="134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5"/>
        <w:spacing w:line="240" w:lineRule="auto"/>
        <w:ind w:left="636" w:right="889"/>
        <w:jc w:val="left"/>
        <w:rPr>
          <w:b w:val="0"/>
          <w:bCs w:val="0"/>
        </w:rPr>
      </w:pPr>
      <w:r>
        <w:rPr/>
        <w:t>四、其他信息</w:t>
      </w:r>
      <w:r>
        <w:rPr>
          <w:b w:val="0"/>
          <w:bCs w:val="0"/>
        </w:rPr>
      </w:r>
    </w:p>
    <w:p>
      <w:pPr>
        <w:spacing w:line="240" w:lineRule="auto" w:before="3"/>
        <w:rPr>
          <w:rFonts w:ascii="宋体" w:hAnsi="宋体" w:cs="宋体" w:eastAsia="宋体" w:hint="default"/>
          <w:b/>
          <w:bCs/>
          <w:sz w:val="24"/>
          <w:szCs w:val="24"/>
        </w:rPr>
      </w:pPr>
    </w:p>
    <w:p>
      <w:pPr>
        <w:pStyle w:val="BodyText"/>
        <w:spacing w:line="316" w:lineRule="auto"/>
        <w:ind w:right="889" w:firstLine="420"/>
        <w:jc w:val="left"/>
      </w:pPr>
      <w:r>
        <w:rPr/>
        <w:t>中装建设管理层（以下简称管理层）对其他信息负责。其他信息包括中装建设</w:t>
      </w:r>
      <w:r>
        <w:rPr>
          <w:rFonts w:ascii="宋体" w:hAnsi="宋体" w:cs="宋体" w:eastAsia="宋体" w:hint="default"/>
        </w:rPr>
        <w:t>2017</w:t>
      </w:r>
      <w:r>
        <w:rPr/>
        <w:t>年度财务报告中涵盖的信息，但不 包括财务报表和我们的审计报告。</w:t>
      </w:r>
    </w:p>
    <w:p>
      <w:pPr>
        <w:pStyle w:val="BodyText"/>
        <w:spacing w:line="240" w:lineRule="auto" w:before="139"/>
        <w:ind w:left="574" w:right="889"/>
        <w:jc w:val="left"/>
      </w:pPr>
      <w:r>
        <w:rPr/>
        <w:t>我们对财务报表发表的审计意见不涵盖其他信息，我们也不对其他信息发表任何形式的鉴证结论。</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firstLine="420"/>
        <w:jc w:val="both"/>
      </w:pPr>
      <w:r>
        <w:rPr/>
        <w:t>结合我们对财务报表的审计，我们的责任是阅读其他信息，在此过程中，考虑其他信息是否与财务报表或我们在审计 过程中了解到的情况存在重大不一致或者似乎存在重大错报。</w:t>
      </w:r>
    </w:p>
    <w:p>
      <w:pPr>
        <w:pStyle w:val="BodyText"/>
        <w:spacing w:line="316" w:lineRule="auto" w:before="139"/>
        <w:ind w:right="1133" w:firstLine="420"/>
        <w:jc w:val="both"/>
      </w:pPr>
      <w:r>
        <w:rPr/>
        <w:t>基于我们已执行的工作，如果我们确定其他信息存在重大错报，我们应当报告该事实。在这方面，我们无任何事项需 要报告。</w:t>
      </w:r>
    </w:p>
    <w:p>
      <w:pPr>
        <w:spacing w:line="552" w:lineRule="exact" w:before="28"/>
        <w:ind w:left="573" w:right="889" w:firstLine="6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管理层负责按照企业会计准则的规定编制财务报表，使其实现公允反映，并设计、执行和维护必要的内部控制，以使</w:t>
      </w:r>
    </w:p>
    <w:p>
      <w:pPr>
        <w:pStyle w:val="BodyText"/>
        <w:spacing w:line="227" w:lineRule="exact"/>
        <w:ind w:right="889"/>
        <w:jc w:val="left"/>
      </w:pPr>
      <w:r>
        <w:rPr/>
        <w:t>财务报表不存在由于舞弊或错误导致的重大错报。</w:t>
      </w:r>
    </w:p>
    <w:p>
      <w:pPr>
        <w:spacing w:line="240" w:lineRule="auto" w:before="0"/>
        <w:rPr>
          <w:rFonts w:ascii="宋体" w:hAnsi="宋体" w:cs="宋体" w:eastAsia="宋体" w:hint="default"/>
          <w:sz w:val="15"/>
          <w:szCs w:val="15"/>
        </w:rPr>
      </w:pPr>
    </w:p>
    <w:p>
      <w:pPr>
        <w:pStyle w:val="BodyText"/>
        <w:spacing w:line="316" w:lineRule="auto"/>
        <w:ind w:right="1131" w:firstLine="420"/>
        <w:jc w:val="both"/>
      </w:pPr>
      <w:r>
        <w:rPr/>
        <w:t>在编制财务报表时，管理层负责评估中装建设的持续经营能力，披露与持续经营相关的事项（如适用），并运用持续 经营假设，除非计划进行清算、终止运营或别无其他现实的选择。</w:t>
      </w:r>
    </w:p>
    <w:p>
      <w:pPr>
        <w:spacing w:line="561" w:lineRule="auto" w:before="139"/>
        <w:ind w:left="636" w:right="6913" w:hanging="63"/>
        <w:jc w:val="left"/>
        <w:rPr>
          <w:rFonts w:ascii="宋体" w:hAnsi="宋体" w:cs="宋体" w:eastAsia="宋体" w:hint="default"/>
          <w:sz w:val="18"/>
          <w:szCs w:val="18"/>
        </w:rPr>
      </w:pPr>
      <w:r>
        <w:rPr>
          <w:rFonts w:ascii="宋体" w:hAnsi="宋体" w:cs="宋体" w:eastAsia="宋体" w:hint="default"/>
          <w:sz w:val="18"/>
          <w:szCs w:val="18"/>
        </w:rPr>
        <w:t>治理层负责监督中装建设的财务报告过程。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75"/>
        <w:ind w:right="1132" w:firstLine="420"/>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39"/>
        <w:ind w:left="573" w:right="889"/>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5"/>
          <w:szCs w:val="15"/>
        </w:rPr>
      </w:pPr>
    </w:p>
    <w:p>
      <w:pPr>
        <w:pStyle w:val="BodyText"/>
        <w:spacing w:line="319" w:lineRule="auto"/>
        <w:ind w:right="1050" w:firstLine="420"/>
        <w:jc w:val="both"/>
      </w:pPr>
      <w:r>
        <w:rPr/>
        <w:t>（</w:t>
      </w:r>
      <w:r>
        <w:rPr>
          <w:rFonts w:ascii="宋体" w:hAnsi="宋体" w:cs="宋体" w:eastAsia="宋体"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37"/>
        <w:ind w:left="573" w:right="889"/>
        <w:jc w:val="left"/>
      </w:pPr>
      <w:r>
        <w:rPr/>
        <w:t>（</w:t>
      </w:r>
      <w:r>
        <w:rPr>
          <w:rFonts w:ascii="宋体" w:hAnsi="宋体" w:cs="宋体" w:eastAsia="宋体" w:hint="default"/>
        </w:rPr>
        <w:t>2</w:t>
      </w:r>
      <w:r>
        <w:rPr/>
        <w:t>）了解与审计相关的内部控制，以设计恰当的审计程序，但目的并非对内部控制的有效性发表意见。</w:t>
      </w:r>
    </w:p>
    <w:p>
      <w:pPr>
        <w:spacing w:line="240" w:lineRule="auto" w:before="0"/>
        <w:rPr>
          <w:rFonts w:ascii="宋体" w:hAnsi="宋体" w:cs="宋体" w:eastAsia="宋体" w:hint="default"/>
          <w:sz w:val="15"/>
          <w:szCs w:val="15"/>
        </w:rPr>
      </w:pPr>
    </w:p>
    <w:p>
      <w:pPr>
        <w:pStyle w:val="BodyText"/>
        <w:spacing w:line="240" w:lineRule="auto"/>
        <w:ind w:left="573" w:right="889"/>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0"/>
        <w:rPr>
          <w:rFonts w:ascii="宋体" w:hAnsi="宋体" w:cs="宋体" w:eastAsia="宋体" w:hint="default"/>
          <w:sz w:val="15"/>
          <w:szCs w:val="15"/>
        </w:rPr>
      </w:pPr>
    </w:p>
    <w:p>
      <w:pPr>
        <w:pStyle w:val="BodyText"/>
        <w:spacing w:line="316" w:lineRule="auto"/>
        <w:ind w:right="1132" w:firstLine="420"/>
        <w:jc w:val="both"/>
      </w:pPr>
      <w:r>
        <w:rPr>
          <w:spacing w:val="-2"/>
        </w:rPr>
        <w:t>（</w:t>
      </w:r>
      <w:r>
        <w:rPr>
          <w:rFonts w:ascii="宋体" w:hAnsi="宋体" w:cs="宋体" w:eastAsia="宋体" w:hint="default"/>
          <w:spacing w:val="-2"/>
        </w:rPr>
        <w:t>4</w:t>
      </w:r>
      <w:r>
        <w:rPr>
          <w:spacing w:val="-2"/>
        </w:rPr>
        <w:t>）对管理层使用持续经营假设的恰当性得出结论。同时，根据获取的审计证据，就可能导致对中装建设持续经营能</w:t>
      </w:r>
      <w:r>
        <w:rPr/>
        <w:t>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于截至审计报告日可获得的信息。然而，未来的事项或情况可能导致中装建设不能持续经营。</w:t>
      </w:r>
    </w:p>
    <w:p>
      <w:pPr>
        <w:pStyle w:val="BodyText"/>
        <w:spacing w:line="240" w:lineRule="auto" w:before="139"/>
        <w:ind w:left="573" w:right="889"/>
        <w:jc w:val="left"/>
      </w:pPr>
      <w:r>
        <w:rPr/>
        <w:t>（</w:t>
      </w:r>
      <w:r>
        <w:rPr>
          <w:rFonts w:ascii="宋体" w:hAnsi="宋体" w:cs="宋体" w:eastAsia="宋体" w:hint="default"/>
        </w:rPr>
        <w:t>5</w:t>
      </w:r>
      <w:r>
        <w:rPr/>
        <w:t>）评价财务报表的总体列报、结构和内容（包括披露），并评价财务报表是否公允反映相关交易和事项。</w:t>
      </w:r>
    </w:p>
    <w:p>
      <w:pPr>
        <w:spacing w:line="240" w:lineRule="auto" w:before="0"/>
        <w:rPr>
          <w:rFonts w:ascii="宋体" w:hAnsi="宋体" w:cs="宋体" w:eastAsia="宋体" w:hint="default"/>
          <w:sz w:val="15"/>
          <w:szCs w:val="15"/>
        </w:rPr>
      </w:pPr>
    </w:p>
    <w:p>
      <w:pPr>
        <w:pStyle w:val="BodyText"/>
        <w:spacing w:line="316" w:lineRule="auto"/>
        <w:ind w:right="1132" w:firstLine="420"/>
        <w:jc w:val="both"/>
      </w:pPr>
      <w:r>
        <w:rPr>
          <w:spacing w:val="-2"/>
        </w:rPr>
        <w:t>（</w:t>
      </w:r>
      <w:r>
        <w:rPr>
          <w:rFonts w:ascii="宋体" w:hAnsi="宋体" w:cs="宋体" w:eastAsia="宋体" w:hint="default"/>
          <w:spacing w:val="-2"/>
        </w:rPr>
        <w:t>6</w:t>
      </w:r>
      <w:r>
        <w:rPr>
          <w:spacing w:val="-2"/>
        </w:rPr>
        <w:t>）就中装建设中实体或业务活动的财务信息获取充分、适当的审计证据，以对财务报表发表审计意见。我们负责指</w:t>
      </w:r>
      <w:r>
        <w:rPr/>
        <w:t> 导、监督和执行集团审计，并对审计意见承担全部责任。</w:t>
      </w:r>
    </w:p>
    <w:p>
      <w:pPr>
        <w:pStyle w:val="BodyText"/>
        <w:spacing w:line="316" w:lineRule="auto" w:before="139"/>
        <w:ind w:left="154" w:right="1133" w:firstLine="420"/>
        <w:jc w:val="both"/>
      </w:pPr>
      <w:r>
        <w:rPr/>
        <w:t>我们与治理层就计划的审计范围、时间安排和重大审计发现等事项进行沟通，包括沟通我们在审计中识别出的值得关 注的内部控制缺陷。</w:t>
      </w:r>
    </w:p>
    <w:p>
      <w:pPr>
        <w:pStyle w:val="BodyText"/>
        <w:spacing w:line="316" w:lineRule="auto" w:before="139"/>
        <w:ind w:left="154" w:right="1133" w:firstLine="420"/>
        <w:jc w:val="both"/>
      </w:pPr>
      <w:r>
        <w:rPr/>
        <w:t>我们还就已遵守与独立性相关的职业道德要求向治理层提供声明，并与治理层沟通可能被合理认为影响我们独立性的 所有关系和其他事项，以及相关的防范措施（如适用）。</w:t>
      </w:r>
    </w:p>
    <w:p>
      <w:pPr>
        <w:pStyle w:val="BodyText"/>
        <w:spacing w:line="316" w:lineRule="auto" w:before="139"/>
        <w:ind w:left="154" w:right="1131" w:firstLine="420"/>
        <w:jc w:val="both"/>
      </w:pPr>
      <w:r>
        <w:rPr/>
        <w:t>从与治理层沟通过的事项中，我们确定哪些事项对本期合并财务报表审计最为重要，因而构成关键审计事项。我们在 </w:t>
      </w:r>
      <w:r>
        <w:rPr>
          <w:spacing w:val="-2"/>
        </w:rPr>
        <w:t>审计报告中描述这些事项，除非法律法规禁止公开披露这些事项，或在极少数情形下，如果合理预期在审计报告中沟通某事</w:t>
      </w:r>
      <w:r>
        <w:rPr>
          <w:spacing w:val="-66"/>
        </w:rPr>
        <w:t> </w:t>
      </w:r>
      <w:r>
        <w:rPr>
          <w:spacing w:val="-66"/>
        </w:rPr>
      </w:r>
      <w:r>
        <w:rPr/>
        <w:t>项造成的负面后果超过在公众利益方面产生的益处，我们确定不应在审计报告中沟通该事项。</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664" w:right="889"/>
        <w:jc w:val="left"/>
        <w:rPr>
          <w:rFonts w:ascii="宋体" w:hAnsi="宋体" w:cs="宋体" w:eastAsia="宋体" w:hint="default"/>
        </w:rPr>
      </w:pPr>
      <w:r>
        <w:rPr/>
        <w:pict>
          <v:group style="position:absolute;margin-left:56.34pt;margin-top:101.291725pt;width:426.9pt;height:.75pt;mso-position-horizontal-relative:page;mso-position-vertical-relative:paragraph;z-index:-895960" coordorigin="1127,2026" coordsize="8538,15">
            <v:group style="position:absolute;left:1134;top:2033;width:4262;height:2" coordorigin="1134,2033" coordsize="4262,2">
              <v:shape style="position:absolute;left:1134;top:2033;width:4262;height:2" coordorigin="1134,2033" coordsize="4262,0" path="m1134,2033l5396,2033e" filled="false" stroked="true" strokeweight=".72pt" strokecolor="#000000">
                <v:path arrowok="t"/>
              </v:shape>
            </v:group>
            <v:group style="position:absolute;left:5396;top:2033;width:15;height:2" coordorigin="5396,2033" coordsize="15,2">
              <v:shape style="position:absolute;left:5396;top:2033;width:15;height:2" coordorigin="5396,2033" coordsize="15,0" path="m5396,2033l5410,2033e" filled="false" stroked="true" strokeweight=".72pt" strokecolor="#000000">
                <v:path arrowok="t"/>
              </v:shape>
            </v:group>
            <v:group style="position:absolute;left:5410;top:2033;width:2295;height:2" coordorigin="5410,2033" coordsize="2295,2">
              <v:shape style="position:absolute;left:5410;top:2033;width:2295;height:2" coordorigin="5410,2033" coordsize="2295,0" path="m5410,2033l7705,2033e" filled="false" stroked="true" strokeweight=".72pt" strokecolor="#000000">
                <v:path arrowok="t"/>
              </v:shape>
            </v:group>
            <v:group style="position:absolute;left:7705;top:2033;width:15;height:2" coordorigin="7705,2033" coordsize="15,2">
              <v:shape style="position:absolute;left:7705;top:2033;width:15;height:2" coordorigin="7705,2033" coordsize="15,0" path="m7705,2033l7719,2033e" filled="false" stroked="true" strokeweight=".72pt" strokecolor="#000000">
                <v:path arrowok="t"/>
              </v:shape>
            </v:group>
            <v:group style="position:absolute;left:7719;top:2033;width:1939;height:2" coordorigin="7719,2033" coordsize="1939,2">
              <v:shape style="position:absolute;left:7719;top:2033;width:1939;height:2" coordorigin="7719,2033" coordsize="1939,0" path="m7719,2033l9658,2033e" filled="false" stroked="true" strokeweight=".72pt" strokecolor="#000000">
                <v:path arrowok="t"/>
              </v:shape>
            </v:group>
            <w10:wrap type="none"/>
          </v:group>
        </w:pict>
      </w:r>
      <w:r>
        <w:rPr>
          <w:rFonts w:ascii="宋体" w:hAnsi="宋体" w:cs="宋体" w:eastAsia="宋体" w:hint="default"/>
        </w:rPr>
        <w:t>[</w:t>
      </w:r>
      <w:r>
        <w:rPr/>
        <w:t>此页无正文</w: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34" w:type="dxa"/>
        <w:tblLayout w:type="fixed"/>
        <w:tblCellMar>
          <w:top w:w="0" w:type="dxa"/>
          <w:left w:w="0" w:type="dxa"/>
          <w:bottom w:w="0" w:type="dxa"/>
          <w:right w:w="0" w:type="dxa"/>
        </w:tblCellMar>
        <w:tblLook w:val="01E0"/>
      </w:tblPr>
      <w:tblGrid>
        <w:gridCol w:w="3382"/>
        <w:gridCol w:w="4262"/>
      </w:tblGrid>
      <w:tr>
        <w:trPr>
          <w:trHeight w:val="779" w:hRule="exact"/>
        </w:trPr>
        <w:tc>
          <w:tcPr>
            <w:tcW w:w="3382" w:type="dxa"/>
            <w:tcBorders>
              <w:top w:val="nil" w:sz="6" w:space="0" w:color="auto"/>
              <w:left w:val="nil" w:sz="6" w:space="0" w:color="auto"/>
              <w:bottom w:val="nil" w:sz="6" w:space="0" w:color="auto"/>
              <w:right w:val="nil" w:sz="6" w:space="0" w:color="auto"/>
            </w:tcBorders>
          </w:tcPr>
          <w:p>
            <w:pPr>
              <w:pStyle w:val="TableParagraph"/>
              <w:spacing w:line="256" w:lineRule="auto" w:before="3"/>
              <w:ind w:left="200" w:right="1079" w:firstLine="595"/>
              <w:jc w:val="left"/>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北京 二〇一八年四月十三日</w:t>
            </w:r>
          </w:p>
        </w:tc>
        <w:tc>
          <w:tcPr>
            <w:tcW w:w="4262" w:type="dxa"/>
            <w:tcBorders>
              <w:top w:val="nil" w:sz="6" w:space="0" w:color="auto"/>
              <w:left w:val="nil" w:sz="6" w:space="0" w:color="auto"/>
              <w:bottom w:val="single" w:sz="6" w:space="0" w:color="000000"/>
              <w:right w:val="nil" w:sz="6" w:space="0" w:color="auto"/>
            </w:tcBorders>
          </w:tcPr>
          <w:p>
            <w:pPr>
              <w:pStyle w:val="TableParagraph"/>
              <w:tabs>
                <w:tab w:pos="1627" w:val="left" w:leader="none"/>
              </w:tabs>
              <w:spacing w:line="273" w:lineRule="auto" w:before="123"/>
              <w:ind w:left="261" w:right="1961" w:hanging="42"/>
              <w:jc w:val="left"/>
              <w:rPr>
                <w:rFonts w:ascii="宋体" w:hAnsi="宋体" w:cs="宋体" w:eastAsia="宋体" w:hint="default"/>
                <w:sz w:val="21"/>
                <w:szCs w:val="21"/>
              </w:rPr>
            </w:pPr>
            <w:r>
              <w:rPr>
                <w:rFonts w:ascii="宋体" w:hAnsi="宋体" w:cs="宋体" w:eastAsia="宋体" w:hint="default"/>
                <w:spacing w:val="-3"/>
                <w:sz w:val="21"/>
                <w:szCs w:val="21"/>
              </w:rPr>
              <w:t>中国注册会计师（项目</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合伙人）：</w:t>
              <w:tab/>
              <w:t>黄琼</w:t>
            </w:r>
          </w:p>
        </w:tc>
      </w:tr>
      <w:tr>
        <w:trPr>
          <w:trHeight w:val="468" w:hRule="exact"/>
        </w:trPr>
        <w:tc>
          <w:tcPr>
            <w:tcW w:w="3382" w:type="dxa"/>
            <w:tcBorders>
              <w:top w:val="nil" w:sz="6" w:space="0" w:color="auto"/>
              <w:left w:val="nil" w:sz="6" w:space="0" w:color="auto"/>
              <w:bottom w:val="nil" w:sz="6" w:space="0" w:color="auto"/>
              <w:right w:val="nil" w:sz="6" w:space="0" w:color="auto"/>
            </w:tcBorders>
          </w:tcPr>
          <w:p>
            <w:pPr/>
          </w:p>
        </w:tc>
        <w:tc>
          <w:tcPr>
            <w:tcW w:w="4262" w:type="dxa"/>
            <w:tcBorders>
              <w:top w:val="single" w:sz="6" w:space="0" w:color="000000"/>
              <w:left w:val="nil" w:sz="6" w:space="0" w:color="auto"/>
              <w:bottom w:val="nil" w:sz="6" w:space="0" w:color="auto"/>
              <w:right w:val="nil" w:sz="6" w:space="0" w:color="auto"/>
            </w:tcBorders>
          </w:tcPr>
          <w:p>
            <w:pPr>
              <w:pStyle w:val="TableParagraph"/>
              <w:spacing w:line="240" w:lineRule="auto" w:before="116"/>
              <w:ind w:left="9" w:right="0"/>
              <w:jc w:val="left"/>
              <w:rPr>
                <w:rFonts w:ascii="宋体" w:hAnsi="宋体" w:cs="宋体" w:eastAsia="宋体" w:hint="default"/>
                <w:sz w:val="21"/>
                <w:szCs w:val="21"/>
              </w:rPr>
            </w:pPr>
            <w:r>
              <w:rPr>
                <w:rFonts w:ascii="宋体" w:hAnsi="宋体" w:cs="宋体" w:eastAsia="宋体" w:hint="default"/>
                <w:sz w:val="21"/>
                <w:szCs w:val="21"/>
              </w:rPr>
              <w:t>中国注册会计师：李世文</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2"/>
        <w:spacing w:line="240" w:lineRule="auto" w:before="26"/>
        <w:ind w:left="154" w:right="889"/>
        <w:jc w:val="left"/>
        <w:rPr>
          <w:b w:val="0"/>
          <w:bCs w:val="0"/>
        </w:rPr>
      </w:pPr>
      <w:r>
        <w:rPr/>
        <w:pict>
          <v:group style="position:absolute;margin-left:56.34pt;margin-top:-28.184353pt;width:426.9pt;height:.75pt;mso-position-horizontal-relative:page;mso-position-vertical-relative:paragraph;z-index:-895936" coordorigin="1127,-564" coordsize="8538,15">
            <v:group style="position:absolute;left:1134;top:-556;width:4262;height:2" coordorigin="1134,-556" coordsize="4262,2">
              <v:shape style="position:absolute;left:1134;top:-556;width:4262;height:2" coordorigin="1134,-556" coordsize="4262,0" path="m1134,-556l5396,-556e" filled="false" stroked="true" strokeweight=".72pt" strokecolor="#000000">
                <v:path arrowok="t"/>
              </v:shape>
            </v:group>
            <v:group style="position:absolute;left:5396;top:-556;width:15;height:2" coordorigin="5396,-556" coordsize="15,2">
              <v:shape style="position:absolute;left:5396;top:-556;width:15;height:2" coordorigin="5396,-556" coordsize="15,0" path="m5396,-556l5410,-556e" filled="false" stroked="true" strokeweight=".72pt" strokecolor="#000000">
                <v:path arrowok="t"/>
              </v:shape>
            </v:group>
            <v:group style="position:absolute;left:5410;top:-556;width:2295;height:2" coordorigin="5410,-556" coordsize="2295,2">
              <v:shape style="position:absolute;left:5410;top:-556;width:2295;height:2" coordorigin="5410,-556" coordsize="2295,0" path="m5410,-556l7705,-556e" filled="false" stroked="true" strokeweight=".72pt" strokecolor="#000000">
                <v:path arrowok="t"/>
              </v:shape>
            </v:group>
            <v:group style="position:absolute;left:7705;top:-556;width:15;height:2" coordorigin="7705,-556" coordsize="15,2">
              <v:shape style="position:absolute;left:7705;top:-556;width:15;height:2" coordorigin="7705,-556" coordsize="15,0" path="m7705,-556l7719,-556e" filled="false" stroked="true" strokeweight=".72pt" strokecolor="#000000">
                <v:path arrowok="t"/>
              </v:shape>
            </v:group>
            <v:group style="position:absolute;left:7719;top:-556;width:1939;height:2" coordorigin="7719,-556" coordsize="1939,2">
              <v:shape style="position:absolute;left:7719;top:-556;width:1939;height:2" coordorigin="7719,-556" coordsize="1939,0" path="m7719,-556l9658,-556e" filled="false" stroked="true" strokeweight=".72pt" strokecolor="#000000">
                <v:path arrowok="t"/>
              </v:shape>
            </v:group>
            <w10:wrap type="none"/>
          </v:group>
        </w:pict>
      </w:r>
      <w:bookmarkStart w:name="二、财务报表" w:id="148"/>
      <w:bookmarkEnd w:id="14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89"/>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889"/>
        <w:jc w:val="left"/>
        <w:rPr>
          <w:b w:val="0"/>
          <w:bCs w:val="0"/>
        </w:rPr>
      </w:pPr>
      <w:bookmarkStart w:name="1、合并资产负债表" w:id="149"/>
      <w:bookmarkEnd w:id="14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编制单位：深圳市中装建设集团股份有限公司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755" w:space="32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1,280,185,824.46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1,292,095,824.40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12,725,874.00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2,338,030,745.71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1,753,029,741.39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15,820,065.65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12,403,413.57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68,597,178.82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45,328,199.21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123,982,177.00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76,584,304.52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35,579.25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3,839,377,444.89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3,187,443,460.09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50,377,882.17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160,635,723.88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125,579,699.24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761,233.92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73,835,524.85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51,939,428.74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144,882.75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144,882.75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1,718,110.10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2,050,499.58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407,978.74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407,978.74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2,693,517.18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290,574,853.59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180,122,489.05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4,129,952,298.48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3,367,565,949.14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13,057,835.40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22,688,837.98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737,416,278.55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576,962,861.20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54,684,857.34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21,521,257.11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11,902,565.39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5,681,684.69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186,122,163.86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122,230,999.49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17,519,460.70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9,730,095.32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1,990,703,161.24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1,427,815,735.79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4,335,305.00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4,616,514.08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104,335,305.00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4,636,514.08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2,095,038,466.24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1,432,452,249.87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660,660,373.06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960,660,373.06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-34,667.90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82,964,825.54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67,105,347.56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691,765,585.13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606,875,083.65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2,035,391,961.74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1,934,606,136.37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-478,129.50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507,562.90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2,034,913,832.24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1,935,113,699.27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4,129,952,298.48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3,367,565,949.14</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法定代表人：庄重</w:t>
        <w:tab/>
        <w:t>主管会计工作负责人：于桂添</w:t>
        <w:tab/>
        <w:t>会计机构负责人：房新芬</w:t>
      </w:r>
    </w:p>
    <w:p>
      <w:pPr>
        <w:spacing w:line="240" w:lineRule="auto" w:before="11"/>
        <w:rPr>
          <w:rFonts w:ascii="宋体" w:hAnsi="宋体" w:cs="宋体" w:eastAsia="宋体" w:hint="default"/>
          <w:sz w:val="26"/>
          <w:szCs w:val="26"/>
        </w:rPr>
      </w:pPr>
    </w:p>
    <w:p>
      <w:pPr>
        <w:pStyle w:val="Heading3"/>
        <w:spacing w:line="240" w:lineRule="auto"/>
        <w:ind w:right="889"/>
        <w:jc w:val="left"/>
        <w:rPr>
          <w:b w:val="0"/>
          <w:bCs w:val="0"/>
        </w:rPr>
      </w:pPr>
      <w:bookmarkStart w:name="2、母公司资产负债表" w:id="150"/>
      <w:bookmarkEnd w:id="15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1,271,062,678.94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1,290,412,559.86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12,521,574.00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2,277,061,729.03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1,714,444,077.39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15,157,129.65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12,403,413.57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97,709,671.24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61,292,865.62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122,818,050.92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76,083,374.14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3,796,330,833.78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3,162,636,290.58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202,813,422.59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100,435,540.42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150,920,893.17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115,341,947.84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2,216,100.85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2,858,152.74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1,718,110.10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2,050,499.58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407,978.74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407,978.74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2,693,517.18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360,770,022.63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221,094,119.32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4,157,100,856.41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3,383,730,409.90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13,057,835.40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22,688,837.98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710,006,846.54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560,996,837.61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54,684,857.34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21,212,663.09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11,639,378.47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5,569,510.79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179,275,373.31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117,347,572.06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83,784,020.61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50,556,014.30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2,022,448,311.67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1,447,371,435.83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4,335,305.00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4,616,514.08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104,335,305.00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4,636,514.08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2,126,783,616.67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1,452,007,949.91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660,654,003.33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960,654,003.33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82,964,825.54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67,105,347.56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686,698,410.87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603,963,109.10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2,030,317,239.74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1,931,722,459.99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4,157,100,856.41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3,383,730,409.90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889"/>
        <w:jc w:val="left"/>
        <w:rPr>
          <w:b w:val="0"/>
          <w:bCs w:val="0"/>
        </w:rPr>
      </w:pPr>
      <w:bookmarkStart w:name="3、合并利润表" w:id="151"/>
      <w:bookmarkEnd w:id="15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581.619995pt;width:157.7pt;height:19.650pt;mso-position-horizontal-relative:page;mso-position-vertical-relative:page;z-index:-895912" coordorigin="4242,11632" coordsize="3154,393">
            <v:shape style="position:absolute;left:4242;top:11632;width:3154;height:393" coordorigin="4242,11632" coordsize="3154,393" path="m4242,12025l7396,12025,7396,11632,4242,11632,4242,12025xe" filled="true" fillcolor="#ffffff" stroked="false">
              <v:path arrowok="t"/>
              <v:fill type="solid"/>
            </v:shape>
            <w10:wrap type="none"/>
          </v:group>
        </w:pict>
      </w:r>
      <w:r>
        <w:rPr/>
        <w:pict>
          <v:group style="position:absolute;margin-left:212.119995pt;margin-top:717.839966pt;width:157.7pt;height:19.650pt;mso-position-horizontal-relative:page;mso-position-vertical-relative:page;z-index:-895888" coordorigin="4242,14357" coordsize="3154,393">
            <v:shape style="position:absolute;left:4242;top:14357;width:3154;height:393" coordorigin="4242,14357" coordsize="3154,393" path="m4242,14749l7396,14749,7396,14357,4242,14357,4242,1474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2"/>
        <w:gridCol w:w="2151"/>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16" w:right="0"/>
              <w:jc w:val="left"/>
              <w:rPr>
                <w:rFonts w:ascii="Times New Roman" w:hAnsi="Times New Roman" w:cs="Times New Roman" w:eastAsia="Times New Roman" w:hint="default"/>
                <w:sz w:val="18"/>
                <w:szCs w:val="18"/>
              </w:rPr>
            </w:pPr>
            <w:r>
              <w:rPr>
                <w:rFonts w:ascii="Times New Roman"/>
                <w:sz w:val="18"/>
              </w:rPr>
              <w:t>3,172,996,288.26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2,691,714,149.77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16" w:right="0"/>
              <w:jc w:val="left"/>
              <w:rPr>
                <w:rFonts w:ascii="Times New Roman" w:hAnsi="Times New Roman" w:cs="Times New Roman" w:eastAsia="Times New Roman" w:hint="default"/>
                <w:sz w:val="18"/>
                <w:szCs w:val="18"/>
              </w:rPr>
            </w:pPr>
            <w:r>
              <w:rPr>
                <w:rFonts w:ascii="Times New Roman"/>
                <w:sz w:val="18"/>
              </w:rPr>
              <w:t>3,172,996,288.26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2,691,714,149.77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16" w:right="0"/>
              <w:jc w:val="left"/>
              <w:rPr>
                <w:rFonts w:ascii="Times New Roman" w:hAnsi="Times New Roman" w:cs="Times New Roman" w:eastAsia="Times New Roman" w:hint="default"/>
                <w:sz w:val="18"/>
                <w:szCs w:val="18"/>
              </w:rPr>
            </w:pPr>
            <w:r>
              <w:rPr>
                <w:rFonts w:ascii="Times New Roman"/>
                <w:sz w:val="18"/>
              </w:rPr>
              <w:t>2,974,352,597.33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2,494,141,927.16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3" w:right="0"/>
              <w:jc w:val="left"/>
              <w:rPr>
                <w:rFonts w:ascii="Times New Roman" w:hAnsi="Times New Roman" w:cs="Times New Roman" w:eastAsia="Times New Roman" w:hint="default"/>
                <w:sz w:val="18"/>
                <w:szCs w:val="18"/>
              </w:rPr>
            </w:pPr>
            <w:r>
              <w:rPr>
                <w:rFonts w:ascii="Times New Roman"/>
                <w:sz w:val="18"/>
              </w:rPr>
              <w:t>2,708,228,113.56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2,256,668,919.95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31,137,073.49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38,796,803.60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32,510,823.64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26,290,561.41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96,656,731.39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78,661,018.17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43,168,798.91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29,833,254.28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62,651,056.34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63,891,369.75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3,985,289.82</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2,487,883.69</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-14,801.61</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-130,287.63</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3,025,080.66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205,639,259.80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197,441,934.98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574,421.30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3,989,613.89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3,934,931.06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4,652,268.29</w:t>
            </w: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2"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202,278,750.04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196,779,280.58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42,060,894.62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41,060,393.84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160,217,855.42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155,718,886.74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160,217,855.42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155,718,886.74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160,749,979.46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156,183,203.24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-532,124.04</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-464,316.50</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70,286.10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-47,858.00</w:t>
            </w:r>
            <w:r>
              <w:rPr>
                <w:rFonts w:ascii="Times New Roman"/>
                <w:sz w:val="18"/>
              </w:rPr>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35,845.91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-24,407.58</w:t>
            </w:r>
            <w:r>
              <w:rPr>
                <w:rFonts w:ascii="Times New Roman"/>
                <w:sz w:val="18"/>
              </w:rPr>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35,845.91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-24,407.58</w:t>
            </w:r>
            <w:r>
              <w:rPr>
                <w:rFonts w:ascii="Times New Roman"/>
                <w:sz w:val="18"/>
              </w:rPr>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35,845.91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-24,407.58</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34,440.19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-23,450.42</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160,288,141.52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155,671,028.74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160,785,825.37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156,158,795.66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-497,683.85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-487,766.92</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321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r>
    </w:tbl>
    <w:p>
      <w:pPr>
        <w:pStyle w:val="BodyText"/>
        <w:tabs>
          <w:tab w:pos="3484" w:val="left" w:leader="none"/>
          <w:tab w:pos="771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法定代表人：庄重</w:t>
        <w:tab/>
        <w:t>主管会计工作负责人：于桂添</w:t>
        <w:tab/>
        <w:t>会计机构负责人：房新芬 </w:t>
      </w:r>
      <w:bookmarkStart w:name="4、母公司利润表" w:id="152"/>
      <w:bookmarkEnd w:id="15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3,087,493,354.35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2,619,619,908.83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2,637,869,137.68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2,199,481,801.60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30,059,684.59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37,330,958.58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31,002,091.43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24,960,732.20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87,854,287.09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70,414,596.53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43,179,980.33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29,827,394.44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60,721,185.54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63,703,096.60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1,937,324.05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-69,403.47</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2,487,883.69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-12,147.24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-130,287.63</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3,013,679.20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201,745,843.70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193,701,637.78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574,421.16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3,808,503.84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3,878,907.42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4,650,259.27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198,441,357.44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192,859,882.35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39,846,577.69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38,835,710.63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158,594,779.75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154,024,171.72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158,594,779.75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154,024,171.72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158,594,779.75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154,024,171.72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5、合并现金流量表" w:id="153"/>
      <w:bookmarkEnd w:id="15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2,776,352,912.35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2,370,850,157.98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13,417,157.96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11,012,606.83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2,789,770,070.31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2,381,862,764.81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2,678,455,094.51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2,258,202,747.11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72,449,956.40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62,021,327.18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130,567,306.55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113,288,000.35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86,596,285.27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60,230,257.85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2,968,068,642.73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2,493,742,332.49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-178,298,572.42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-111,879,567.68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99,684,542.42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23,467.00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481,812,863.71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581,497,406.13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1,523,467.00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63,685,712.60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8,163,434.26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147,889,998.48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697,575,711.08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8,163,434.26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-116,078,304.95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-6,639,967.26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767,250,000.00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129,738.62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2,011,379,738.62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111,382,264.67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30,429,399.13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7,071,981.11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80,136,483.95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1,407,454,245.78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1,155,565,883.08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282,545,754.22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855,813,855.54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-0.14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-47,858.00</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-11,831,123.29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737,246,462.60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1,266,202,177.80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528,955,715.20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1,254,371,054.51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1,266,202,177.80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889"/>
        <w:jc w:val="left"/>
        <w:rPr>
          <w:b w:val="0"/>
          <w:bCs w:val="0"/>
        </w:rPr>
      </w:pPr>
      <w:bookmarkStart w:name="6、母公司现金流量表" w:id="154"/>
      <w:bookmarkEnd w:id="15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2,708,219,932.68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2,313,645,332.04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17,082,219.07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10,764,984.72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2,725,302,151.75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2,324,410,316.76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2,614,596,367.08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2,215,138,763.13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69,464,412.56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58,977,984.72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124,935,934.71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109,876,247.52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58,976,080.87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52,489,454.77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2,867,972,795.22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2,436,482,450.14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-142,670,643.47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-112,072,133.38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101,636,576.65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928,044.50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23,467.00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481,812,863.71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583,449,440.36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2,451,511.50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52,689,822.13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7,665,800.90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203,889,998.48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742,579,820.61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7,665,800.90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-159,130,380.25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-5,214,289.40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767,250,000.00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129,738.62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2,011,379,738.62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111,397,999.44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30,429,399.13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7,071,981.11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80,136,483.95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1,407,469,980.55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1,155,565,883.08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282,530,019.45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855,813,855.54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-19,271,004.27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738,527,432.76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1,264,518,913.26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525,991,480.50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1,245,247,908.99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1,264,518,913.26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889"/>
        <w:jc w:val="left"/>
        <w:rPr>
          <w:b w:val="0"/>
          <w:bCs w:val="0"/>
        </w:rPr>
      </w:pPr>
      <w:bookmarkStart w:name="7、合并所有者权益变动表" w:id="155"/>
      <w:bookmarkEnd w:id="15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889"/>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960,660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,373.06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67,105,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347.56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606,875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,083.65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507,562</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.90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1,935,1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13,699.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960,660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,373.06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67,105,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347.56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606,875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,083.65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507,562</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.90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1,935,1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13,699.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4"/>
              <w:ind w:left="6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15,859,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477.98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84,890,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501.48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-985,69</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2.40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99,800,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132.97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160,749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,979.46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-497,68</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3.85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160,288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,141.52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-488,00</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-488,00</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8.55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-488,00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8.55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-488,00</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8.55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15,859,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477.98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-75,859,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477.98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15,859,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477.98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-15,859,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477.98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62,431,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962.88</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62,431,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962.88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-62,431,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962.88</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-62,431,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962.88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660,660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,373.06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82,964,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825.54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691,765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,585.13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-478,12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9.50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13,832.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r>
    </w:tbl>
    <w:p>
      <w:pPr>
        <w:pStyle w:val="BodyText"/>
        <w:spacing w:line="240" w:lineRule="auto" w:before="51"/>
        <w:ind w:left="154" w:right="889"/>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6822"/>
        <w:gridCol w:w="652"/>
        <w:gridCol w:w="647"/>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6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0"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3" w:right="0"/>
              <w:jc w:val="left"/>
              <w:rPr>
                <w:rFonts w:ascii="宋体" w:hAnsi="宋体" w:cs="宋体" w:eastAsia="宋体" w:hint="default"/>
                <w:sz w:val="18"/>
                <w:szCs w:val="18"/>
              </w:rPr>
            </w:pPr>
            <w:r>
              <w:rPr>
                <w:rFonts w:ascii="宋体" w:hAnsi="宋体" w:cs="宋体" w:eastAsia="宋体" w:hint="default"/>
                <w:sz w:val="18"/>
                <w:szCs w:val="18"/>
              </w:rPr>
              <w:t>所有者</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206"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single" w:sz="4" w:space="0" w:color="000000"/>
              <w:left w:val="single" w:sz="9" w:space="0" w:color="D2D2D2"/>
              <w:right w:val="single" w:sz="4" w:space="0" w:color="000000"/>
            </w:tcBorders>
          </w:tcPr>
          <w:p>
            <w:pPr>
              <w:pStyle w:val="TableParagraph"/>
              <w:spacing w:line="240" w:lineRule="auto" w:before="11"/>
              <w:ind w:left="43"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59" w:type="dxa"/>
            <w:vMerge w:val="restart"/>
            <w:tcBorders>
              <w:top w:val="single" w:sz="4" w:space="0" w:color="000000"/>
              <w:left w:val="single" w:sz="4" w:space="0" w:color="000000"/>
              <w:right w:val="single" w:sz="4" w:space="0" w:color="000000"/>
            </w:tcBorders>
          </w:tcPr>
          <w:p>
            <w:pPr>
              <w:pStyle w:val="TableParagraph"/>
              <w:spacing w:line="319" w:lineRule="auto" w:before="10"/>
              <w:ind w:left="234" w:right="53"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191"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6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91"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206"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9" w:space="0" w:color="D2D2D2"/>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225,00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354,773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,546.20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51,702,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930.39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466,094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,297.58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995,329</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.82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55,843.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225,00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354,773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,546.20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51,702,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930.39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466,094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,297.58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995,329</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.82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55,843.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605,886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,826.86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15,402,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417.17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140,780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,786.07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-487,76</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6.92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836,557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,855.60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156,183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,203.24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-487,76</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6.92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155,671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,028.74</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605,886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,826.86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680,886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,826.86</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605,886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,826.86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680,886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,826.86</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15,402,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417.17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-15,402,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417.17</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15,402,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417.17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-15,402,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417.17</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52,223,</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104.11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52,223,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104.11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-52,223,</w:t>
            </w:r>
          </w:p>
          <w:p>
            <w:pPr>
              <w:pStyle w:val="TableParagraph"/>
              <w:spacing w:line="240" w:lineRule="auto" w:before="106"/>
              <w:ind w:left="118" w:right="0"/>
              <w:jc w:val="center"/>
              <w:rPr>
                <w:rFonts w:ascii="Times New Roman" w:hAnsi="Times New Roman" w:cs="Times New Roman" w:eastAsia="Times New Roman" w:hint="default"/>
                <w:sz w:val="18"/>
                <w:szCs w:val="18"/>
              </w:rPr>
            </w:pPr>
            <w:r>
              <w:rPr>
                <w:rFonts w:ascii="Times New Roman"/>
                <w:sz w:val="18"/>
              </w:rPr>
              <w:t>104.11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-52,223,</w:t>
            </w:r>
          </w:p>
          <w:p>
            <w:pPr>
              <w:pStyle w:val="TableParagraph"/>
              <w:spacing w:line="240" w:lineRule="auto" w:before="106"/>
              <w:ind w:left="112" w:right="0"/>
              <w:jc w:val="center"/>
              <w:rPr>
                <w:rFonts w:ascii="Times New Roman" w:hAnsi="Times New Roman" w:cs="Times New Roman" w:eastAsia="Times New Roman" w:hint="default"/>
                <w:sz w:val="18"/>
                <w:szCs w:val="18"/>
              </w:rPr>
            </w:pPr>
            <w:r>
              <w:rPr>
                <w:rFonts w:ascii="Times New Roman"/>
                <w:sz w:val="18"/>
              </w:rPr>
              <w:t>104.11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960,660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,373.06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67,105,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347.56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606,875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,083.65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507,562</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1,935,1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13,699.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889"/>
        <w:jc w:val="left"/>
        <w:rPr>
          <w:b w:val="0"/>
          <w:bCs w:val="0"/>
        </w:rPr>
      </w:pPr>
      <w:bookmarkStart w:name="8、母公司所有者权益变动表" w:id="156"/>
      <w:bookmarkEnd w:id="15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889"/>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960,654,0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03.33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67,105,34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7.56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603,963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,109.10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1,931,722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,459.99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960,654,0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03.33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67,105,34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7.56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603,963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,109.10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1,931,722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,459.99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15,859,47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82,735,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301.77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98,594,77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9.75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158,594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,779.75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158,594,7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79.75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15,859,47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-75,859,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477.98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15,859,47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-15,859,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477.98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60,719,82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1.23</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60,719,82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1.23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-60,719,8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21.23</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-60,719,8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21.23</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600,000,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660,654,0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82,964,82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 w:right="0"/>
              <w:jc w:val="left"/>
              <w:rPr>
                <w:rFonts w:ascii="Times New Roman" w:hAnsi="Times New Roman" w:cs="Times New Roman" w:eastAsia="Times New Roman" w:hint="default"/>
                <w:sz w:val="18"/>
                <w:szCs w:val="18"/>
              </w:rPr>
            </w:pPr>
            <w:r>
              <w:rPr>
                <w:rFonts w:ascii="Times New Roman"/>
                <w:sz w:val="18"/>
              </w:rPr>
              <w:t>686,698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2,030,317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4"/>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03.33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5.54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,410.87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,239.74</w:t>
            </w:r>
          </w:p>
        </w:tc>
      </w:tr>
    </w:tbl>
    <w:p>
      <w:pPr>
        <w:pStyle w:val="BodyText"/>
        <w:spacing w:line="240" w:lineRule="auto" w:before="51"/>
        <w:ind w:left="154" w:right="889"/>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225,000,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354,767,1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76.47</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51,702,93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0.39</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465,341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,354.55</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11" w:right="0"/>
              <w:jc w:val="center"/>
              <w:rPr>
                <w:rFonts w:ascii="Times New Roman" w:hAnsi="Times New Roman" w:cs="Times New Roman" w:eastAsia="Times New Roman" w:hint="default"/>
                <w:sz w:val="18"/>
                <w:szCs w:val="18"/>
              </w:rPr>
            </w:pPr>
            <w:r>
              <w:rPr>
                <w:rFonts w:ascii="Times New Roman"/>
                <w:sz w:val="18"/>
              </w:rPr>
              <w:t>1,096,811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,461.41</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225,000,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354,767,1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76.47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51,702,93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0.39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465,341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,354.55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1,096,811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,461.41</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605,886,8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26.86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15,402,41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7.17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138,621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,754.55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834,910,9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98.58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154,024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,171.72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154,024,1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71.72</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605,886,8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26.86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680,886,8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26.86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605,886,8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26.86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680,886,8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26.86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15,402,41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7.17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-15,402,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417.17</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15,402,41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7.17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-15,402,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417.17</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pacing w:val="-7"/>
                <w:sz w:val="18"/>
                <w:szCs w:val="18"/>
              </w:rPr>
              <w:t>（四）所有者权益</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50,782,62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3.72</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50,782,62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3.72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-50,782,6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23.72</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-50,782,6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23.72</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960,654,0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03.33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67,105,34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7.56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603,963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,109.10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1,931,722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,459.99</w:t>
            </w:r>
          </w:p>
        </w:tc>
      </w:tr>
    </w:tbl>
    <w:p>
      <w:pPr>
        <w:spacing w:line="240" w:lineRule="auto" w:before="2"/>
        <w:rPr>
          <w:rFonts w:ascii="宋体" w:hAnsi="宋体" w:cs="宋体" w:eastAsia="宋体" w:hint="default"/>
          <w:sz w:val="18"/>
          <w:szCs w:val="18"/>
        </w:rPr>
      </w:pPr>
    </w:p>
    <w:p>
      <w:pPr>
        <w:pStyle w:val="Heading2"/>
        <w:spacing w:line="240" w:lineRule="auto" w:before="26"/>
        <w:ind w:left="154" w:right="889"/>
        <w:jc w:val="left"/>
        <w:rPr>
          <w:b w:val="0"/>
          <w:bCs w:val="0"/>
        </w:rPr>
      </w:pPr>
      <w:bookmarkStart w:name="三、公司基本情况" w:id="157"/>
      <w:bookmarkEnd w:id="157"/>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4" w:firstLine="420"/>
        <w:jc w:val="both"/>
      </w:pPr>
      <w:r>
        <w:rPr>
          <w:spacing w:val="3"/>
        </w:rPr>
        <w:t>深圳市中装建设集团股份有限公司</w:t>
      </w:r>
      <w:r>
        <w:rPr>
          <w:rFonts w:ascii="宋体" w:hAnsi="宋体" w:cs="宋体" w:eastAsia="宋体" w:hint="default"/>
          <w:spacing w:val="3"/>
        </w:rPr>
        <w:t>(</w:t>
      </w:r>
      <w:r>
        <w:rPr>
          <w:spacing w:val="3"/>
        </w:rPr>
        <w:t>以下简称公司或本公司</w:t>
      </w:r>
      <w:r>
        <w:rPr>
          <w:rFonts w:ascii="宋体" w:hAnsi="宋体" w:cs="宋体" w:eastAsia="宋体" w:hint="default"/>
          <w:spacing w:val="3"/>
        </w:rPr>
        <w:t>)</w:t>
      </w:r>
      <w:r>
        <w:rPr>
          <w:spacing w:val="3"/>
        </w:rPr>
        <w:t>前身深圳市福腾设计装饰公司</w:t>
      </w:r>
      <w:r>
        <w:rPr>
          <w:rFonts w:ascii="宋体" w:hAnsi="宋体" w:cs="宋体" w:eastAsia="宋体" w:hint="default"/>
          <w:spacing w:val="3"/>
        </w:rPr>
        <w:t>(</w:t>
      </w:r>
      <w:r>
        <w:rPr>
          <w:spacing w:val="3"/>
        </w:rPr>
        <w:t>以下简称福腾装饰</w:t>
      </w:r>
      <w:r>
        <w:rPr>
          <w:rFonts w:ascii="宋体" w:hAnsi="宋体" w:cs="宋体" w:eastAsia="宋体" w:hint="default"/>
          <w:spacing w:val="3"/>
        </w:rPr>
        <w:t>)</w:t>
      </w:r>
      <w:r>
        <w:rPr>
          <w:spacing w:val="3"/>
        </w:rPr>
        <w:t>，于</w:t>
      </w:r>
      <w:r>
        <w:rPr>
          <w:spacing w:val="6"/>
        </w:rPr>
        <w:t> </w:t>
      </w:r>
      <w:r>
        <w:rPr>
          <w:rFonts w:ascii="宋体" w:hAnsi="宋体" w:cs="宋体" w:eastAsia="宋体" w:hint="default"/>
        </w:rPr>
        <w:t>1994</w:t>
      </w:r>
      <w:r>
        <w:rPr/>
        <w:t>年</w:t>
      </w:r>
      <w:r>
        <w:rPr>
          <w:rFonts w:ascii="宋体" w:hAnsi="宋体" w:cs="宋体" w:eastAsia="宋体" w:hint="default"/>
        </w:rPr>
        <w:t>4</w:t>
      </w:r>
      <w:r>
        <w:rPr/>
        <w:t>月</w:t>
      </w:r>
      <w:r>
        <w:rPr>
          <w:rFonts w:ascii="宋体" w:hAnsi="宋体" w:cs="宋体" w:eastAsia="宋体" w:hint="default"/>
        </w:rPr>
        <w:t>29</w:t>
      </w:r>
      <w:r>
        <w:rPr/>
        <w:t>日经深圳市工商行政管理局批准，由深圳民富实业发展公司</w:t>
      </w:r>
      <w:r>
        <w:rPr>
          <w:rFonts w:ascii="宋体" w:hAnsi="宋体" w:cs="宋体" w:eastAsia="宋体" w:hint="default"/>
        </w:rPr>
        <w:t>(</w:t>
      </w:r>
      <w:r>
        <w:rPr/>
        <w:t>以下简称民富实业</w:t>
      </w:r>
      <w:r>
        <w:rPr>
          <w:rFonts w:ascii="宋体" w:hAnsi="宋体" w:cs="宋体" w:eastAsia="宋体" w:hint="default"/>
        </w:rPr>
        <w:t>)</w:t>
      </w:r>
      <w:r>
        <w:rPr/>
        <w:t>出资组建且挂靠于深圳市社会</w:t>
      </w:r>
      <w:r>
        <w:rPr>
          <w:spacing w:val="-82"/>
        </w:rPr>
        <w:t> </w:t>
      </w:r>
      <w:r>
        <w:rPr>
          <w:spacing w:val="-82"/>
        </w:rPr>
      </w:r>
      <w:r>
        <w:rPr/>
        <w:t>福利总公司的企业</w:t>
      </w:r>
      <w:r>
        <w:rPr>
          <w:rFonts w:ascii="宋体" w:hAnsi="宋体" w:cs="宋体" w:eastAsia="宋体" w:hint="default"/>
        </w:rPr>
        <w:t>,</w:t>
      </w:r>
      <w:r>
        <w:rPr/>
        <w:t>并取得注册号为</w:t>
      </w:r>
      <w:r>
        <w:rPr>
          <w:rFonts w:ascii="宋体" w:hAnsi="宋体" w:cs="宋体" w:eastAsia="宋体" w:hint="default"/>
        </w:rPr>
        <w:t>19226637-1</w:t>
      </w:r>
      <w:r>
        <w:rPr/>
        <w:t>号的《企业法人营业执照》</w:t>
      </w:r>
      <w:r>
        <w:rPr>
          <w:rFonts w:ascii="宋体" w:hAnsi="宋体" w:cs="宋体" w:eastAsia="宋体" w:hint="default"/>
        </w:rPr>
        <w:t>,</w:t>
      </w:r>
      <w:r>
        <w:rPr/>
        <w:t>注册资本</w:t>
      </w:r>
      <w:r>
        <w:rPr>
          <w:rFonts w:ascii="宋体" w:hAnsi="宋体" w:cs="宋体" w:eastAsia="宋体" w:hint="default"/>
        </w:rPr>
        <w:t>600,000.00</w:t>
      </w:r>
      <w:r>
        <w:rPr/>
        <w:t>元。</w:t>
      </w:r>
    </w:p>
    <w:p>
      <w:pPr>
        <w:pStyle w:val="BodyText"/>
        <w:spacing w:line="240" w:lineRule="auto" w:before="139"/>
        <w:ind w:left="573" w:right="889"/>
        <w:jc w:val="left"/>
      </w:pPr>
      <w:r>
        <w:rPr>
          <w:rFonts w:ascii="宋体" w:hAnsi="宋体" w:cs="宋体" w:eastAsia="宋体" w:hint="default"/>
        </w:rPr>
        <w:t>2001</w:t>
      </w:r>
      <w:r>
        <w:rPr/>
        <w:t>年</w:t>
      </w:r>
      <w:r>
        <w:rPr>
          <w:rFonts w:ascii="宋体" w:hAnsi="宋体" w:cs="宋体" w:eastAsia="宋体" w:hint="default"/>
        </w:rPr>
        <w:t>6</w:t>
      </w:r>
      <w:r>
        <w:rPr/>
        <w:t>月</w:t>
      </w:r>
      <w:r>
        <w:rPr>
          <w:rFonts w:ascii="宋体" w:hAnsi="宋体" w:cs="宋体" w:eastAsia="宋体" w:hint="default"/>
        </w:rPr>
        <w:t>21</w:t>
      </w:r>
      <w:r>
        <w:rPr/>
        <w:t>日，福腾装饰更名为深圳市中装设计装饰工程有限公司</w:t>
      </w:r>
      <w:r>
        <w:rPr>
          <w:rFonts w:ascii="宋体" w:hAnsi="宋体" w:cs="宋体" w:eastAsia="宋体" w:hint="default"/>
        </w:rPr>
        <w:t>(</w:t>
      </w:r>
      <w:r>
        <w:rPr/>
        <w:t>以下简称为中装有限</w:t>
      </w:r>
      <w:r>
        <w:rPr>
          <w:rFonts w:ascii="宋体" w:hAnsi="宋体" w:cs="宋体" w:eastAsia="宋体" w:hint="default"/>
        </w:rPr>
        <w:t>)</w:t>
      </w:r>
      <w:r>
        <w:rPr/>
        <w:t>。</w:t>
      </w:r>
    </w:p>
    <w:p>
      <w:pPr>
        <w:spacing w:line="240" w:lineRule="auto" w:before="0"/>
        <w:rPr>
          <w:rFonts w:ascii="宋体" w:hAnsi="宋体" w:cs="宋体" w:eastAsia="宋体" w:hint="default"/>
          <w:sz w:val="15"/>
          <w:szCs w:val="15"/>
        </w:rPr>
      </w:pPr>
    </w:p>
    <w:p>
      <w:pPr>
        <w:pStyle w:val="BodyText"/>
        <w:spacing w:line="316" w:lineRule="auto"/>
        <w:ind w:right="1132" w:firstLine="420"/>
        <w:jc w:val="both"/>
      </w:pPr>
      <w:r>
        <w:rPr>
          <w:rFonts w:ascii="宋体" w:hAnsi="宋体" w:cs="宋体" w:eastAsia="宋体" w:hint="default"/>
          <w:spacing w:val="-1"/>
        </w:rPr>
        <w:t>2012</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26</w:t>
      </w:r>
      <w:r>
        <w:rPr>
          <w:spacing w:val="-1"/>
        </w:rPr>
        <w:t>日，中装有限以</w:t>
      </w:r>
      <w:r>
        <w:rPr>
          <w:rFonts w:ascii="宋体" w:hAnsi="宋体" w:cs="宋体" w:eastAsia="宋体" w:hint="default"/>
          <w:spacing w:val="-1"/>
        </w:rPr>
        <w:t>2012</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31</w:t>
      </w:r>
      <w:r>
        <w:rPr>
          <w:spacing w:val="-1"/>
        </w:rPr>
        <w:t>日为基准日整体变更为股份有限公司，于</w:t>
      </w:r>
      <w:r>
        <w:rPr>
          <w:rFonts w:ascii="宋体" w:hAnsi="宋体" w:cs="宋体" w:eastAsia="宋体" w:hint="default"/>
          <w:spacing w:val="-1"/>
        </w:rPr>
        <w:t>2012</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16</w:t>
      </w:r>
      <w:r>
        <w:rPr>
          <w:spacing w:val="-1"/>
        </w:rPr>
        <w:t>日在深圳市市场监督管</w:t>
      </w:r>
      <w:r>
        <w:rPr/>
        <w:t> 理局办妥相关变更登记手续，同时本公司名称变更为深圳市中装建设集团股份有限公司。</w:t>
      </w:r>
    </w:p>
    <w:p>
      <w:pPr>
        <w:pStyle w:val="BodyText"/>
        <w:spacing w:line="316" w:lineRule="auto" w:before="139"/>
        <w:ind w:right="1131" w:firstLine="420"/>
        <w:jc w:val="both"/>
      </w:pP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4</w:t>
      </w:r>
      <w:r>
        <w:rPr>
          <w:rFonts w:ascii="宋体" w:hAnsi="宋体" w:cs="宋体" w:eastAsia="宋体" w:hint="default"/>
          <w:spacing w:val="-49"/>
        </w:rPr>
        <w:t> </w:t>
      </w:r>
      <w:r>
        <w:rPr/>
        <w:t>日，经中国证券监督管理委员会证监许可</w:t>
      </w:r>
      <w:r>
        <w:rPr>
          <w:rFonts w:ascii="宋体" w:hAnsi="宋体" w:cs="宋体" w:eastAsia="宋体" w:hint="default"/>
        </w:rPr>
        <w:t>[2016]2351</w:t>
      </w:r>
      <w:r>
        <w:rPr/>
        <w:t>号文的核准，公司首次公开发行</w:t>
      </w:r>
      <w:r>
        <w:rPr>
          <w:rFonts w:ascii="宋体" w:hAnsi="宋体" w:cs="宋体" w:eastAsia="宋体" w:hint="default"/>
        </w:rPr>
        <w:t>7,500</w:t>
      </w:r>
      <w:r>
        <w:rPr/>
        <w:t>万股人民币普 </w:t>
      </w:r>
      <w:r>
        <w:rPr>
          <w:spacing w:val="-2"/>
        </w:rPr>
        <w:t>通股股票。公司已于</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23</w:t>
      </w:r>
      <w:r>
        <w:rPr>
          <w:spacing w:val="-2"/>
        </w:rPr>
        <w:t>日收到上述募集资金净额为人民币</w:t>
      </w:r>
      <w:r>
        <w:rPr>
          <w:rFonts w:ascii="宋体" w:hAnsi="宋体" w:cs="宋体" w:eastAsia="宋体" w:hint="default"/>
          <w:spacing w:val="-2"/>
        </w:rPr>
        <w:t>676,031,984.01</w:t>
      </w:r>
      <w:r>
        <w:rPr>
          <w:spacing w:val="-2"/>
        </w:rPr>
        <w:t>元。</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29</w:t>
      </w:r>
      <w:r>
        <w:rPr>
          <w:spacing w:val="-2"/>
        </w:rPr>
        <w:t>日，公司股票在深圳</w:t>
      </w:r>
      <w:r>
        <w:rPr>
          <w:spacing w:val="-36"/>
        </w:rPr>
        <w:t> </w:t>
      </w:r>
      <w:r>
        <w:rPr>
          <w:spacing w:val="-36"/>
        </w:rPr>
      </w:r>
      <w:r>
        <w:rPr/>
        <w:t>证券交易所挂牌交易。</w:t>
      </w:r>
    </w:p>
    <w:p>
      <w:pPr>
        <w:pStyle w:val="BodyText"/>
        <w:spacing w:line="316" w:lineRule="auto" w:before="139"/>
        <w:ind w:right="1130" w:firstLine="420"/>
        <w:jc w:val="both"/>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12</w:t>
      </w:r>
      <w:r>
        <w:rPr/>
        <w:t>日，根据股东大会决议，公司以</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日股份总数</w:t>
      </w:r>
      <w:r>
        <w:rPr>
          <w:rFonts w:ascii="宋体" w:hAnsi="宋体" w:cs="宋体" w:eastAsia="宋体" w:hint="default"/>
        </w:rPr>
        <w:t>30,000.00</w:t>
      </w:r>
      <w:r>
        <w:rPr/>
        <w:t>万股为基数，以资本公积金向每位股 东每</w:t>
      </w:r>
      <w:r>
        <w:rPr>
          <w:rFonts w:ascii="宋体" w:hAnsi="宋体" w:cs="宋体" w:eastAsia="宋体" w:hint="default"/>
        </w:rPr>
        <w:t>10</w:t>
      </w:r>
      <w:r>
        <w:rPr/>
        <w:t>股转增</w:t>
      </w:r>
      <w:r>
        <w:rPr>
          <w:rFonts w:ascii="宋体" w:hAnsi="宋体" w:cs="宋体" w:eastAsia="宋体" w:hint="default"/>
        </w:rPr>
        <w:t>10</w:t>
      </w:r>
      <w:r>
        <w:rPr/>
        <w:t>股，共计转增</w:t>
      </w:r>
      <w:r>
        <w:rPr>
          <w:rFonts w:ascii="宋体" w:hAnsi="宋体" w:cs="宋体" w:eastAsia="宋体" w:hint="default"/>
        </w:rPr>
        <w:t>30,000.00</w:t>
      </w:r>
      <w:r>
        <w:rPr/>
        <w:t>万股，变更后的注册资本为</w:t>
      </w:r>
      <w:r>
        <w:rPr>
          <w:rFonts w:ascii="宋体" w:hAnsi="宋体" w:cs="宋体" w:eastAsia="宋体" w:hint="default"/>
        </w:rPr>
        <w:t>60,000.00</w:t>
      </w:r>
      <w:r>
        <w:rPr/>
        <w:t>万元，公司已于</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30</w:t>
      </w:r>
      <w:r>
        <w:rPr/>
        <w:t>日办理完工商变</w:t>
      </w:r>
      <w:r>
        <w:rPr>
          <w:spacing w:val="-84"/>
        </w:rPr>
        <w:t> </w:t>
      </w:r>
      <w:r>
        <w:rPr>
          <w:spacing w:val="-84"/>
        </w:rPr>
      </w:r>
      <w:r>
        <w:rPr/>
        <w:t>更登记手续。</w:t>
      </w:r>
    </w:p>
    <w:p>
      <w:pPr>
        <w:pStyle w:val="BodyText"/>
        <w:spacing w:line="439" w:lineRule="auto" w:before="139"/>
        <w:ind w:left="573" w:right="4213"/>
        <w:jc w:val="left"/>
      </w:pPr>
      <w:r>
        <w:rPr/>
        <w:t>公司现有注册资本</w:t>
      </w:r>
      <w:r>
        <w:rPr>
          <w:rFonts w:ascii="宋体" w:hAnsi="宋体" w:cs="宋体" w:eastAsia="宋体" w:hint="default"/>
        </w:rPr>
        <w:t>60,000</w:t>
      </w:r>
      <w:r>
        <w:rPr/>
        <w:t>万元，股份总额</w:t>
      </w:r>
      <w:r>
        <w:rPr>
          <w:rFonts w:ascii="宋体" w:hAnsi="宋体" w:cs="宋体" w:eastAsia="宋体" w:hint="default"/>
        </w:rPr>
        <w:t>60,000</w:t>
      </w:r>
      <w:r>
        <w:rPr/>
        <w:t>万股（每股面值</w:t>
      </w:r>
      <w:r>
        <w:rPr>
          <w:rFonts w:ascii="宋体" w:hAnsi="宋体" w:cs="宋体" w:eastAsia="宋体" w:hint="default"/>
        </w:rPr>
        <w:t>1</w:t>
      </w:r>
      <w:r>
        <w:rPr/>
        <w:t>元）。 注册地址：深圳市罗湖区深南东路</w:t>
      </w:r>
      <w:r>
        <w:rPr>
          <w:rFonts w:ascii="宋体" w:hAnsi="宋体" w:cs="宋体" w:eastAsia="宋体" w:hint="default"/>
        </w:rPr>
        <w:t>4002</w:t>
      </w:r>
      <w:r>
        <w:rPr/>
        <w:t>号鸿隆世纪广场四—五层</w:t>
      </w:r>
      <w:r>
        <w:rPr>
          <w:rFonts w:ascii="宋体" w:hAnsi="宋体" w:cs="宋体" w:eastAsia="宋体" w:hint="default"/>
        </w:rPr>
        <w:t>(</w:t>
      </w:r>
      <w:r>
        <w:rPr/>
        <w:t>仅限办公</w:t>
      </w:r>
      <w:r>
        <w:rPr>
          <w:rFonts w:ascii="宋体" w:hAnsi="宋体" w:cs="宋体" w:eastAsia="宋体" w:hint="default"/>
        </w:rPr>
        <w:t>)</w:t>
      </w:r>
      <w:r>
        <w:rPr/>
        <w:t>。 公司所处行业：建筑装饰业。</w:t>
      </w:r>
    </w:p>
    <w:p>
      <w:pPr>
        <w:pStyle w:val="BodyText"/>
        <w:spacing w:line="316" w:lineRule="auto" w:before="47"/>
        <w:ind w:right="1130" w:firstLine="420"/>
        <w:jc w:val="both"/>
      </w:pPr>
      <w:r>
        <w:rPr/>
        <w:t>经营范围：建筑装修装饰工程专业承包壹级；电子与智能化工程专业承包壹级；建筑机电安装工程专业承包壹级；建 </w:t>
      </w:r>
      <w:r>
        <w:rPr>
          <w:spacing w:val="-2"/>
        </w:rPr>
        <w:t>筑幕墙工程专业承包壹级；防水防腐保温工程专业承包壹级（以上均按建设部</w:t>
      </w:r>
      <w:r>
        <w:rPr>
          <w:rFonts w:ascii="宋体" w:hAnsi="宋体" w:cs="宋体" w:eastAsia="宋体" w:hint="default"/>
          <w:spacing w:val="-2"/>
        </w:rPr>
        <w:t>D244023230</w:t>
      </w:r>
      <w:r>
        <w:rPr>
          <w:spacing w:val="-2"/>
        </w:rPr>
        <w:t>号建筑业企业资质证书经营）；消</w:t>
      </w:r>
      <w:r>
        <w:rPr>
          <w:spacing w:val="-56"/>
        </w:rPr>
        <w:t> </w:t>
      </w:r>
      <w:r>
        <w:rPr>
          <w:spacing w:val="-56"/>
        </w:rPr>
      </w:r>
      <w:r>
        <w:rPr>
          <w:spacing w:val="-2"/>
        </w:rPr>
        <w:t>防设施工程专业承包贰级、建筑工程施工总承包叁级（凭建设部</w:t>
      </w:r>
      <w:r>
        <w:rPr>
          <w:rFonts w:ascii="宋体" w:hAnsi="宋体" w:cs="宋体" w:eastAsia="宋体" w:hint="default"/>
          <w:spacing w:val="-2"/>
        </w:rPr>
        <w:t>D344045053</w:t>
      </w:r>
      <w:r>
        <w:rPr>
          <w:spacing w:val="-2"/>
        </w:rPr>
        <w:t>号建筑业企业资质证书经营）；安全技术防范系</w:t>
      </w:r>
      <w:r>
        <w:rPr>
          <w:spacing w:val="-56"/>
        </w:rPr>
        <w:t> </w:t>
      </w:r>
      <w:r>
        <w:rPr>
          <w:spacing w:val="-56"/>
        </w:rPr>
      </w:r>
      <w:r>
        <w:rPr/>
        <w:t>统设计、施工、维修贰级（凭广东省公安厅粤</w:t>
      </w:r>
      <w:r>
        <w:rPr>
          <w:rFonts w:ascii="宋体" w:hAnsi="宋体" w:cs="宋体" w:eastAsia="宋体" w:hint="default"/>
        </w:rPr>
        <w:t>GB765</w:t>
      </w:r>
      <w:r>
        <w:rPr/>
        <w:t>号广东省安全技术防范系统设计、施工、维修资格证经营）；建筑装饰</w:t>
      </w:r>
      <w:r>
        <w:rPr>
          <w:spacing w:val="-83"/>
        </w:rPr>
        <w:t> </w:t>
      </w:r>
      <w:r>
        <w:rPr>
          <w:spacing w:val="-83"/>
        </w:rPr>
      </w:r>
      <w:r>
        <w:rPr>
          <w:spacing w:val="-2"/>
        </w:rPr>
        <w:t>工程设计专项甲级（凭建设部</w:t>
      </w:r>
      <w:r>
        <w:rPr>
          <w:rFonts w:ascii="宋体" w:hAnsi="宋体" w:cs="宋体" w:eastAsia="宋体" w:hint="default"/>
          <w:spacing w:val="-2"/>
        </w:rPr>
        <w:t>A144002493</w:t>
      </w:r>
      <w:r>
        <w:rPr>
          <w:spacing w:val="-2"/>
        </w:rPr>
        <w:t>工程设计资质证书经营）；建筑智能化系统设计专项乙级；建筑幕墙工程设计专项</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9"/>
        <w:jc w:val="both"/>
      </w:pPr>
      <w:r>
        <w:rPr>
          <w:spacing w:val="-2"/>
        </w:rPr>
        <w:t>乙级；消防设施工程设计专项乙级（以上均按建设部</w:t>
      </w:r>
      <w:r>
        <w:rPr>
          <w:rFonts w:ascii="宋体" w:hAnsi="宋体" w:cs="宋体" w:eastAsia="宋体" w:hint="default"/>
          <w:spacing w:val="-2"/>
        </w:rPr>
        <w:t>A244002490</w:t>
      </w:r>
      <w:r>
        <w:rPr>
          <w:spacing w:val="-2"/>
        </w:rPr>
        <w:t>工程设计资质证书经营）；音、视频工程企业资质特级（凭</w:t>
      </w:r>
      <w:r>
        <w:rPr>
          <w:spacing w:val="-58"/>
        </w:rPr>
        <w:t> </w:t>
      </w:r>
      <w:r>
        <w:rPr>
          <w:spacing w:val="-58"/>
        </w:rPr>
      </w:r>
      <w:r>
        <w:rPr>
          <w:spacing w:val="-2"/>
        </w:rPr>
        <w:t>中国录音师协会</w:t>
      </w:r>
      <w:r>
        <w:rPr>
          <w:rFonts w:ascii="宋体" w:hAnsi="宋体" w:cs="宋体" w:eastAsia="宋体" w:hint="default"/>
          <w:spacing w:val="-2"/>
        </w:rPr>
        <w:t>NO.A074041</w:t>
      </w:r>
      <w:r>
        <w:rPr>
          <w:spacing w:val="-2"/>
        </w:rPr>
        <w:t>资质证书经营）；净化工程叁级（凭洁净行业协会</w:t>
      </w:r>
      <w:r>
        <w:rPr>
          <w:rFonts w:ascii="宋体" w:hAnsi="宋体" w:cs="宋体" w:eastAsia="宋体" w:hint="default"/>
          <w:spacing w:val="-2"/>
        </w:rPr>
        <w:t>SZCA1128</w:t>
      </w:r>
      <w:r>
        <w:rPr>
          <w:spacing w:val="-2"/>
        </w:rPr>
        <w:t>号资质证书经营）；展览陈列工程设</w:t>
      </w:r>
      <w:r>
        <w:rPr>
          <w:spacing w:val="-47"/>
        </w:rPr>
        <w:t> </w:t>
      </w:r>
      <w:r>
        <w:rPr>
          <w:spacing w:val="-47"/>
        </w:rPr>
      </w:r>
      <w:r>
        <w:rPr/>
        <w:t>计与施工一体化一级（凭中国展览馆协会</w:t>
      </w:r>
      <w:r>
        <w:rPr>
          <w:rFonts w:ascii="宋体" w:hAnsi="宋体" w:cs="宋体" w:eastAsia="宋体" w:hint="default"/>
        </w:rPr>
        <w:t>C20171457</w:t>
      </w:r>
      <w:r>
        <w:rPr/>
        <w:t>资质证书经营）；承装类、承修类电力设施许可证肆级（凭国家能源局</w:t>
      </w:r>
      <w:r>
        <w:rPr>
          <w:spacing w:val="-84"/>
        </w:rPr>
        <w:t> </w:t>
      </w:r>
      <w:r>
        <w:rPr>
          <w:spacing w:val="-84"/>
        </w:rPr>
      </w:r>
      <w:r>
        <w:rPr>
          <w:spacing w:val="-2"/>
        </w:rPr>
        <w:t>南方监管局</w:t>
      </w:r>
      <w:r>
        <w:rPr>
          <w:rFonts w:ascii="宋体" w:hAnsi="宋体" w:cs="宋体" w:eastAsia="宋体" w:hint="default"/>
          <w:spacing w:val="-2"/>
        </w:rPr>
        <w:t>6-1-00265-2017</w:t>
      </w:r>
      <w:r>
        <w:rPr>
          <w:spacing w:val="-2"/>
        </w:rPr>
        <w:t>资质证书经营）；园林绿化、灯光音响、舞台设备安装，建筑智能化产品的技术开发；国内贸易</w:t>
      </w:r>
    </w:p>
    <w:p>
      <w:pPr>
        <w:pStyle w:val="BodyText"/>
        <w:spacing w:line="316" w:lineRule="auto" w:before="19"/>
        <w:ind w:left="154" w:right="889"/>
        <w:jc w:val="left"/>
      </w:pPr>
      <w:r>
        <w:rPr>
          <w:spacing w:val="-2"/>
        </w:rPr>
        <w:t>（不含专营、专卖、专控商品）；经营进出口业务（法律、行政法规、国务院决定禁止的项目除外，限制的项目须取得许可</w:t>
      </w:r>
      <w:r>
        <w:rPr>
          <w:spacing w:val="-67"/>
        </w:rPr>
        <w:t> </w:t>
      </w:r>
      <w:r>
        <w:rPr>
          <w:spacing w:val="-67"/>
        </w:rPr>
      </w:r>
      <w:r>
        <w:rPr/>
        <w:t>后方可经营。</w:t>
      </w:r>
    </w:p>
    <w:p>
      <w:pPr>
        <w:pStyle w:val="BodyText"/>
        <w:spacing w:line="432" w:lineRule="exact" w:before="3"/>
        <w:ind w:left="514" w:right="889" w:firstLine="60"/>
        <w:jc w:val="left"/>
      </w:pPr>
      <w:r>
        <w:rPr/>
        <w:t>本财务报表由本公司董事会于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13</w:t>
      </w:r>
      <w:r>
        <w:rPr/>
        <w:t>日批准报出。 </w:t>
      </w:r>
      <w:r>
        <w:rPr>
          <w:spacing w:val="-2"/>
        </w:rPr>
        <w:t>本公司合并财务报表的合并范围以控制为基础确定，包括本公司及全部子公司的财务报表。子公司，是指被本公司控制</w:t>
      </w:r>
    </w:p>
    <w:p>
      <w:pPr>
        <w:pStyle w:val="BodyText"/>
        <w:spacing w:line="316" w:lineRule="auto" w:before="15"/>
        <w:ind w:left="154" w:right="1130"/>
        <w:jc w:val="both"/>
      </w:pPr>
      <w:r>
        <w:rPr>
          <w:spacing w:val="-2"/>
        </w:rPr>
        <w:t>的企业或主体。本公司将吉林省中装装饰工程有限公司（以下简称吉林中装）、惠州市中装新材料有限公司（以下简称惠州</w:t>
      </w:r>
      <w:r>
        <w:rPr>
          <w:spacing w:val="-66"/>
        </w:rPr>
        <w:t> </w:t>
      </w:r>
      <w:r>
        <w:rPr>
          <w:spacing w:val="-66"/>
        </w:rPr>
      </w:r>
      <w:r>
        <w:rPr>
          <w:spacing w:val="-2"/>
        </w:rPr>
        <w:t>中装）、中装利丰建筑工程有限公司（以下简称中装利丰）、深圳市中装园林建设工程有限公司（以下简称中装园林）、南</w:t>
      </w:r>
      <w:r>
        <w:rPr>
          <w:spacing w:val="-68"/>
        </w:rPr>
        <w:t> </w:t>
      </w:r>
      <w:r>
        <w:rPr>
          <w:spacing w:val="-68"/>
        </w:rPr>
      </w:r>
      <w:r>
        <w:rPr>
          <w:spacing w:val="-2"/>
        </w:rPr>
        <w:t>京卓佰年建筑设计有限公司（以下简称南京卓佰年）、深圳市中装智能建筑顾问有限公司（以下简称中装智能）、深圳市中</w:t>
      </w:r>
      <w:r>
        <w:rPr>
          <w:spacing w:val="-67"/>
        </w:rPr>
        <w:t> </w:t>
      </w:r>
      <w:r>
        <w:rPr>
          <w:spacing w:val="-67"/>
        </w:rPr>
      </w:r>
      <w:r>
        <w:rPr>
          <w:spacing w:val="-2"/>
        </w:rPr>
        <w:t>装新能源科技有限公司（以下简称中装新能源）、深圳市中装城市建设发展有限公司（以下简称中装城市建设）等八家子公</w:t>
      </w:r>
      <w:r>
        <w:rPr>
          <w:spacing w:val="-66"/>
        </w:rPr>
        <w:t> </w:t>
      </w:r>
      <w:r>
        <w:rPr>
          <w:spacing w:val="-66"/>
        </w:rPr>
      </w:r>
      <w:r>
        <w:rPr/>
        <w:t>司纳入报告期合并财务报表范围，报告期内的合并财务报表范围及其变化情况详见本财务报表附注八、附注九之说明。</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四、财务报表的编制基础" w:id="158"/>
      <w:bookmarkEnd w:id="158"/>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59"/>
      <w:bookmarkEnd w:id="15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889" w:firstLine="420"/>
        <w:jc w:val="left"/>
      </w:pPr>
      <w:r>
        <w:rPr/>
        <w:t>本财务报表以公司持续经营假设为基础，根据实际发生的交易事项，按照企业会计准则的有关规定，并基于以下所述 重要会计政策、会计估计进行编制。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both"/>
        <w:rPr>
          <w:b w:val="0"/>
          <w:bCs w:val="0"/>
        </w:rPr>
      </w:pPr>
      <w:bookmarkStart w:name="2、持续经营" w:id="160"/>
      <w:bookmarkEnd w:id="16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889"/>
        <w:jc w:val="left"/>
      </w:pPr>
      <w:r>
        <w:rPr/>
        <w:t>本公司不存在导致对报告期末起</w:t>
      </w:r>
      <w:r>
        <w:rPr>
          <w:rFonts w:ascii="宋体" w:hAnsi="宋体" w:cs="宋体" w:eastAsia="宋体" w:hint="default"/>
        </w:rPr>
        <w:t>12</w:t>
      </w:r>
      <w:r>
        <w:rPr/>
        <w:t>个月内持续经营假设产生重大疑虑的事项或情况。</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五、重要会计政策及会计估计" w:id="161"/>
      <w:bookmarkEnd w:id="16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是</w:t>
      </w:r>
    </w:p>
    <w:p>
      <w:pPr>
        <w:pStyle w:val="BodyText"/>
        <w:spacing w:line="240" w:lineRule="auto" w:before="26"/>
        <w:ind w:left="154" w:right="0"/>
        <w:jc w:val="both"/>
      </w:pPr>
      <w:r>
        <w:rPr/>
        <w:t>装修装饰业</w:t>
      </w:r>
    </w:p>
    <w:p>
      <w:pPr>
        <w:pStyle w:val="BodyText"/>
        <w:spacing w:line="340" w:lineRule="auto" w:before="116"/>
        <w:ind w:right="2114"/>
        <w:jc w:val="left"/>
      </w:pPr>
      <w:r>
        <w:rPr/>
        <w:t>公司需遵守《深圳证券交易所行业信息披露指引第</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上市公司从事固体矿产资源相关业务》的披露要求 具体会计政策和会计估计提示：无</w:t>
      </w:r>
    </w:p>
    <w:p>
      <w:pPr>
        <w:spacing w:line="240" w:lineRule="auto" w:before="12"/>
        <w:rPr>
          <w:rFonts w:ascii="宋体" w:hAnsi="宋体" w:cs="宋体" w:eastAsia="宋体" w:hint="default"/>
          <w:sz w:val="20"/>
          <w:szCs w:val="20"/>
        </w:rPr>
      </w:pPr>
    </w:p>
    <w:p>
      <w:pPr>
        <w:pStyle w:val="Heading3"/>
        <w:spacing w:line="240" w:lineRule="auto"/>
        <w:ind w:right="0"/>
        <w:jc w:val="both"/>
        <w:rPr>
          <w:b w:val="0"/>
          <w:bCs w:val="0"/>
        </w:rPr>
      </w:pPr>
      <w:bookmarkStart w:name="1、遵循企业会计准则的声明" w:id="162"/>
      <w:bookmarkEnd w:id="16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889" w:firstLine="420"/>
        <w:jc w:val="left"/>
      </w:pPr>
      <w:r>
        <w:rPr/>
        <w:t>本公司基于上述编制基础编制的财务报表符合财政部已颁布的最新企业会计准则及其应用指南、解释以及其他相关规 定</w:t>
      </w:r>
      <w:r>
        <w:rPr>
          <w:rFonts w:ascii="宋体" w:hAnsi="宋体" w:cs="宋体" w:eastAsia="宋体" w:hint="default"/>
        </w:rPr>
        <w:t>(</w:t>
      </w:r>
      <w:r>
        <w:rPr/>
        <w:t>统称“企业会计准则”)的要求，真实完整地反映了公司的财务状况、经营成果和现金流量等有关信息。</w:t>
      </w:r>
    </w:p>
    <w:p>
      <w:pPr>
        <w:pStyle w:val="BodyText"/>
        <w:spacing w:line="316" w:lineRule="auto" w:before="139"/>
        <w:ind w:right="1116" w:firstLine="360"/>
        <w:jc w:val="left"/>
      </w:pPr>
      <w:r>
        <w:rPr/>
        <w:t>此外，本财务报表参照了《公开发行证券的公司信息披露编报规则第 </w:t>
      </w:r>
      <w:r>
        <w:rPr>
          <w:rFonts w:ascii="宋体" w:hAnsi="宋体" w:cs="宋体" w:eastAsia="宋体" w:hint="default"/>
        </w:rPr>
        <w:t>15 </w:t>
      </w:r>
      <w:r>
        <w:rPr/>
        <w:t>号</w:t>
      </w:r>
      <w:r>
        <w:rPr>
          <w:rFonts w:ascii="宋体" w:hAnsi="宋体" w:cs="宋体" w:eastAsia="宋体" w:hint="default"/>
        </w:rPr>
        <w:t>-</w:t>
      </w:r>
      <w:r>
        <w:rPr/>
        <w:t>财务报告的一般规定》</w:t>
      </w:r>
      <w:r>
        <w:rPr>
          <w:rFonts w:ascii="宋体" w:hAnsi="宋体" w:cs="宋体" w:eastAsia="宋体" w:hint="default"/>
        </w:rPr>
        <w:t>(2014</w:t>
      </w:r>
      <w:r>
        <w:rPr>
          <w:rFonts w:ascii="宋体" w:hAnsi="宋体" w:cs="宋体" w:eastAsia="宋体" w:hint="default"/>
          <w:spacing w:val="7"/>
        </w:rPr>
        <w:t> </w:t>
      </w:r>
      <w:r>
        <w:rPr/>
        <w:t>年修订</w:t>
      </w:r>
      <w:r>
        <w:rPr>
          <w:rFonts w:ascii="宋体" w:hAnsi="宋体" w:cs="宋体" w:eastAsia="宋体" w:hint="default"/>
        </w:rPr>
        <w:t>)(</w:t>
      </w:r>
      <w:r>
        <w:rPr/>
        <w:t>以 下简称“第 </w:t>
      </w:r>
      <w:r>
        <w:rPr>
          <w:rFonts w:ascii="宋体" w:hAnsi="宋体" w:cs="宋体" w:eastAsia="宋体" w:hint="default"/>
        </w:rPr>
        <w:t>15 </w:t>
      </w:r>
      <w:r>
        <w:rPr/>
        <w:t>号文</w:t>
      </w:r>
      <w:r>
        <w:rPr>
          <w:rFonts w:ascii="宋体" w:hAnsi="宋体" w:cs="宋体" w:eastAsia="宋体" w:hint="default"/>
        </w:rPr>
        <w:t>(2014 </w:t>
      </w:r>
      <w:r>
        <w:rPr/>
        <w:t>年修订</w:t>
      </w:r>
      <w:r>
        <w:rPr>
          <w:rFonts w:ascii="宋体" w:hAnsi="宋体" w:cs="宋体" w:eastAsia="宋体" w:hint="default"/>
        </w:rPr>
        <w:t>)</w:t>
      </w:r>
      <w:r>
        <w:rPr/>
        <w:t>”</w:t>
      </w:r>
      <w:r>
        <w:rPr>
          <w:rFonts w:ascii="宋体" w:hAnsi="宋体" w:cs="宋体" w:eastAsia="宋体" w:hint="default"/>
        </w:rPr>
        <w:t>)</w:t>
      </w:r>
      <w:r>
        <w:rPr/>
        <w:t>的列报和披露要求。</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2、会计期间" w:id="163"/>
      <w:bookmarkEnd w:id="16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889" w:firstLine="420"/>
        <w:jc w:val="left"/>
      </w:pPr>
      <w:r>
        <w:rPr/>
        <w:t>本公司的会计年度从公历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日止。本财务报表所载财务信息的会计期间为自</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2017</w:t>
      </w:r>
      <w:r>
        <w:rPr/>
        <w:t>年</w:t>
      </w:r>
      <w:r>
        <w:rPr>
          <w:rFonts w:ascii="宋体" w:hAnsi="宋体" w:cs="宋体" w:eastAsia="宋体" w:hint="default"/>
        </w:rPr>
        <w:t>12 </w:t>
      </w:r>
      <w:r>
        <w:rPr/>
        <w:t>月</w:t>
      </w:r>
      <w:r>
        <w:rPr>
          <w:rFonts w:ascii="宋体" w:hAnsi="宋体" w:cs="宋体" w:eastAsia="宋体" w:hint="default"/>
        </w:rPr>
        <w:t>31</w:t>
      </w:r>
      <w:r>
        <w:rPr/>
        <w:t>日止。</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3、营业周期" w:id="164"/>
      <w:bookmarkEnd w:id="16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889" w:firstLine="360"/>
        <w:jc w:val="left"/>
      </w:pPr>
      <w:r>
        <w:rPr>
          <w:spacing w:val="-2"/>
        </w:rPr>
        <w:t>正常营业周期是指本公司按正常一个会计年度作为一个完整营业期间。本公司以</w:t>
      </w:r>
      <w:r>
        <w:rPr>
          <w:rFonts w:ascii="宋体" w:hAnsi="宋体" w:cs="宋体" w:eastAsia="宋体" w:hint="default"/>
          <w:spacing w:val="-2"/>
        </w:rPr>
        <w:t>12</w:t>
      </w:r>
      <w:r>
        <w:rPr>
          <w:spacing w:val="-2"/>
        </w:rPr>
        <w:t>个月作为一个营业周期。并以其作为</w:t>
      </w:r>
      <w:r>
        <w:rPr/>
        <w:t> 资产和负责的流动性划分标准。</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4、记账本位币" w:id="165"/>
      <w:bookmarkEnd w:id="16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889" w:firstLine="420"/>
        <w:jc w:val="left"/>
      </w:pPr>
      <w:r>
        <w:rPr/>
        <w:t>本公司及境内子公司采用人民币作为记账本位币。本公司之境外子公司根据其所处的主要经济环境中的货币决定其记 账本位币，编制财务报表时折算成人民币。本公司编制本财务报表时所采用的列报货币为人民币。</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5、同一控制下和非同一控制下企业合并的会计处理方法" w:id="166"/>
      <w:bookmarkEnd w:id="16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430" w:lineRule="atLeast" w:before="152"/>
        <w:ind w:left="573" w:right="889"/>
        <w:jc w:val="left"/>
      </w:pPr>
      <w:r>
        <w:rPr>
          <w:rFonts w:ascii="宋体" w:hAnsi="宋体" w:cs="宋体" w:eastAsia="宋体" w:hint="default"/>
        </w:rPr>
        <w:t>1. </w:t>
      </w:r>
      <w:r>
        <w:rPr/>
        <w:t>同一控制下企业合并的会计处理方法 本公司在一次交易取得或通过多次交易分步实现同一控制下企业合并，企业合并中取得的资产和负债，按照合并日被</w:t>
      </w:r>
    </w:p>
    <w:p>
      <w:pPr>
        <w:pStyle w:val="BodyText"/>
        <w:spacing w:line="316" w:lineRule="auto" w:before="76"/>
        <w:ind w:right="889"/>
        <w:jc w:val="left"/>
      </w:pPr>
      <w:r>
        <w:rPr>
          <w:spacing w:val="-2"/>
        </w:rPr>
        <w:t>合并方在最终控制方合并财务报表中的的账面价值计量。本公司取得的净资产账面价值与支付的合并对价账面价值（或发行</w:t>
      </w:r>
      <w:r>
        <w:rPr>
          <w:spacing w:val="-64"/>
        </w:rPr>
        <w:t> </w:t>
      </w:r>
      <w:r>
        <w:rPr>
          <w:spacing w:val="-64"/>
        </w:rPr>
      </w:r>
      <w:r>
        <w:rPr/>
        <w:t>股份面值总额）的差额，调整资本公积；资本公积不足冲减的，调整留存收益。</w:t>
      </w:r>
    </w:p>
    <w:p>
      <w:pPr>
        <w:pStyle w:val="BodyText"/>
        <w:spacing w:line="432" w:lineRule="exact" w:before="3"/>
        <w:ind w:left="574" w:right="889"/>
        <w:jc w:val="left"/>
      </w:pPr>
      <w:r>
        <w:rPr>
          <w:rFonts w:ascii="宋体" w:hAnsi="宋体" w:cs="宋体" w:eastAsia="宋体" w:hint="default"/>
        </w:rPr>
        <w:t>2. </w:t>
      </w:r>
      <w:r>
        <w:rPr/>
        <w:t>非同一控制下企业合并的会计处理方法 公司在购买日对合并成本大于合并中取得的被购买方可辨认净资产公允价值份额的差额，确认为商誉；如果合并成本</w:t>
      </w:r>
    </w:p>
    <w:p>
      <w:pPr>
        <w:pStyle w:val="BodyText"/>
        <w:spacing w:line="316" w:lineRule="auto" w:before="15"/>
        <w:ind w:left="154" w:right="1132"/>
        <w:jc w:val="both"/>
      </w:pPr>
      <w:r>
        <w:rPr>
          <w:spacing w:val="-2"/>
        </w:rPr>
        <w:t>小于合并中取得的被购买方可辨认净资产公允价值份额，首先对取得的被购买方各项可辨认资产、负债及或有负债的公允价</w:t>
      </w:r>
      <w:r>
        <w:rPr>
          <w:spacing w:val="-64"/>
        </w:rPr>
        <w:t> </w:t>
      </w:r>
      <w:r>
        <w:rPr>
          <w:spacing w:val="-64"/>
        </w:rPr>
      </w:r>
      <w:r>
        <w:rPr>
          <w:spacing w:val="-2"/>
        </w:rPr>
        <w:t>值以及合并成本的计量进行复核，经复核后合并成本仍小于合并中取得的被购买方可辨认净资产公允价值份额的，其差额计</w:t>
      </w:r>
      <w:r>
        <w:rPr>
          <w:spacing w:val="-64"/>
        </w:rPr>
        <w:t> </w:t>
      </w:r>
      <w:r>
        <w:rPr>
          <w:spacing w:val="-64"/>
        </w:rPr>
      </w:r>
      <w:r>
        <w:rPr/>
        <w:t>入当期损益。</w:t>
      </w:r>
    </w:p>
    <w:p>
      <w:pPr>
        <w:pStyle w:val="BodyText"/>
        <w:spacing w:line="240" w:lineRule="auto" w:before="139"/>
        <w:ind w:left="574" w:right="889"/>
        <w:jc w:val="left"/>
      </w:pPr>
      <w:r>
        <w:rPr/>
        <w:t>通过多次交易分步实现非同一控制下企业合并，应按以下顺序处理：</w:t>
      </w:r>
    </w:p>
    <w:p>
      <w:pPr>
        <w:spacing w:line="240" w:lineRule="auto" w:before="0"/>
        <w:rPr>
          <w:rFonts w:ascii="宋体" w:hAnsi="宋体" w:cs="宋体" w:eastAsia="宋体" w:hint="default"/>
          <w:sz w:val="15"/>
          <w:szCs w:val="15"/>
        </w:rPr>
      </w:pPr>
    </w:p>
    <w:p>
      <w:pPr>
        <w:pStyle w:val="BodyText"/>
        <w:spacing w:line="316" w:lineRule="auto"/>
        <w:ind w:right="1129" w:firstLine="420"/>
        <w:jc w:val="both"/>
      </w:pPr>
      <w:r>
        <w:rPr>
          <w:spacing w:val="-1"/>
        </w:rPr>
        <w:t>（</w:t>
      </w:r>
      <w:r>
        <w:rPr>
          <w:rFonts w:ascii="宋体" w:hAnsi="宋体" w:cs="宋体" w:eastAsia="宋体" w:hint="default"/>
          <w:spacing w:val="-1"/>
        </w:rPr>
        <w:t>1</w:t>
      </w:r>
      <w:r>
        <w:rPr>
          <w:spacing w:val="-1"/>
        </w:rPr>
        <w:t>）调整长期股权投资初始投资成本。购买日之前持有股权采用权益法核算的，按照该股权在购买日的公允价值进行</w:t>
      </w:r>
      <w:r>
        <w:rPr/>
        <w:t> </w:t>
      </w:r>
      <w:r>
        <w:rPr>
          <w:spacing w:val="-2"/>
        </w:rPr>
        <w:t>重新计量，公允价值与其账面价值的差额计入当期投资收益；购买日之前持有的被购买方的股权涉及权益法核算下的其他综</w:t>
      </w:r>
      <w:r>
        <w:rPr>
          <w:spacing w:val="-64"/>
        </w:rPr>
        <w:t> </w:t>
      </w:r>
      <w:r>
        <w:rPr>
          <w:spacing w:val="-64"/>
        </w:rPr>
      </w:r>
      <w:r>
        <w:rPr>
          <w:spacing w:val="-2"/>
        </w:rPr>
        <w:t>合收益、其他所有者权益变动的，转为购买日所属当期收益，由于被投资方重新计量设定受益计划净负债或净资产变动而产</w:t>
      </w:r>
      <w:r>
        <w:rPr>
          <w:spacing w:val="-66"/>
        </w:rPr>
        <w:t> </w:t>
      </w:r>
      <w:r>
        <w:rPr>
          <w:spacing w:val="-66"/>
        </w:rPr>
      </w:r>
      <w:r>
        <w:rPr/>
        <w:t>生的其他综合收益除外。</w:t>
      </w:r>
    </w:p>
    <w:p>
      <w:pPr>
        <w:pStyle w:val="BodyText"/>
        <w:spacing w:line="316" w:lineRule="auto" w:before="139"/>
        <w:ind w:right="889" w:firstLine="420"/>
        <w:jc w:val="left"/>
      </w:pPr>
      <w:r>
        <w:rPr>
          <w:spacing w:val="-2"/>
        </w:rPr>
        <w:t>（</w:t>
      </w:r>
      <w:r>
        <w:rPr>
          <w:rFonts w:ascii="宋体" w:hAnsi="宋体" w:cs="宋体" w:eastAsia="宋体" w:hint="default"/>
          <w:spacing w:val="-2"/>
        </w:rPr>
        <w:t>2</w:t>
      </w:r>
      <w:r>
        <w:rPr>
          <w:spacing w:val="-2"/>
        </w:rPr>
        <w:t>）确认商誉（或计入当期损益的金额）。将第一步调整后长期股权投资初始投资成本与购买日应享有子公司可辨认</w:t>
      </w:r>
      <w:r>
        <w:rPr/>
        <w:t> 净资产公允价值份额比较，前者大于后者，差额确认为商誉；前者小于后者，差额计入当期损益。</w:t>
      </w:r>
    </w:p>
    <w:p>
      <w:pPr>
        <w:pStyle w:val="BodyText"/>
        <w:spacing w:line="240" w:lineRule="auto" w:before="139"/>
        <w:ind w:left="573" w:right="889"/>
        <w:jc w:val="left"/>
      </w:pPr>
      <w:r>
        <w:rPr/>
        <w:t>通过多次交易分步处置股权至丧失对子公司控制权的情形</w:t>
      </w:r>
    </w:p>
    <w:p>
      <w:pPr>
        <w:pStyle w:val="BodyText"/>
        <w:spacing w:line="430" w:lineRule="atLeast" w:before="2"/>
        <w:ind w:left="573" w:right="889"/>
        <w:jc w:val="left"/>
      </w:pPr>
      <w:r>
        <w:rPr/>
        <w:t>（</w:t>
      </w:r>
      <w:r>
        <w:rPr>
          <w:rFonts w:ascii="宋体" w:hAnsi="宋体" w:cs="宋体" w:eastAsia="宋体" w:hint="default"/>
        </w:rPr>
        <w:t>1</w:t>
      </w:r>
      <w:r>
        <w:rPr/>
        <w:t>）判断分步处置股权至丧失对子公司控制权过程中的各项交易是否属于“一揽子交易”的原则 处置对子公司股权投资的各项交易的条款、条件以及经济影响符合以下一种或多种情况，通常表明应将多次交易事项</w:t>
      </w:r>
    </w:p>
    <w:p>
      <w:pPr>
        <w:pStyle w:val="BodyText"/>
        <w:spacing w:line="441" w:lineRule="auto" w:before="76"/>
        <w:ind w:left="573" w:right="5563" w:hanging="420"/>
        <w:jc w:val="left"/>
      </w:pPr>
      <w:r>
        <w:rPr/>
        <w:t>作为一揽子交易进行会计处理： </w:t>
      </w:r>
      <w:r>
        <w:rPr>
          <w:rFonts w:ascii="宋体" w:hAnsi="宋体" w:cs="宋体" w:eastAsia="宋体" w:hint="default"/>
        </w:rPr>
        <w:t>1</w:t>
      </w:r>
      <w:r>
        <w:rPr/>
        <w:t>）这些交易是同时或者在考虑了彼此影响的情况下订立的；</w:t>
      </w:r>
    </w:p>
    <w:p>
      <w:pPr>
        <w:pStyle w:val="BodyText"/>
        <w:spacing w:line="240" w:lineRule="auto" w:before="45"/>
        <w:ind w:left="574" w:right="889"/>
        <w:jc w:val="left"/>
      </w:pPr>
      <w:r>
        <w:rPr>
          <w:rFonts w:ascii="宋体" w:hAnsi="宋体" w:cs="宋体" w:eastAsia="宋体" w:hint="default"/>
        </w:rPr>
        <w:t>2</w:t>
      </w:r>
      <w:r>
        <w:rPr/>
        <w:t>）这些交易整体才能达成一项完整的商业结果；</w:t>
      </w:r>
    </w:p>
    <w:p>
      <w:pPr>
        <w:spacing w:line="240" w:lineRule="auto" w:before="0"/>
        <w:rPr>
          <w:rFonts w:ascii="宋体" w:hAnsi="宋体" w:cs="宋体" w:eastAsia="宋体" w:hint="default"/>
          <w:sz w:val="15"/>
          <w:szCs w:val="15"/>
        </w:rPr>
      </w:pPr>
    </w:p>
    <w:p>
      <w:pPr>
        <w:pStyle w:val="BodyText"/>
        <w:spacing w:line="240" w:lineRule="auto"/>
        <w:ind w:left="574" w:right="889"/>
        <w:jc w:val="left"/>
      </w:pPr>
      <w:r>
        <w:rPr>
          <w:rFonts w:ascii="宋体" w:hAnsi="宋体" w:cs="宋体" w:eastAsia="宋体" w:hint="default"/>
        </w:rPr>
        <w:t>3</w:t>
      </w:r>
      <w:r>
        <w:rPr/>
        <w:t>）一项交易的发生取决于其他至少一项交易的发生；</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73" w:right="889"/>
        <w:jc w:val="left"/>
      </w:pPr>
      <w:r>
        <w:rPr>
          <w:rFonts w:ascii="宋体" w:hAnsi="宋体" w:cs="宋体" w:eastAsia="宋体" w:hint="default"/>
        </w:rPr>
        <w:t>4</w:t>
      </w:r>
      <w:r>
        <w:rPr/>
        <w:t>）一项交易单独看是不经济的，但是和其他交易一并考虑时是经济的。</w:t>
      </w:r>
    </w:p>
    <w:p>
      <w:pPr>
        <w:pStyle w:val="BodyText"/>
        <w:spacing w:line="430" w:lineRule="atLeast" w:before="2"/>
        <w:ind w:left="573" w:right="889"/>
        <w:jc w:val="left"/>
      </w:pPr>
      <w:r>
        <w:rPr/>
        <w:t>（</w:t>
      </w:r>
      <w:r>
        <w:rPr>
          <w:rFonts w:ascii="宋体" w:hAnsi="宋体" w:cs="宋体" w:eastAsia="宋体" w:hint="default"/>
        </w:rPr>
        <w:t>2</w:t>
      </w:r>
      <w:r>
        <w:rPr/>
        <w:t>）分步处置股权至丧失对子公司控制权过程中的各项交易属于“一揽子交易”的会计处理方法 处置对子公司股权投资直至丧失控制权的各项交易属于一揽子交易的，应当将各项交易作为一项处置子公司并丧失控</w:t>
      </w:r>
    </w:p>
    <w:p>
      <w:pPr>
        <w:pStyle w:val="BodyText"/>
        <w:spacing w:line="316" w:lineRule="auto" w:before="77"/>
        <w:ind w:right="889"/>
        <w:jc w:val="left"/>
      </w:pP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合并财务报表中应当确认为其他综合收益，在丧失控制权时一并转入丧失控制权当期的损益。</w:t>
      </w:r>
    </w:p>
    <w:p>
      <w:pPr>
        <w:pStyle w:val="BodyText"/>
        <w:spacing w:line="316" w:lineRule="auto" w:before="139"/>
        <w:ind w:right="1131" w:firstLine="420"/>
        <w:jc w:val="both"/>
      </w:pPr>
      <w:r>
        <w:rPr/>
        <w:t>在合并财务报表中，对于剩余股权，应当按照其在丧失控制权日的公允价值进行重新计量。处置股权取得的对价与剩 </w:t>
      </w:r>
      <w:r>
        <w:rPr>
          <w:spacing w:val="-2"/>
        </w:rPr>
        <w:t>余股权公允价值之和，减去按原持股比例计算应享有原子公司自购买日开始持续计算的净资产的份额之间的差额，计入丧失</w:t>
      </w:r>
      <w:r>
        <w:rPr>
          <w:spacing w:val="-64"/>
        </w:rPr>
        <w:t> </w:t>
      </w:r>
      <w:r>
        <w:rPr>
          <w:spacing w:val="-64"/>
        </w:rPr>
      </w:r>
      <w:r>
        <w:rPr/>
        <w:t>控制权当期的投资收益。与原子公司股权投资相关的其他综合收益，应当在丧失控制权时转为当期投资收益。</w:t>
      </w:r>
    </w:p>
    <w:p>
      <w:pPr>
        <w:pStyle w:val="BodyText"/>
        <w:spacing w:line="432" w:lineRule="exact" w:before="3"/>
        <w:ind w:left="573" w:right="889"/>
        <w:jc w:val="left"/>
      </w:pPr>
      <w:r>
        <w:rPr/>
        <w:t>（</w:t>
      </w:r>
      <w:r>
        <w:rPr>
          <w:rFonts w:ascii="宋体" w:hAnsi="宋体" w:cs="宋体" w:eastAsia="宋体" w:hint="default"/>
        </w:rPr>
        <w:t>3</w:t>
      </w:r>
      <w:r>
        <w:rPr/>
        <w:t>）分步处置股权至丧失对子公司控制权过程中的各项交易不属于“一揽子交易”的会计处理方法 处置对子公司的投资未丧失控制权的，合并财务报表中处置价款与处置投资对应的享有该子公司净资产份额的差额计</w:t>
      </w:r>
    </w:p>
    <w:p>
      <w:pPr>
        <w:pStyle w:val="BodyText"/>
        <w:spacing w:line="240" w:lineRule="auto" w:before="15"/>
        <w:ind w:right="889"/>
        <w:jc w:val="left"/>
      </w:pPr>
      <w:r>
        <w:rPr/>
        <w:t>入资本公积（资本溢价或股本溢价），资本溢价不足冲减的，应当调整留存收益。</w:t>
      </w:r>
    </w:p>
    <w:p>
      <w:pPr>
        <w:spacing w:line="240" w:lineRule="auto" w:before="0"/>
        <w:rPr>
          <w:rFonts w:ascii="宋体" w:hAnsi="宋体" w:cs="宋体" w:eastAsia="宋体" w:hint="default"/>
          <w:sz w:val="15"/>
          <w:szCs w:val="15"/>
        </w:rPr>
      </w:pPr>
    </w:p>
    <w:p>
      <w:pPr>
        <w:pStyle w:val="BodyText"/>
        <w:spacing w:line="316" w:lineRule="auto"/>
        <w:ind w:left="154" w:right="1131" w:firstLine="360"/>
        <w:jc w:val="both"/>
      </w:pPr>
      <w:r>
        <w:rPr>
          <w:spacing w:val="-2"/>
        </w:rPr>
        <w:t>处置对子公司的投资丧失控制权的，在合并财务报表中，对于剩余股权，应当按照其在丧失控制权日的公允价值进行重</w:t>
      </w:r>
      <w:r>
        <w:rPr/>
        <w:t> </w:t>
      </w:r>
      <w:r>
        <w:rPr>
          <w:spacing w:val="-2"/>
        </w:rPr>
        <w:t>新计量。处置股权取得的对价与剩余股权公允价值之和，减去按原持股比例计算应享有原有子公司自购买日开始持续计算的</w:t>
      </w:r>
      <w:r>
        <w:rPr>
          <w:spacing w:val="-64"/>
        </w:rPr>
        <w:t> </w:t>
      </w:r>
      <w:r>
        <w:rPr>
          <w:spacing w:val="-64"/>
        </w:rPr>
      </w:r>
      <w:r>
        <w:rPr>
          <w:spacing w:val="-2"/>
        </w:rPr>
        <w:t>净资产的份额之间的差额，计入丧失控制权当期的投资收益。与原有子公司股权投资相关的其他综合收益，应当在丧失控制</w:t>
      </w:r>
      <w:r>
        <w:rPr>
          <w:spacing w:val="-66"/>
        </w:rPr>
        <w:t> </w:t>
      </w:r>
      <w:r>
        <w:rPr>
          <w:spacing w:val="-66"/>
        </w:rPr>
      </w:r>
      <w:r>
        <w:rPr/>
        <w:t>权时转为当期投资收益。</w:t>
      </w:r>
    </w:p>
    <w:p>
      <w:pPr>
        <w:spacing w:line="240" w:lineRule="auto" w:before="7"/>
        <w:rPr>
          <w:rFonts w:ascii="宋体" w:hAnsi="宋体" w:cs="宋体" w:eastAsia="宋体" w:hint="default"/>
          <w:sz w:val="22"/>
          <w:szCs w:val="22"/>
        </w:rPr>
      </w:pPr>
    </w:p>
    <w:p>
      <w:pPr>
        <w:pStyle w:val="Heading3"/>
        <w:spacing w:line="240" w:lineRule="auto"/>
        <w:ind w:left="154" w:right="889"/>
        <w:jc w:val="left"/>
        <w:rPr>
          <w:b w:val="0"/>
          <w:bCs w:val="0"/>
        </w:rPr>
      </w:pPr>
      <w:bookmarkStart w:name="6、合并财务报表的编制方法" w:id="167"/>
      <w:bookmarkEnd w:id="16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3" w:right="889"/>
        <w:jc w:val="left"/>
      </w:pPr>
      <w:r>
        <w:rPr>
          <w:rFonts w:ascii="宋体" w:hAnsi="宋体" w:cs="宋体" w:eastAsia="宋体" w:hint="default"/>
        </w:rPr>
        <w:t>1. </w:t>
      </w:r>
      <w:r>
        <w:rPr/>
        <w:t>合并财务报表范围的确定原则 合并财务报表的合并范围以控制为基础予以确定。控制是指本公司能够决定另一个企业的财务和经营政策，并能据以</w:t>
      </w:r>
    </w:p>
    <w:p>
      <w:pPr>
        <w:pStyle w:val="BodyText"/>
        <w:spacing w:line="439" w:lineRule="auto" w:before="19"/>
        <w:ind w:left="573" w:right="7513" w:hanging="420"/>
        <w:jc w:val="left"/>
      </w:pPr>
      <w:r>
        <w:rPr/>
        <w:t>从该企业的经营活动中获取利益的权力。 </w:t>
      </w:r>
      <w:r>
        <w:rPr>
          <w:rFonts w:ascii="宋体" w:hAnsi="宋体" w:cs="宋体" w:eastAsia="宋体" w:hint="default"/>
        </w:rPr>
        <w:t>2</w:t>
      </w:r>
      <w:r>
        <w:rPr/>
        <w:t>．合并财务报表的编制方法</w:t>
      </w:r>
    </w:p>
    <w:p>
      <w:pPr>
        <w:pStyle w:val="BodyText"/>
        <w:spacing w:line="316" w:lineRule="auto" w:before="47"/>
        <w:ind w:right="1033" w:firstLine="420"/>
        <w:jc w:val="left"/>
      </w:pPr>
      <w:r>
        <w:rPr/>
        <w:t>母公司将其控制的所有子公司纳入合并财务报表的合并范围。合并财务报表以母公司及其子公司的财务报表为基础， 根据其他有关资料，按照权益法调整对子公司的长期股权投资后，由母公司按照《企业会计准则第</w:t>
      </w:r>
      <w:r>
        <w:rPr>
          <w:rFonts w:ascii="宋体" w:hAnsi="宋体" w:cs="宋体" w:eastAsia="宋体" w:hint="default"/>
        </w:rPr>
        <w:t>33</w:t>
      </w:r>
      <w:r>
        <w:rPr/>
        <w:t>号——合并财务报表》 编制。</w:t>
      </w:r>
    </w:p>
    <w:p>
      <w:pPr>
        <w:pStyle w:val="BodyText"/>
        <w:spacing w:line="316" w:lineRule="auto" w:before="139"/>
        <w:ind w:right="1131" w:firstLine="420"/>
        <w:jc w:val="both"/>
      </w:pPr>
      <w:r>
        <w:rPr/>
        <w:t>对于通过非同一控制下的企业合并取得的子公司，其自购买日</w:t>
      </w:r>
      <w:r>
        <w:rPr>
          <w:rFonts w:ascii="宋体" w:hAnsi="宋体" w:cs="宋体" w:eastAsia="宋体" w:hint="default"/>
        </w:rPr>
        <w:t>(</w:t>
      </w:r>
      <w:r>
        <w:rPr/>
        <w:t>取得控制权的日期</w:t>
      </w:r>
      <w:r>
        <w:rPr>
          <w:rFonts w:ascii="宋体" w:hAnsi="宋体" w:cs="宋体" w:eastAsia="宋体" w:hint="default"/>
        </w:rPr>
        <w:t>)</w:t>
      </w:r>
      <w:r>
        <w:rPr/>
        <w:t>起的经营成果及现金流量已经适当 地包括在合并利润表和合并现金流量表中，不调整合并财务报表的期初数和对比数。</w:t>
      </w:r>
    </w:p>
    <w:p>
      <w:pPr>
        <w:pStyle w:val="BodyText"/>
        <w:spacing w:line="316" w:lineRule="auto" w:before="139"/>
        <w:ind w:right="1131" w:firstLine="420"/>
        <w:jc w:val="both"/>
      </w:pPr>
      <w:r>
        <w:rPr/>
        <w:t>对于通过同一控制下的企业合并取得的子公司，无论该项企业合并发生在报告期的任一时点，视同该子公司同受最终 </w:t>
      </w:r>
      <w:r>
        <w:rPr>
          <w:spacing w:val="-2"/>
        </w:rPr>
        <w:t>控制方控制之日起纳入本公司的合并范围，其自报告期最早期间期初起的经营成果和现金流量已适当地包括在合并利润表和</w:t>
      </w:r>
      <w:r>
        <w:rPr>
          <w:spacing w:val="-64"/>
        </w:rPr>
        <w:t> </w:t>
      </w:r>
      <w:r>
        <w:rPr>
          <w:spacing w:val="-64"/>
        </w:rPr>
      </w:r>
      <w:r>
        <w:rPr/>
        <w:t>合并现金流量表中。</w:t>
      </w:r>
    </w:p>
    <w:p>
      <w:pPr>
        <w:pStyle w:val="BodyText"/>
        <w:spacing w:line="316" w:lineRule="auto" w:before="139"/>
        <w:ind w:right="1132" w:firstLine="420"/>
        <w:jc w:val="both"/>
      </w:pPr>
      <w:r>
        <w:rPr/>
        <w:t>对于本公司处置的子公司，处置日</w:t>
      </w:r>
      <w:r>
        <w:rPr>
          <w:rFonts w:ascii="宋体" w:hAnsi="宋体" w:cs="宋体" w:eastAsia="宋体" w:hint="default"/>
        </w:rPr>
        <w:t>(</w:t>
      </w:r>
      <w:r>
        <w:rPr/>
        <w:t>丧失控制权的日期</w:t>
      </w:r>
      <w:r>
        <w:rPr>
          <w:rFonts w:ascii="宋体" w:hAnsi="宋体" w:cs="宋体" w:eastAsia="宋体" w:hint="default"/>
        </w:rPr>
        <w:t>)</w:t>
      </w:r>
      <w:r>
        <w:rPr/>
        <w:t>前的经营成果和现金流量已经适当地包括在合并利润表和合并 现金流量表中。</w:t>
      </w:r>
    </w:p>
    <w:p>
      <w:pPr>
        <w:pStyle w:val="BodyText"/>
        <w:spacing w:line="432" w:lineRule="exact" w:before="3"/>
        <w:ind w:left="573" w:right="889"/>
        <w:jc w:val="left"/>
      </w:pPr>
      <w:r>
        <w:rPr/>
        <w:t>子公司采用的主要会计政策和会计期间按照公司统一规定的会计政策和会计期间厘定。 公司与子公司及子公司相互之间的所有重大账目及交易于合并时抵销。 子公司股东权益中不属于母公司的份额作为少数股东权益，在合并资产负债表中股东权益项目下以“少数股东权益”</w:t>
      </w:r>
    </w:p>
    <w:p>
      <w:pPr>
        <w:pStyle w:val="BodyText"/>
        <w:spacing w:line="316" w:lineRule="auto" w:before="15"/>
        <w:ind w:right="889"/>
        <w:jc w:val="left"/>
      </w:pPr>
      <w:r>
        <w:rPr>
          <w:spacing w:val="-2"/>
        </w:rPr>
        <w:t>项目列示。子公司当期净损益中属于少数股东权益的份额，在合并利润表中净利润项目下以“少数股东损益”项目列示。少</w:t>
      </w:r>
      <w:r>
        <w:rPr>
          <w:spacing w:val="-66"/>
        </w:rPr>
        <w:t> </w:t>
      </w:r>
      <w:r>
        <w:rPr>
          <w:spacing w:val="-66"/>
        </w:rPr>
      </w:r>
      <w:r>
        <w:rPr/>
        <w:t>数股东分担的子公司的亏损超过了少数股东在该子公司期初股东权益中所享有的份额，其余额仍冲减少数股东权益。</w:t>
      </w:r>
    </w:p>
    <w:p>
      <w:pPr>
        <w:pStyle w:val="BodyText"/>
        <w:spacing w:line="316" w:lineRule="auto" w:before="139"/>
        <w:ind w:right="1133" w:firstLine="420"/>
        <w:jc w:val="both"/>
      </w:pPr>
      <w:r>
        <w:rPr/>
        <w:t>对于购买子公司少数股权或因处置部分股权投资但没有丧失对该子公司控制权的交易，作为权益性交易核算，调整归 属于母公司所有者权益和少数股东权益的账面价值以反映其在子公司中相关权益的变化。</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73" w:right="889"/>
        <w:jc w:val="left"/>
      </w:pPr>
      <w:r>
        <w:rPr/>
        <w:t>少数股东权益的调整额与支付</w:t>
      </w:r>
      <w:r>
        <w:rPr>
          <w:rFonts w:ascii="宋体" w:hAnsi="宋体" w:cs="宋体" w:eastAsia="宋体" w:hint="default"/>
        </w:rPr>
        <w:t>/</w:t>
      </w:r>
      <w:r>
        <w:rPr/>
        <w:t>收到对价的公允价值之间的差额调整资本公积，资本公积不足冲减的，调整留存收益。</w:t>
      </w:r>
    </w:p>
    <w:p>
      <w:pPr>
        <w:spacing w:line="240" w:lineRule="auto" w:before="0"/>
        <w:rPr>
          <w:rFonts w:ascii="宋体" w:hAnsi="宋体" w:cs="宋体" w:eastAsia="宋体" w:hint="default"/>
          <w:sz w:val="15"/>
          <w:szCs w:val="15"/>
        </w:rPr>
      </w:pPr>
    </w:p>
    <w:p>
      <w:pPr>
        <w:pStyle w:val="BodyText"/>
        <w:spacing w:line="319" w:lineRule="auto"/>
        <w:ind w:right="1129" w:firstLine="420"/>
        <w:jc w:val="both"/>
      </w:pPr>
      <w:r>
        <w:rPr/>
        <w:t>因处置部分股权投资或其他原因丧失了对原有子公司控制权的，剩余股权按照其在丧失控制权日的公允价值进行重新 </w:t>
      </w:r>
      <w:r>
        <w:rPr>
          <w:spacing w:val="-2"/>
        </w:rPr>
        <w:t>计量。处置股权取得的对价与剩余股权公允价值之和，减去按原持股比例计算应享有原子公司自购买日开始持续计算的净资</w:t>
      </w:r>
      <w:r>
        <w:rPr>
          <w:spacing w:val="-64"/>
        </w:rPr>
        <w:t> </w:t>
      </w:r>
      <w:r>
        <w:rPr>
          <w:spacing w:val="-64"/>
        </w:rPr>
      </w:r>
      <w:r>
        <w:rPr>
          <w:spacing w:val="-2"/>
        </w:rPr>
        <w:t>产的份额之间的差额，计入丧失控制权当期的投资收益。与原有子公司股权投资相关的其他综合收益，在丧失控制权时转为</w:t>
      </w:r>
      <w:r>
        <w:rPr>
          <w:spacing w:val="-66"/>
        </w:rPr>
        <w:t> </w:t>
      </w:r>
      <w:r>
        <w:rPr>
          <w:spacing w:val="-66"/>
        </w:rPr>
      </w:r>
      <w:r>
        <w:rPr/>
        <w:t>当期投资收益。</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7、合营安排分类及共同经营会计处理方法" w:id="168"/>
      <w:bookmarkEnd w:id="16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pStyle w:val="BodyText"/>
        <w:spacing w:line="430" w:lineRule="atLeast" w:before="152"/>
        <w:ind w:left="574" w:right="889"/>
        <w:jc w:val="left"/>
      </w:pPr>
      <w:r>
        <w:rPr>
          <w:rFonts w:ascii="宋体" w:hAnsi="宋体" w:cs="宋体" w:eastAsia="宋体" w:hint="default"/>
        </w:rPr>
        <w:t>1.</w:t>
      </w:r>
      <w:r>
        <w:rPr/>
        <w:t>合营安排的认定和分类 合营安排，是指一项由两个或两个以上的参与方共同控制的安排。合营安排具有下列特征：</w:t>
      </w:r>
      <w:r>
        <w:rPr>
          <w:rFonts w:ascii="宋体" w:hAnsi="宋体" w:cs="宋体" w:eastAsia="宋体" w:hint="default"/>
        </w:rPr>
        <w:t>1)</w:t>
      </w:r>
      <w:r>
        <w:rPr/>
        <w:t>各参与方均受到该安排</w:t>
      </w:r>
    </w:p>
    <w:p>
      <w:pPr>
        <w:pStyle w:val="BodyText"/>
        <w:spacing w:line="316" w:lineRule="auto" w:before="76"/>
        <w:ind w:left="154" w:right="1131"/>
        <w:jc w:val="both"/>
      </w:pPr>
      <w:r>
        <w:rPr>
          <w:spacing w:val="-2"/>
        </w:rPr>
        <w:t>的约束；</w:t>
      </w:r>
      <w:r>
        <w:rPr>
          <w:rFonts w:ascii="宋体" w:hAnsi="宋体" w:cs="宋体" w:eastAsia="宋体" w:hint="default"/>
          <w:spacing w:val="-2"/>
        </w:rPr>
        <w:t>2)</w:t>
      </w:r>
      <w:r>
        <w:rPr>
          <w:spacing w:val="-2"/>
        </w:rPr>
        <w:t>两个或两个以上的参与方对该安排实施共同控制。任何一个参与方都不能够单独控制该安排，对该安排具有共同</w:t>
      </w:r>
      <w:r>
        <w:rPr>
          <w:spacing w:val="-64"/>
        </w:rPr>
        <w:t> </w:t>
      </w:r>
      <w:r>
        <w:rPr>
          <w:spacing w:val="-64"/>
        </w:rPr>
      </w:r>
      <w:r>
        <w:rPr/>
        <w:t>控制的任何一个参与方均能够阻止其他参与方或参与方组合单独控制该安排。</w:t>
      </w:r>
    </w:p>
    <w:p>
      <w:pPr>
        <w:pStyle w:val="BodyText"/>
        <w:spacing w:line="316" w:lineRule="auto" w:before="139"/>
        <w:ind w:right="1133" w:firstLine="420"/>
        <w:jc w:val="both"/>
      </w:pPr>
      <w:r>
        <w:rPr/>
        <w:t>共同控制，是指按照相关约定对某项安排所共有的控制，并且该安排的相关活动必须经过分享控制权的参与方一致同 意后才能决策。</w:t>
      </w:r>
    </w:p>
    <w:p>
      <w:pPr>
        <w:pStyle w:val="BodyText"/>
        <w:spacing w:line="316" w:lineRule="auto" w:before="139"/>
        <w:ind w:right="1133" w:firstLine="420"/>
        <w:jc w:val="both"/>
      </w:pPr>
      <w:r>
        <w:rPr/>
        <w:t>合营安排分为共同经营和合营企业。共同经营，是指合营方享有该安排相关资产且承担该安排相关负债的合营安排。 合营企业，是指合营方仅对该安排的净资产享有权利的合营安排。</w:t>
      </w:r>
    </w:p>
    <w:p>
      <w:pPr>
        <w:pStyle w:val="BodyText"/>
        <w:spacing w:line="432" w:lineRule="exact" w:before="3"/>
        <w:ind w:left="574" w:right="889"/>
        <w:jc w:val="left"/>
      </w:pPr>
      <w:r>
        <w:rPr>
          <w:rFonts w:ascii="宋体" w:hAnsi="宋体" w:cs="宋体" w:eastAsia="宋体" w:hint="default"/>
        </w:rPr>
        <w:t>2. </w:t>
      </w:r>
      <w:r>
        <w:rPr/>
        <w:t>合营安排的会计处理 共同经营参与方应当确认其与共同经营中利益份额相关的下列项目，并按照相关企业会计准则的规定进行会计处理：</w:t>
      </w:r>
    </w:p>
    <w:p>
      <w:pPr>
        <w:pStyle w:val="BodyText"/>
        <w:spacing w:line="319" w:lineRule="auto" w:before="15"/>
        <w:ind w:right="1132"/>
        <w:jc w:val="both"/>
      </w:pPr>
      <w:r>
        <w:rPr>
          <w:rFonts w:ascii="宋体" w:hAnsi="宋体" w:cs="宋体" w:eastAsia="宋体" w:hint="default"/>
          <w:spacing w:val="-2"/>
        </w:rPr>
        <w:t>1)</w:t>
      </w:r>
      <w:r>
        <w:rPr>
          <w:spacing w:val="-2"/>
        </w:rPr>
        <w:t>确认单独所持有的资产，以及按其份额确认共同持有的资产；</w:t>
      </w:r>
      <w:r>
        <w:rPr>
          <w:rFonts w:ascii="宋体" w:hAnsi="宋体" w:cs="宋体" w:eastAsia="宋体" w:hint="default"/>
          <w:spacing w:val="-2"/>
        </w:rPr>
        <w:t>2)</w:t>
      </w:r>
      <w:r>
        <w:rPr>
          <w:spacing w:val="-2"/>
        </w:rPr>
        <w:t>确认单独所承担的负债，以及按其份额确认共同承担的负</w:t>
      </w:r>
      <w:r>
        <w:rPr>
          <w:spacing w:val="-62"/>
        </w:rPr>
        <w:t> </w:t>
      </w:r>
      <w:r>
        <w:rPr>
          <w:spacing w:val="-62"/>
        </w:rPr>
      </w:r>
      <w:r>
        <w:rPr>
          <w:spacing w:val="-2"/>
        </w:rPr>
        <w:t>债；</w:t>
      </w:r>
      <w:r>
        <w:rPr>
          <w:rFonts w:ascii="宋体" w:hAnsi="宋体" w:cs="宋体" w:eastAsia="宋体" w:hint="default"/>
          <w:spacing w:val="-2"/>
        </w:rPr>
        <w:t>3)</w:t>
      </w:r>
      <w:r>
        <w:rPr>
          <w:spacing w:val="-2"/>
        </w:rPr>
        <w:t>确认出售其享有的共同经营产出份额所产生的收入；</w:t>
      </w:r>
      <w:r>
        <w:rPr>
          <w:rFonts w:ascii="宋体" w:hAnsi="宋体" w:cs="宋体" w:eastAsia="宋体" w:hint="default"/>
          <w:spacing w:val="-2"/>
        </w:rPr>
        <w:t>4)</w:t>
      </w:r>
      <w:r>
        <w:rPr>
          <w:spacing w:val="-2"/>
        </w:rPr>
        <w:t>按其份额确认共同经营因出售产出所产生的收入；</w:t>
      </w:r>
      <w:r>
        <w:rPr>
          <w:rFonts w:ascii="宋体" w:hAnsi="宋体" w:cs="宋体" w:eastAsia="宋体" w:hint="default"/>
          <w:spacing w:val="-2"/>
        </w:rPr>
        <w:t>5)</w:t>
      </w:r>
      <w:r>
        <w:rPr>
          <w:spacing w:val="-2"/>
        </w:rPr>
        <w:t>确认单独</w:t>
      </w:r>
      <w:r>
        <w:rPr>
          <w:spacing w:val="-60"/>
        </w:rPr>
        <w:t> </w:t>
      </w:r>
      <w:r>
        <w:rPr/>
        <w:t>所发生的费用，以及按其份额确认共同经营发生的费用。</w:t>
      </w:r>
    </w:p>
    <w:p>
      <w:pPr>
        <w:pStyle w:val="BodyText"/>
        <w:spacing w:line="240" w:lineRule="auto" w:before="137"/>
        <w:ind w:left="574" w:right="889"/>
        <w:jc w:val="left"/>
      </w:pPr>
      <w:r>
        <w:rPr/>
        <w:t>合营企业参与方应当按照《企业会计准则第</w:t>
      </w:r>
      <w:r>
        <w:rPr>
          <w:rFonts w:ascii="宋体" w:hAnsi="宋体" w:cs="宋体" w:eastAsia="宋体" w:hint="default"/>
        </w:rPr>
        <w:t>2</w:t>
      </w:r>
      <w:r>
        <w:rPr/>
        <w:t>号——长期股权投资》的规定对合营企业的投资进行会计处理。</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8、现金及现金等价物的确定标准" w:id="169"/>
      <w:bookmarkEnd w:id="16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现金流量表的现金指企业库存现金及可以随时用于支付的存款。现金等价物指持有的期限短（一般是指从购买日起三 个月内到期）、流动性强、易于转换为已知金额现金、价值变动风险很小的投资。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70"/>
      <w:bookmarkEnd w:id="170"/>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430" w:lineRule="atLeast" w:before="152"/>
        <w:ind w:left="574" w:right="889"/>
        <w:jc w:val="left"/>
      </w:pPr>
      <w:r>
        <w:rPr>
          <w:rFonts w:ascii="宋体" w:hAnsi="宋体" w:cs="宋体" w:eastAsia="宋体" w:hint="default"/>
        </w:rPr>
        <w:t>1. </w:t>
      </w:r>
      <w:r>
        <w:rPr/>
        <w:t>外币业务折算 外币交易在初始确认时，采用交易发生日的即期汇率折算为人民币金额。资产负债表日，外币货币性项目采用资产负</w:t>
      </w:r>
    </w:p>
    <w:p>
      <w:pPr>
        <w:pStyle w:val="BodyText"/>
        <w:spacing w:line="316" w:lineRule="auto" w:before="76"/>
        <w:ind w:left="154" w:right="1131"/>
        <w:jc w:val="both"/>
      </w:pPr>
      <w:r>
        <w:rPr>
          <w:spacing w:val="-2"/>
        </w:rPr>
        <w:t>债表日即期汇率折算，因汇率不同而产生的汇兑差额，除与购建符合资本化条件资产有关的外币专门借款本金及利息的汇兑</w:t>
      </w:r>
      <w:r>
        <w:rPr>
          <w:spacing w:val="-64"/>
        </w:rPr>
        <w:t> </w:t>
      </w:r>
      <w:r>
        <w:rPr>
          <w:spacing w:val="-64"/>
        </w:rPr>
      </w:r>
      <w:r>
        <w:rPr>
          <w:spacing w:val="-2"/>
        </w:rPr>
        <w:t>差额外，计入当期损益；以历史成本计量的外币非货币性项目仍采用交易发生日的即期汇率折算，不改变其人民币金额；以</w:t>
      </w:r>
      <w:r>
        <w:rPr>
          <w:spacing w:val="-66"/>
        </w:rPr>
        <w:t> </w:t>
      </w:r>
      <w:r>
        <w:rPr>
          <w:spacing w:val="-66"/>
        </w:rPr>
      </w:r>
      <w:r>
        <w:rPr/>
        <w:t>公允价值计量的外币非货币性项目，采用公允价值确定日的即期汇率折算，差额计入当期损益或其他综合收益。</w:t>
      </w:r>
    </w:p>
    <w:p>
      <w:pPr>
        <w:pStyle w:val="BodyText"/>
        <w:spacing w:line="432" w:lineRule="exact" w:before="3"/>
        <w:ind w:left="574" w:right="889"/>
        <w:jc w:val="left"/>
      </w:pPr>
      <w:r>
        <w:rPr>
          <w:rFonts w:ascii="宋体" w:hAnsi="宋体" w:cs="宋体" w:eastAsia="宋体" w:hint="default"/>
        </w:rPr>
        <w:t>2. </w:t>
      </w:r>
      <w:r>
        <w:rPr/>
        <w:t>外币财务报表折算 资产负债表中的资产和负债项目，采用资产负债表日的即期汇率折算；所有者权益项目除“未分配利润”项目外，其</w:t>
      </w:r>
    </w:p>
    <w:p>
      <w:pPr>
        <w:pStyle w:val="BodyText"/>
        <w:spacing w:line="316" w:lineRule="auto" w:before="15"/>
        <w:ind w:left="154" w:right="1132"/>
        <w:jc w:val="both"/>
      </w:pPr>
      <w:r>
        <w:rPr>
          <w:spacing w:val="-2"/>
        </w:rPr>
        <w:t>他项目采用交易发生日的即期汇率折算；利润表中的收入和费用项目，采用交易发生日的即期汇率或即期汇率的近似汇率折</w:t>
      </w:r>
      <w:r>
        <w:rPr>
          <w:spacing w:val="-64"/>
        </w:rPr>
        <w:t> </w:t>
      </w:r>
      <w:r>
        <w:rPr>
          <w:spacing w:val="-64"/>
        </w:rPr>
      </w:r>
      <w:r>
        <w:rPr/>
        <w:t>算。按照上述折算产生的外币财务报表折算差额，确认为其他综合收益。</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89"/>
        <w:jc w:val="left"/>
        <w:rPr>
          <w:b w:val="0"/>
          <w:bCs w:val="0"/>
        </w:rPr>
      </w:pPr>
      <w:bookmarkStart w:name="10、金融工具" w:id="171"/>
      <w:bookmarkEnd w:id="171"/>
      <w:r>
        <w:rPr>
          <w:b w:val="0"/>
          <w:bCs w:val="0"/>
        </w:rPr>
      </w:r>
      <w:r>
        <w:rPr>
          <w:rFonts w:ascii="Times New Roman" w:hAnsi="Times New Roman" w:cs="Times New Roman" w:eastAsia="Times New Roman" w:hint="default"/>
        </w:rPr>
        <w:t>10</w:t>
      </w:r>
      <w:r>
        <w:rPr/>
        <w:t>、金融工具</w:t>
      </w:r>
      <w:r>
        <w:rPr>
          <w:b w:val="0"/>
          <w:bCs w:val="0"/>
        </w:rPr>
      </w:r>
    </w:p>
    <w:p>
      <w:pPr>
        <w:pStyle w:val="BodyText"/>
        <w:spacing w:line="430" w:lineRule="atLeast" w:before="152"/>
        <w:ind w:left="574" w:right="1114"/>
        <w:jc w:val="left"/>
      </w:pPr>
      <w:r>
        <w:rPr>
          <w:rFonts w:ascii="宋体" w:hAnsi="宋体" w:cs="宋体" w:eastAsia="宋体" w:hint="default"/>
        </w:rPr>
        <w:t>1. </w:t>
      </w:r>
      <w:r>
        <w:rPr/>
        <w:t>金融资产和金融负债的分类 </w:t>
      </w:r>
      <w:r>
        <w:rPr>
          <w:spacing w:val="-1"/>
        </w:rPr>
        <w:t>金融资产在初始确认时划分为以下四类：以公允价值计量且其变动计入当期损益的金融资产</w:t>
      </w:r>
      <w:r>
        <w:rPr>
          <w:rFonts w:ascii="宋体" w:hAnsi="宋体" w:cs="宋体" w:eastAsia="宋体" w:hint="default"/>
          <w:spacing w:val="-1"/>
        </w:rPr>
        <w:t>(</w:t>
      </w:r>
      <w:r>
        <w:rPr>
          <w:spacing w:val="-1"/>
        </w:rPr>
        <w:t>包括交易性金融资产和指</w:t>
      </w:r>
    </w:p>
    <w:p>
      <w:pPr>
        <w:pStyle w:val="BodyText"/>
        <w:spacing w:line="240" w:lineRule="auto" w:before="77"/>
        <w:ind w:right="889"/>
        <w:jc w:val="left"/>
      </w:pPr>
      <w:r>
        <w:rPr/>
        <w:t>定为以公允价值计量且其变动计入当期损益的金融资产</w:t>
      </w:r>
      <w:r>
        <w:rPr>
          <w:rFonts w:ascii="宋体" w:hAnsi="宋体" w:cs="宋体" w:eastAsia="宋体" w:hint="default"/>
        </w:rPr>
        <w:t>)</w:t>
      </w:r>
      <w:r>
        <w:rPr/>
        <w:t>、持有至到期投资、贷款和应收款项、可供出售金融资产。</w:t>
      </w:r>
    </w:p>
    <w:p>
      <w:pPr>
        <w:spacing w:line="240" w:lineRule="auto" w:before="0"/>
        <w:rPr>
          <w:rFonts w:ascii="宋体" w:hAnsi="宋体" w:cs="宋体" w:eastAsia="宋体" w:hint="default"/>
          <w:sz w:val="15"/>
          <w:szCs w:val="15"/>
        </w:rPr>
      </w:pPr>
    </w:p>
    <w:p>
      <w:pPr>
        <w:pStyle w:val="BodyText"/>
        <w:spacing w:line="316" w:lineRule="auto"/>
        <w:ind w:right="1130" w:firstLine="420"/>
        <w:jc w:val="both"/>
      </w:pPr>
      <w:r>
        <w:rPr>
          <w:spacing w:val="-1"/>
        </w:rPr>
        <w:t>金融负债在初始确认时划分为以下两类：以公允价值计量且其变动计入当期损益的金融负债</w:t>
      </w:r>
      <w:r>
        <w:rPr>
          <w:rFonts w:ascii="宋体" w:hAnsi="宋体" w:cs="宋体" w:eastAsia="宋体" w:hint="default"/>
          <w:spacing w:val="-1"/>
        </w:rPr>
        <w:t>(</w:t>
      </w:r>
      <w:r>
        <w:rPr>
          <w:spacing w:val="-1"/>
        </w:rPr>
        <w:t>包括交易性金融负债和指</w:t>
      </w:r>
      <w:r>
        <w:rPr/>
        <w:t> 定为以公允价值计量且其变动计入当期损益的金融负债</w:t>
      </w:r>
      <w:r>
        <w:rPr>
          <w:rFonts w:ascii="宋体" w:hAnsi="宋体" w:cs="宋体" w:eastAsia="宋体" w:hint="default"/>
        </w:rPr>
        <w:t>)</w:t>
      </w:r>
      <w:r>
        <w:rPr/>
        <w:t>、其他金融负债。</w:t>
      </w:r>
    </w:p>
    <w:p>
      <w:pPr>
        <w:pStyle w:val="BodyText"/>
        <w:spacing w:line="432" w:lineRule="exact" w:before="3"/>
        <w:ind w:left="574" w:right="1152"/>
        <w:jc w:val="left"/>
      </w:pPr>
      <w:r>
        <w:rPr>
          <w:rFonts w:ascii="宋体" w:hAnsi="宋体" w:cs="宋体" w:eastAsia="宋体" w:hint="default"/>
        </w:rPr>
        <w:t>2. </w:t>
      </w:r>
      <w:r>
        <w:rPr/>
        <w:t>金融资产和金融负债的确认依据、计量方法和终止确认条件 本公司成为金融工具合同的一方时，确认一项金融资产或金融负债。初始确认金融资产或金融负债时，按照公允价值</w:t>
      </w:r>
    </w:p>
    <w:p>
      <w:pPr>
        <w:pStyle w:val="BodyText"/>
        <w:spacing w:line="316" w:lineRule="auto" w:before="15"/>
        <w:ind w:left="154" w:right="889"/>
        <w:jc w:val="left"/>
      </w:pPr>
      <w:r>
        <w:rPr>
          <w:spacing w:val="-2"/>
        </w:rPr>
        <w:t>计量；对于以公允价值计量且其变动计入当期损益的金融资产和金融负债，相关交易费用直接计入当期损益；对于其他类别</w:t>
      </w:r>
      <w:r>
        <w:rPr>
          <w:spacing w:val="-66"/>
        </w:rPr>
        <w:t> </w:t>
      </w:r>
      <w:r>
        <w:rPr>
          <w:spacing w:val="-66"/>
        </w:rPr>
      </w:r>
      <w:r>
        <w:rPr/>
        <w:t>的金融资产或金融负债，相关交易费用计入初始确认金额。</w:t>
      </w:r>
    </w:p>
    <w:p>
      <w:pPr>
        <w:pStyle w:val="BodyText"/>
        <w:spacing w:line="316" w:lineRule="auto" w:before="139"/>
        <w:ind w:left="154" w:right="1132" w:firstLine="420"/>
        <w:jc w:val="both"/>
      </w:pPr>
      <w:r>
        <w:rPr/>
        <w:t>本公司按照公允价值对金融资产进行后续计量，且不扣除将来处置该金融资产时可能发生的交易费用，但下列情况除 </w:t>
      </w:r>
      <w:r>
        <w:rPr>
          <w:spacing w:val="-2"/>
        </w:rPr>
        <w:t>外：</w:t>
      </w:r>
      <w:r>
        <w:rPr>
          <w:rFonts w:ascii="宋体" w:hAnsi="宋体" w:cs="宋体" w:eastAsia="宋体" w:hint="default"/>
          <w:spacing w:val="-2"/>
        </w:rPr>
        <w:t>(1)</w:t>
      </w:r>
      <w:r>
        <w:rPr>
          <w:spacing w:val="-2"/>
        </w:rPr>
        <w:t>持有至到期投资以及贷款和应收款项采用实际利率法，按摊余成本计量；</w:t>
      </w:r>
      <w:r>
        <w:rPr>
          <w:rFonts w:ascii="宋体" w:hAnsi="宋体" w:cs="宋体" w:eastAsia="宋体" w:hint="default"/>
          <w:spacing w:val="-2"/>
        </w:rPr>
        <w:t>(2)</w:t>
      </w:r>
      <w:r>
        <w:rPr>
          <w:spacing w:val="-2"/>
        </w:rPr>
        <w:t>在活跃市场中没有报价且其公允价值不</w:t>
      </w:r>
      <w:r>
        <w:rPr>
          <w:spacing w:val="-60"/>
        </w:rPr>
        <w:t> </w:t>
      </w:r>
      <w:r>
        <w:rPr/>
        <w:t>能可靠计量的权益工具投资，以及与该权益工具挂钩并须通过交付该权益工具结算的衍生金融资产，按照成本计量。</w:t>
      </w:r>
    </w:p>
    <w:p>
      <w:pPr>
        <w:pStyle w:val="BodyText"/>
        <w:spacing w:line="316" w:lineRule="auto" w:before="139"/>
        <w:ind w:right="1129" w:firstLine="420"/>
        <w:jc w:val="both"/>
      </w:pPr>
      <w:r>
        <w:rPr>
          <w:spacing w:val="-1"/>
        </w:rPr>
        <w:t>公司采用实际利率法，按摊余成本对金融负债进行后续计量，但下列情况除外：</w:t>
      </w:r>
      <w:r>
        <w:rPr>
          <w:rFonts w:ascii="宋体" w:hAnsi="宋体" w:cs="宋体" w:eastAsia="宋体" w:hint="default"/>
          <w:spacing w:val="-1"/>
        </w:rPr>
        <w:t>(1)</w:t>
      </w:r>
      <w:r>
        <w:rPr>
          <w:spacing w:val="-1"/>
        </w:rPr>
        <w:t>以公允价值计量且其变动计入当期</w:t>
      </w:r>
      <w:r>
        <w:rPr/>
        <w:t> 损益的金融负债，按照公允价值计量，且不扣除将来结清金融负债时可能发生的交易费用；</w:t>
      </w:r>
      <w:r>
        <w:rPr>
          <w:rFonts w:ascii="宋体" w:hAnsi="宋体" w:cs="宋体" w:eastAsia="宋体" w:hint="default"/>
        </w:rPr>
        <w:t>(2)</w:t>
      </w:r>
      <w:r>
        <w:rPr/>
        <w:t>与在活跃市场中没有报价、</w:t>
      </w:r>
      <w:r>
        <w:rPr>
          <w:spacing w:val="-82"/>
        </w:rPr>
        <w:t> </w:t>
      </w:r>
      <w:r>
        <w:rPr>
          <w:spacing w:val="-82"/>
        </w:rPr>
      </w:r>
      <w:r>
        <w:rPr/>
        <w:t>公允价值不能可靠计量的权益工具挂钩并须通过交付该权益工具结算的衍生金融负债，按照成本计量；</w:t>
      </w:r>
      <w:r>
        <w:rPr>
          <w:rFonts w:ascii="宋体" w:hAnsi="宋体" w:cs="宋体" w:eastAsia="宋体" w:hint="default"/>
        </w:rPr>
        <w:t>(3)</w:t>
      </w:r>
      <w:r>
        <w:rPr/>
        <w:t>不属于指定为以</w:t>
      </w:r>
      <w:r>
        <w:rPr>
          <w:spacing w:val="-81"/>
        </w:rPr>
        <w:t> </w:t>
      </w:r>
      <w:r>
        <w:rPr>
          <w:spacing w:val="-81"/>
        </w:rPr>
      </w:r>
      <w:r>
        <w:rPr>
          <w:spacing w:val="-2"/>
        </w:rPr>
        <w:t>公允价值计量且其变动计入当期损益的金融负债的财务担保合同，或没有指定为以公允价值计量且其变动计入当期损益并将</w:t>
      </w:r>
      <w:r>
        <w:rPr>
          <w:spacing w:val="-64"/>
        </w:rPr>
        <w:t> </w:t>
      </w:r>
      <w:r>
        <w:rPr>
          <w:spacing w:val="-64"/>
        </w:rPr>
      </w:r>
      <w:r>
        <w:rPr>
          <w:spacing w:val="-2"/>
        </w:rPr>
        <w:t>以低于市场利率贷款的贷款承诺，在初始确认后按照下列两项金额之中的较高者进行后续计量：</w:t>
      </w:r>
      <w:r>
        <w:rPr>
          <w:rFonts w:ascii="宋体" w:hAnsi="宋体" w:cs="宋体" w:eastAsia="宋体" w:hint="default"/>
          <w:spacing w:val="-2"/>
        </w:rPr>
        <w:t>1)</w:t>
      </w:r>
      <w:r>
        <w:rPr>
          <w:spacing w:val="-2"/>
        </w:rPr>
        <w:t>按照《企业会计准则第</w:t>
      </w:r>
      <w:r>
        <w:rPr>
          <w:rFonts w:ascii="宋体" w:hAnsi="宋体" w:cs="宋体" w:eastAsia="宋体" w:hint="default"/>
          <w:spacing w:val="-2"/>
        </w:rPr>
        <w:t>13</w:t>
      </w:r>
      <w:r>
        <w:rPr>
          <w:rFonts w:ascii="宋体" w:hAnsi="宋体" w:cs="宋体" w:eastAsia="宋体" w:hint="default"/>
          <w:spacing w:val="-61"/>
        </w:rPr>
        <w:t> </w:t>
      </w:r>
      <w:r>
        <w:rPr>
          <w:spacing w:val="-2"/>
        </w:rPr>
        <w:t>号——或有事项》确定的金额；</w:t>
      </w:r>
      <w:r>
        <w:rPr>
          <w:rFonts w:ascii="宋体" w:hAnsi="宋体" w:cs="宋体" w:eastAsia="宋体" w:hint="default"/>
          <w:spacing w:val="-2"/>
        </w:rPr>
        <w:t>2)</w:t>
      </w:r>
      <w:r>
        <w:rPr>
          <w:spacing w:val="-2"/>
        </w:rPr>
        <w:t>初始确认金额扣除按照《企业会计准则第</w:t>
      </w:r>
      <w:r>
        <w:rPr>
          <w:rFonts w:ascii="宋体" w:hAnsi="宋体" w:cs="宋体" w:eastAsia="宋体" w:hint="default"/>
          <w:spacing w:val="-2"/>
        </w:rPr>
        <w:t>14</w:t>
      </w:r>
      <w:r>
        <w:rPr>
          <w:spacing w:val="-2"/>
        </w:rPr>
        <w:t>号——收入》的原则确定的累积摊销额后的余</w:t>
      </w:r>
      <w:r>
        <w:rPr>
          <w:spacing w:val="-62"/>
        </w:rPr>
        <w:t> </w:t>
      </w:r>
      <w:r>
        <w:rPr>
          <w:spacing w:val="-62"/>
        </w:rPr>
      </w:r>
      <w:r>
        <w:rPr/>
        <w:t>额。</w:t>
      </w:r>
    </w:p>
    <w:p>
      <w:pPr>
        <w:pStyle w:val="BodyText"/>
        <w:spacing w:line="316" w:lineRule="auto" w:before="139"/>
        <w:ind w:right="1129" w:firstLine="420"/>
        <w:jc w:val="both"/>
      </w:pPr>
      <w:r>
        <w:rPr>
          <w:spacing w:val="-1"/>
        </w:rPr>
        <w:t>金融资产或金融负债公允价值变动形成的利得或损失，除与套期保值有关外，按照如下方法处理：</w:t>
      </w:r>
      <w:r>
        <w:rPr>
          <w:rFonts w:ascii="宋体" w:hAnsi="宋体" w:cs="宋体" w:eastAsia="宋体" w:hint="default"/>
          <w:spacing w:val="-1"/>
        </w:rPr>
        <w:t>(1)</w:t>
      </w:r>
      <w:r>
        <w:rPr>
          <w:spacing w:val="-1"/>
        </w:rPr>
        <w:t>以公允价值计量</w:t>
      </w:r>
      <w:r>
        <w:rPr/>
        <w:t> </w:t>
      </w:r>
      <w:r>
        <w:rPr>
          <w:spacing w:val="-2"/>
        </w:rPr>
        <w:t>且其变动计入当期损益的金融资产或金融负债公允价值变动形成的利得或损失，计入公允价值变动损益；在资产持有期间所</w:t>
      </w:r>
      <w:r>
        <w:rPr>
          <w:spacing w:val="-64"/>
        </w:rPr>
        <w:t> </w:t>
      </w:r>
      <w:r>
        <w:rPr>
          <w:spacing w:val="-64"/>
        </w:rPr>
      </w:r>
      <w:r>
        <w:rPr>
          <w:spacing w:val="-2"/>
        </w:rPr>
        <w:t>取得的利息或现金股利，确认为投资收益；处置时，将实际收到的金额与初始入账金额之间的差额确认为投资收益，同时调</w:t>
      </w:r>
      <w:r>
        <w:rPr>
          <w:spacing w:val="-66"/>
        </w:rPr>
        <w:t> </w:t>
      </w:r>
      <w:r>
        <w:rPr>
          <w:spacing w:val="-66"/>
        </w:rPr>
      </w:r>
      <w:r>
        <w:rPr/>
        <w:t>整公允价值变动损益。</w:t>
      </w:r>
      <w:r>
        <w:rPr>
          <w:rFonts w:ascii="宋体" w:hAnsi="宋体" w:cs="宋体" w:eastAsia="宋体" w:hint="default"/>
        </w:rPr>
        <w:t>(2)</w:t>
      </w:r>
      <w:r>
        <w:rPr/>
        <w:t>可供出售金融资产的公允价值变动计入其他综合收益；持有期间按实际利率法计算的利息，计入 </w:t>
      </w:r>
      <w:r>
        <w:rPr>
          <w:spacing w:val="-2"/>
        </w:rPr>
        <w:t>投资收益；可供出售权益工具投资的现金股利，于被投资单位宣告发放股利时计入投资收益；处置时，将实际收到的金额与</w:t>
      </w:r>
      <w:r>
        <w:rPr>
          <w:spacing w:val="-66"/>
        </w:rPr>
        <w:t> </w:t>
      </w:r>
      <w:r>
        <w:rPr>
          <w:spacing w:val="-66"/>
        </w:rPr>
      </w:r>
      <w:r>
        <w:rPr/>
        <w:t>账面价值扣除原直接计入其他综合收益的公允价值变动累计额之后的差额确认为投资收益。</w:t>
      </w:r>
    </w:p>
    <w:p>
      <w:pPr>
        <w:pStyle w:val="BodyText"/>
        <w:spacing w:line="316" w:lineRule="auto" w:before="139"/>
        <w:ind w:right="1170" w:firstLine="420"/>
        <w:jc w:val="both"/>
      </w:pPr>
      <w:r>
        <w:rPr/>
        <w:t>当收取某项金融资产现金流量的合同权利已终止或该金融资产所有权上几乎所有的风险和报酬已转移时，终止确认该 金融资产；当金融负债的现时义务全部或部分解除时，相应终止确认该金融负债或其一部分。</w:t>
      </w:r>
    </w:p>
    <w:p>
      <w:pPr>
        <w:pStyle w:val="BodyText"/>
        <w:spacing w:line="432" w:lineRule="exact" w:before="3"/>
        <w:ind w:left="573" w:right="1153"/>
        <w:jc w:val="left"/>
      </w:pPr>
      <w:r>
        <w:rPr>
          <w:rFonts w:ascii="宋体" w:hAnsi="宋体" w:cs="宋体" w:eastAsia="宋体" w:hint="default"/>
        </w:rPr>
        <w:t>3. </w:t>
      </w:r>
      <w:r>
        <w:rPr/>
        <w:t>金融资产转移的确认依据和计量方法 公司已将金融资产所有权上几乎所有的风险和报酬转移给了转入方的，终止确认该金融资产；保留了金融资产所有权</w:t>
      </w:r>
    </w:p>
    <w:p>
      <w:pPr>
        <w:pStyle w:val="BodyText"/>
        <w:spacing w:line="316" w:lineRule="auto" w:before="15"/>
        <w:ind w:right="1029"/>
        <w:jc w:val="left"/>
      </w:pPr>
      <w:r>
        <w:rPr>
          <w:spacing w:val="-2"/>
        </w:rPr>
        <w:t>上几乎所有的风险和报酬的，继续确认所转移的金融资产，并将收到的对价确认为一项金融负债。公司既没有转移也没有保</w:t>
      </w:r>
      <w:r>
        <w:rPr>
          <w:spacing w:val="-66"/>
        </w:rPr>
        <w:t> </w:t>
      </w:r>
      <w:r>
        <w:rPr>
          <w:spacing w:val="-66"/>
        </w:rPr>
      </w:r>
      <w:r>
        <w:rPr>
          <w:spacing w:val="-4"/>
        </w:rPr>
        <w:t>留金融资产所有权上几乎所有的风险和报酬的，分别下列情况处理：</w:t>
      </w:r>
      <w:r>
        <w:rPr>
          <w:rFonts w:ascii="宋体" w:hAnsi="宋体" w:cs="宋体" w:eastAsia="宋体" w:hint="default"/>
          <w:spacing w:val="-4"/>
        </w:rPr>
        <w:t>(1)</w:t>
      </w:r>
      <w:r>
        <w:rPr>
          <w:rFonts w:ascii="宋体" w:hAnsi="宋体" w:cs="宋体" w:eastAsia="宋体" w:hint="default"/>
          <w:spacing w:val="25"/>
        </w:rPr>
        <w:t> </w:t>
      </w:r>
      <w:r>
        <w:rPr>
          <w:spacing w:val="-3"/>
        </w:rPr>
        <w:t>放弃了对该金融资产控制的，终止确认该金融资产；</w:t>
      </w:r>
      <w:r>
        <w:rPr>
          <w:spacing w:val="-88"/>
        </w:rPr>
        <w:t> </w:t>
      </w:r>
      <w:r>
        <w:rPr>
          <w:spacing w:val="-88"/>
        </w:rPr>
      </w:r>
      <w:r>
        <w:rPr>
          <w:rFonts w:ascii="宋体" w:hAnsi="宋体" w:cs="宋体" w:eastAsia="宋体" w:hint="default"/>
        </w:rPr>
        <w:t>(2) </w:t>
      </w:r>
      <w:r>
        <w:rPr/>
        <w:t>未放弃对该金融资产控制的，按照继续涉入所转移金融资产的程度确认有关金融资产，并相应确认有关负债。</w:t>
      </w:r>
    </w:p>
    <w:p>
      <w:pPr>
        <w:pStyle w:val="BodyText"/>
        <w:spacing w:line="319" w:lineRule="auto" w:before="139"/>
        <w:ind w:right="1129" w:firstLine="420"/>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47"/>
        </w:rPr>
        <w:t> </w:t>
      </w:r>
      <w:r>
        <w:rPr/>
        <w:t>所转移金融资产的账面价值；</w:t>
      </w:r>
      <w:r>
        <w:rPr>
          <w:rFonts w:ascii="宋体" w:hAnsi="宋体" w:cs="宋体" w:eastAsia="宋体" w:hint="default"/>
        </w:rPr>
        <w:t>(2) </w:t>
      </w:r>
      <w:r>
        <w:rPr>
          <w:spacing w:val="-2"/>
        </w:rPr>
        <w:t>因转移而收到的对价，与原直接计入所有者权益的公允价值变动累计额之和。金融资产部分转移满足终止确认条件的，将所</w:t>
      </w:r>
      <w:r>
        <w:rPr>
          <w:spacing w:val="-66"/>
        </w:rPr>
        <w:t> </w:t>
      </w:r>
      <w:r>
        <w:rPr>
          <w:spacing w:val="-66"/>
        </w:rPr>
      </w:r>
      <w:r>
        <w:rPr>
          <w:spacing w:val="-2"/>
        </w:rPr>
        <w:t>转移金融资产整体的账面价值，在终止确认部分和未终止确认部分之间，按照各自的相对公允价值进行分摊，并将下列两项</w:t>
      </w:r>
      <w:r>
        <w:rPr>
          <w:spacing w:val="-66"/>
        </w:rPr>
        <w:t> </w:t>
      </w:r>
      <w:r>
        <w:rPr>
          <w:spacing w:val="-66"/>
        </w:rPr>
      </w:r>
      <w:r>
        <w:rPr/>
        <w:t>金额的差额计入当期损益：</w:t>
      </w:r>
      <w:r>
        <w:rPr>
          <w:rFonts w:ascii="宋体" w:hAnsi="宋体" w:cs="宋体" w:eastAsia="宋体" w:hint="default"/>
        </w:rPr>
        <w:t>(1)</w:t>
      </w:r>
      <w:r>
        <w:rPr>
          <w:rFonts w:ascii="宋体" w:hAnsi="宋体" w:cs="宋体" w:eastAsia="宋体" w:hint="default"/>
          <w:spacing w:val="-40"/>
        </w:rPr>
        <w:t> </w:t>
      </w:r>
      <w:r>
        <w:rPr/>
        <w:t>终止确认部分的账面价值；</w:t>
      </w:r>
      <w:r>
        <w:rPr>
          <w:rFonts w:ascii="宋体" w:hAnsi="宋体" w:cs="宋体" w:eastAsia="宋体" w:hint="default"/>
        </w:rPr>
        <w:t>(2)</w:t>
      </w:r>
      <w:r>
        <w:rPr>
          <w:rFonts w:ascii="宋体" w:hAnsi="宋体" w:cs="宋体" w:eastAsia="宋体" w:hint="default"/>
          <w:spacing w:val="-40"/>
        </w:rPr>
        <w:t> </w:t>
      </w:r>
      <w:r>
        <w:rPr/>
        <w:t>终止确认部分的对价，与原直接计入所有者权益的公允价值 变动累计额中对应终止确认部分的金额之和。</w:t>
      </w:r>
    </w:p>
    <w:p>
      <w:pPr>
        <w:pStyle w:val="BodyText"/>
        <w:spacing w:line="240" w:lineRule="auto" w:before="137"/>
        <w:ind w:left="574" w:right="889"/>
        <w:jc w:val="left"/>
      </w:pPr>
      <w:r>
        <w:rPr>
          <w:rFonts w:ascii="宋体" w:hAnsi="宋体" w:cs="宋体" w:eastAsia="宋体" w:hint="default"/>
        </w:rPr>
        <w:t>4. </w:t>
      </w:r>
      <w:r>
        <w:rPr/>
        <w:t>主要金融资产和金融负债的公允价值确定方法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9" w:firstLine="420"/>
        <w:jc w:val="both"/>
      </w:pPr>
      <w:r>
        <w:rPr/>
        <w:t>存在活跃市场的金融资产或金融负债，以活跃市场的报价确定其公允价值；不存在活跃市场的金融资产或金融负债， 采用估值技术</w:t>
      </w:r>
      <w:r>
        <w:rPr>
          <w:rFonts w:ascii="宋体" w:hAnsi="宋体" w:cs="宋体" w:eastAsia="宋体" w:hint="default"/>
        </w:rPr>
        <w:t>(</w:t>
      </w:r>
      <w:r>
        <w:rPr/>
        <w:t>包括参考熟悉情况并自愿交易的各方最近进行的市场交易中使用的价格、参照实质上相同的其他金融工具的 当前公允价值、现金流量折现法和期权定价模型等</w:t>
      </w:r>
      <w:r>
        <w:rPr>
          <w:rFonts w:ascii="宋体" w:hAnsi="宋体" w:cs="宋体" w:eastAsia="宋体" w:hint="default"/>
        </w:rPr>
        <w:t>)</w:t>
      </w:r>
      <w:r>
        <w:rPr/>
        <w:t>确定其公允价值；初始取得或源生的金融资产或承担的金融负债，以市 场交易价格作为确定其公允价值的基础。</w:t>
      </w:r>
    </w:p>
    <w:p>
      <w:pPr>
        <w:pStyle w:val="BodyText"/>
        <w:spacing w:line="432" w:lineRule="exact" w:before="4"/>
        <w:ind w:left="574" w:right="1152"/>
        <w:jc w:val="left"/>
      </w:pPr>
      <w:r>
        <w:rPr>
          <w:rFonts w:ascii="宋体" w:hAnsi="宋体" w:cs="宋体" w:eastAsia="宋体" w:hint="default"/>
        </w:rPr>
        <w:t>5. </w:t>
      </w:r>
      <w:r>
        <w:rPr/>
        <w:t>金融资产的减值测试和减值准备计提方法 资产负债表日对以公允价值计量且其变动计入当期损益的金融资产以外的金融资产的账面价值进行检查，如有客观证</w:t>
      </w:r>
    </w:p>
    <w:p>
      <w:pPr>
        <w:pStyle w:val="BodyText"/>
        <w:spacing w:line="240" w:lineRule="auto" w:before="15"/>
        <w:ind w:left="154" w:right="889"/>
        <w:jc w:val="left"/>
      </w:pPr>
      <w:r>
        <w:rPr/>
        <w:t>据表明该金融资产发生减值的，计提减值准备。</w:t>
      </w:r>
    </w:p>
    <w:p>
      <w:pPr>
        <w:spacing w:line="240" w:lineRule="auto" w:before="0"/>
        <w:rPr>
          <w:rFonts w:ascii="宋体" w:hAnsi="宋体" w:cs="宋体" w:eastAsia="宋体" w:hint="default"/>
          <w:sz w:val="15"/>
          <w:szCs w:val="15"/>
        </w:rPr>
      </w:pPr>
    </w:p>
    <w:p>
      <w:pPr>
        <w:pStyle w:val="BodyText"/>
        <w:spacing w:line="316" w:lineRule="auto"/>
        <w:ind w:right="1139" w:firstLine="420"/>
        <w:jc w:val="both"/>
      </w:pPr>
      <w:r>
        <w:rPr/>
        <w:t>对单项金额重大的金融资产单独进行减值测试；对单项金额不重大的金融资产，可以单独进行减值测试，或包括在具 有类似信用风险特征的金融资产组合中进行减值测试；单独测试未发生减值的金融资产</w:t>
      </w:r>
      <w:r>
        <w:rPr>
          <w:rFonts w:ascii="宋体" w:hAnsi="宋体" w:cs="宋体" w:eastAsia="宋体" w:hint="default"/>
        </w:rPr>
        <w:t>(</w:t>
      </w:r>
      <w:r>
        <w:rPr/>
        <w:t>包括单项金额重大和不重大的金融 资产</w:t>
      </w:r>
      <w:r>
        <w:rPr>
          <w:rFonts w:ascii="宋体" w:hAnsi="宋体" w:cs="宋体" w:eastAsia="宋体" w:hint="default"/>
        </w:rPr>
        <w:t>)</w:t>
      </w:r>
      <w:r>
        <w:rPr/>
        <w:t>，包括在具有类似信用风险特征的金融资产组合中再进行减值测试。</w:t>
      </w:r>
    </w:p>
    <w:p>
      <w:pPr>
        <w:pStyle w:val="BodyText"/>
        <w:spacing w:line="316" w:lineRule="auto" w:before="139"/>
        <w:ind w:right="1132" w:firstLine="420"/>
        <w:jc w:val="both"/>
      </w:pPr>
      <w:r>
        <w:rPr/>
        <w:t>按摊余成本计量的金融资产，期末有客观证据表明其发生了减值的，根据其账面价值与预计未来现金流量现值之间的 </w:t>
      </w:r>
      <w:r>
        <w:rPr>
          <w:spacing w:val="-2"/>
        </w:rPr>
        <w:t>差额确认减值损失。在活跃市场中没有报价且其公允价值不能可靠计量的权益工具投资，或与该权益工具挂钩并须通过交付</w:t>
      </w:r>
      <w:r>
        <w:rPr>
          <w:spacing w:val="-64"/>
        </w:rPr>
        <w:t> </w:t>
      </w:r>
      <w:r>
        <w:rPr>
          <w:spacing w:val="-64"/>
        </w:rPr>
      </w:r>
      <w:r>
        <w:rPr>
          <w:spacing w:val="-2"/>
        </w:rPr>
        <w:t>该权益工具结算的衍生金融资产发生减值时，将该权益工具投资或衍生金融资产的账面价值，与按照类似金融资产当时市场</w:t>
      </w:r>
      <w:r>
        <w:rPr>
          <w:spacing w:val="-64"/>
        </w:rPr>
        <w:t> </w:t>
      </w:r>
      <w:r>
        <w:rPr>
          <w:spacing w:val="-64"/>
        </w:rPr>
      </w:r>
      <w:r>
        <w:rPr/>
        <w:t>收益率对未来现金流量折现确定的现值之间的差额，确认为减值损失。</w:t>
      </w:r>
    </w:p>
    <w:p>
      <w:pPr>
        <w:pStyle w:val="BodyText"/>
        <w:spacing w:line="316" w:lineRule="auto" w:before="139"/>
        <w:ind w:right="1042" w:firstLine="420"/>
        <w:jc w:val="both"/>
      </w:pPr>
      <w:r>
        <w:rPr>
          <w:spacing w:val="-2"/>
        </w:rPr>
        <w:t>可供出售金融资产的公允价值发生较大幅度下降，或在综合考虑各种相关因素后，预期这种下降趋势属于非暂时性的，</w:t>
      </w:r>
      <w:r>
        <w:rPr/>
        <w:t> 确认其减值损失，并将原直接计入其他综合收益的公允价值累计损失一并转出计入减值损失。</w:t>
      </w:r>
    </w:p>
    <w:p>
      <w:pPr>
        <w:spacing w:line="240" w:lineRule="auto" w:before="7"/>
        <w:rPr>
          <w:rFonts w:ascii="宋体" w:hAnsi="宋体" w:cs="宋体" w:eastAsia="宋体" w:hint="default"/>
          <w:sz w:val="22"/>
          <w:szCs w:val="22"/>
        </w:rPr>
      </w:pPr>
    </w:p>
    <w:p>
      <w:pPr>
        <w:pStyle w:val="Heading3"/>
        <w:spacing w:line="240" w:lineRule="auto"/>
        <w:ind w:right="889"/>
        <w:jc w:val="left"/>
        <w:rPr>
          <w:b w:val="0"/>
          <w:bCs w:val="0"/>
        </w:rPr>
      </w:pPr>
      <w:bookmarkStart w:name="11、应收款项" w:id="172"/>
      <w:bookmarkEnd w:id="172"/>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单项金额重大并单独计提坏账准备的应收款项" w:id="173"/>
      <w:bookmarkEnd w:id="1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54"/>
        <w:gridCol w:w="5315"/>
      </w:tblGrid>
      <w:tr>
        <w:trPr>
          <w:trHeight w:val="714"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应收账款金额在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的款项；其他应收款金额在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的款项。</w:t>
            </w:r>
          </w:p>
        </w:tc>
      </w:tr>
      <w:tr>
        <w:trPr>
          <w:trHeight w:val="714"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 额计提坏账准备。</w:t>
            </w:r>
          </w:p>
        </w:tc>
      </w:tr>
    </w:tbl>
    <w:p>
      <w:pPr>
        <w:spacing w:line="240" w:lineRule="auto" w:before="2"/>
        <w:rPr>
          <w:rFonts w:ascii="宋体" w:hAnsi="宋体" w:cs="宋体" w:eastAsia="宋体" w:hint="default"/>
          <w:b/>
          <w:bCs/>
          <w:sz w:val="19"/>
          <w:szCs w:val="19"/>
        </w:rPr>
      </w:pPr>
    </w:p>
    <w:p>
      <w:pPr>
        <w:spacing w:before="35"/>
        <w:ind w:left="154" w:right="889" w:firstLine="0"/>
        <w:jc w:val="left"/>
        <w:rPr>
          <w:rFonts w:ascii="宋体" w:hAnsi="宋体" w:cs="宋体" w:eastAsia="宋体" w:hint="default"/>
          <w:sz w:val="21"/>
          <w:szCs w:val="21"/>
        </w:rPr>
      </w:pPr>
      <w:bookmarkStart w:name="（2）按信用风险特征组合计提坏账准备的应收款项" w:id="174"/>
      <w:bookmarkEnd w:id="1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889"/>
        <w:jc w:val="left"/>
      </w:pPr>
      <w:r>
        <w:rPr/>
        <w:t>组合中，采用账龄分析法计提坏账准备的：</w:t>
      </w:r>
    </w:p>
    <w:p>
      <w:pPr>
        <w:pStyle w:val="BodyText"/>
        <w:spacing w:line="240" w:lineRule="auto" w:before="117"/>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889"/>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89"/>
        <w:jc w:val="left"/>
        <w:rPr>
          <w:b w:val="0"/>
          <w:bCs w:val="0"/>
        </w:rPr>
      </w:pPr>
      <w:bookmarkStart w:name="（3）单项金额不重大但单独计提坏账准备的应收款项" w:id="175"/>
      <w:bookmarkEnd w:id="17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889"/>
        <w:jc w:val="left"/>
      </w:pPr>
      <w:r>
        <w:rPr/>
        <w:t>公司需遵守《深圳证券交易所行业信息披露指引第</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上市公司从事装修装饰业务》的披露要求</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254"/>
        <w:gridCol w:w="5315"/>
      </w:tblGrid>
      <w:tr>
        <w:trPr>
          <w:trHeight w:val="714"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应收款项的未来现金流量现值与以账龄为信用风险特征的应收款项 组合的未来现金流量现值存在显著差异</w:t>
            </w:r>
          </w:p>
        </w:tc>
      </w:tr>
      <w:tr>
        <w:trPr>
          <w:trHeight w:val="714"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 额计提坏账准备</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both"/>
        <w:rPr>
          <w:b w:val="0"/>
          <w:bCs w:val="0"/>
        </w:rPr>
      </w:pPr>
      <w:bookmarkStart w:name="12、存货" w:id="176"/>
      <w:bookmarkEnd w:id="176"/>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7692"/>
        <w:jc w:val="left"/>
      </w:pPr>
      <w:r>
        <w:rPr/>
        <w:t>公司是否需要遵守特殊行业的披露要求 是</w:t>
      </w:r>
    </w:p>
    <w:p>
      <w:pPr>
        <w:pStyle w:val="BodyText"/>
        <w:spacing w:line="240" w:lineRule="auto" w:before="26"/>
        <w:ind w:left="154" w:right="0"/>
        <w:jc w:val="both"/>
      </w:pPr>
      <w:r>
        <w:rPr/>
        <w:t>装修装饰业</w:t>
      </w:r>
    </w:p>
    <w:p>
      <w:pPr>
        <w:pStyle w:val="BodyText"/>
        <w:spacing w:line="439" w:lineRule="auto" w:before="115"/>
        <w:ind w:left="573" w:right="4933"/>
        <w:jc w:val="left"/>
      </w:pPr>
      <w:r>
        <w:rPr>
          <w:rFonts w:ascii="宋体" w:hAnsi="宋体" w:cs="宋体" w:eastAsia="宋体" w:hint="default"/>
        </w:rPr>
        <w:t>1. </w:t>
      </w:r>
      <w:r>
        <w:rPr/>
        <w:t>存货的分类 存货包括工程施工、周转材料等。各类存货的购入按实际成本入账。 </w:t>
      </w:r>
      <w:r>
        <w:rPr>
          <w:rFonts w:ascii="宋体" w:hAnsi="宋体" w:cs="宋体" w:eastAsia="宋体" w:hint="default"/>
        </w:rPr>
        <w:t>2. </w:t>
      </w:r>
      <w:r>
        <w:rPr/>
        <w:t>发出存货的计价方法</w:t>
      </w:r>
    </w:p>
    <w:p>
      <w:pPr>
        <w:pStyle w:val="BodyText"/>
        <w:spacing w:line="240" w:lineRule="auto" w:before="47"/>
        <w:ind w:left="574" w:right="889"/>
        <w:jc w:val="left"/>
      </w:pPr>
      <w:r>
        <w:rPr/>
        <w:t>各类存货的发出采用实际成本计价。</w:t>
      </w:r>
    </w:p>
    <w:p>
      <w:pPr>
        <w:pStyle w:val="BodyText"/>
        <w:spacing w:line="430" w:lineRule="atLeast" w:before="2"/>
        <w:ind w:left="574" w:right="1152"/>
        <w:jc w:val="left"/>
      </w:pPr>
      <w:r>
        <w:rPr>
          <w:rFonts w:ascii="宋体" w:hAnsi="宋体" w:cs="宋体" w:eastAsia="宋体" w:hint="default"/>
        </w:rPr>
        <w:t>3. </w:t>
      </w:r>
      <w:r>
        <w:rPr/>
        <w:t>存货可变现净值的确定依据及存货跌价准备的计提方法 资产负债表日，存货采用成本与可变现净值孰低计量，按照单个存货成本高于可变现净值的差额计提存货跌价准备。</w:t>
      </w:r>
    </w:p>
    <w:p>
      <w:pPr>
        <w:pStyle w:val="BodyText"/>
        <w:spacing w:line="316" w:lineRule="auto" w:before="76"/>
        <w:ind w:left="154" w:right="1131"/>
        <w:jc w:val="both"/>
      </w:pPr>
      <w:r>
        <w:rPr>
          <w:spacing w:val="-2"/>
        </w:rPr>
        <w:t>直接用于出售的存货，在正常生产经营过程中以该存货的估计售价减去估计的销售费用和相关税费后的金额确定其可变现净</w:t>
      </w:r>
      <w:r>
        <w:rPr>
          <w:spacing w:val="-64"/>
        </w:rPr>
        <w:t> </w:t>
      </w:r>
      <w:r>
        <w:rPr>
          <w:spacing w:val="-64"/>
        </w:rPr>
      </w: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5"/>
        </w:rPr>
        <w:t> </w:t>
      </w:r>
      <w:r>
        <w:rPr>
          <w:spacing w:val="-65"/>
        </w:rPr>
      </w:r>
      <w:r>
        <w:rPr/>
        <w:t>同价格的，分别确定其可变现净值，并与其对应的成本进行比较，分别确定存货跌价准备的计提或转回的金额。</w:t>
      </w:r>
    </w:p>
    <w:p>
      <w:pPr>
        <w:pStyle w:val="BodyText"/>
        <w:spacing w:line="439" w:lineRule="auto" w:before="139"/>
        <w:ind w:left="574" w:right="7812"/>
        <w:jc w:val="left"/>
      </w:pPr>
      <w:r>
        <w:rPr>
          <w:rFonts w:ascii="宋体" w:hAnsi="宋体" w:cs="宋体" w:eastAsia="宋体" w:hint="default"/>
        </w:rPr>
        <w:t>4. </w:t>
      </w:r>
      <w:r>
        <w:rPr/>
        <w:t>存货的盘存制度 存货的盘存制度为永续盘存制。</w:t>
      </w:r>
    </w:p>
    <w:p>
      <w:pPr>
        <w:pStyle w:val="BodyText"/>
        <w:spacing w:line="439" w:lineRule="auto" w:before="47"/>
        <w:ind w:left="573" w:right="7543"/>
        <w:jc w:val="left"/>
      </w:pPr>
      <w:r>
        <w:rPr>
          <w:rFonts w:ascii="宋体" w:hAnsi="宋体" w:cs="宋体" w:eastAsia="宋体" w:hint="default"/>
        </w:rPr>
        <w:t>5. </w:t>
      </w:r>
      <w:r>
        <w:rPr/>
        <w:t>低值易耗品和包装物的摊销方法 按照一次转销法进行摊销。 </w:t>
      </w:r>
      <w:r>
        <w:rPr>
          <w:rFonts w:ascii="宋体" w:hAnsi="宋体" w:cs="宋体" w:eastAsia="宋体" w:hint="default"/>
        </w:rPr>
        <w:t>6.</w:t>
      </w:r>
      <w:r>
        <w:rPr/>
        <w:t>工程施工的具体核算方法</w:t>
      </w:r>
    </w:p>
    <w:p>
      <w:pPr>
        <w:pStyle w:val="BodyText"/>
        <w:spacing w:line="316" w:lineRule="auto" w:before="47"/>
        <w:ind w:right="1130"/>
        <w:jc w:val="both"/>
      </w:pPr>
      <w:r>
        <w:rPr>
          <w:spacing w:val="-2"/>
        </w:rPr>
        <w:t>工程施工的具体核算方法为：以单个工程项目为核算对象，分别核算工程施工成本。项目完工前，按单个工程项目归集所发</w:t>
      </w:r>
      <w:r>
        <w:rPr>
          <w:spacing w:val="-66"/>
        </w:rPr>
        <w:t> </w:t>
      </w:r>
      <w:r>
        <w:rPr>
          <w:spacing w:val="-66"/>
        </w:rPr>
      </w:r>
      <w:r>
        <w:rPr>
          <w:spacing w:val="-2"/>
        </w:rPr>
        <w:t>生的实际施工成本</w:t>
      </w:r>
      <w:r>
        <w:rPr>
          <w:rFonts w:ascii="宋体" w:hAnsi="宋体" w:cs="宋体" w:eastAsia="宋体" w:hint="default"/>
          <w:spacing w:val="-2"/>
        </w:rPr>
        <w:t>(</w:t>
      </w:r>
      <w:r>
        <w:rPr>
          <w:spacing w:val="-2"/>
        </w:rPr>
        <w:t>包括材料、人工、其他费用等</w:t>
      </w:r>
      <w:r>
        <w:rPr>
          <w:rFonts w:ascii="宋体" w:hAnsi="宋体" w:cs="宋体" w:eastAsia="宋体" w:hint="default"/>
          <w:spacing w:val="-2"/>
        </w:rPr>
        <w:t>)</w:t>
      </w:r>
      <w:r>
        <w:rPr>
          <w:spacing w:val="-2"/>
        </w:rPr>
        <w:t>。期末，未完工工程项目的工程施工成本及累计确认的工程施工毛利与对</w:t>
      </w:r>
      <w:r>
        <w:rPr>
          <w:spacing w:val="-64"/>
        </w:rPr>
        <w:t> </w:t>
      </w:r>
      <w:r>
        <w:rPr>
          <w:spacing w:val="-64"/>
        </w:rPr>
      </w:r>
      <w:r>
        <w:rPr/>
        <w:t>应的工程结算对抵，借方余额列示于存货科目，贷方余额列示于预收账款科目。</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89"/>
        <w:jc w:val="left"/>
        <w:rPr>
          <w:b w:val="0"/>
          <w:bCs w:val="0"/>
        </w:rPr>
      </w:pPr>
      <w:bookmarkStart w:name="13、长期股权投资" w:id="177"/>
      <w:bookmarkEnd w:id="177"/>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889"/>
        <w:jc w:val="left"/>
      </w:pPr>
      <w:r>
        <w:rPr>
          <w:rFonts w:ascii="宋体" w:hAnsi="宋体" w:cs="宋体" w:eastAsia="宋体" w:hint="default"/>
        </w:rPr>
        <w:t>1. </w:t>
      </w:r>
      <w:r>
        <w:rPr/>
        <w:t>投资成本的确定</w:t>
      </w:r>
    </w:p>
    <w:p>
      <w:pPr>
        <w:spacing w:line="240" w:lineRule="auto" w:before="0"/>
        <w:rPr>
          <w:rFonts w:ascii="宋体" w:hAnsi="宋体" w:cs="宋体" w:eastAsia="宋体" w:hint="default"/>
          <w:sz w:val="15"/>
          <w:szCs w:val="15"/>
        </w:rPr>
      </w:pPr>
    </w:p>
    <w:p>
      <w:pPr>
        <w:pStyle w:val="BodyText"/>
        <w:spacing w:line="319" w:lineRule="auto"/>
        <w:ind w:right="1130" w:firstLine="420"/>
        <w:jc w:val="both"/>
      </w:pPr>
      <w:r>
        <w:rPr/>
        <w:t>（</w:t>
      </w:r>
      <w:r>
        <w:rPr>
          <w:rFonts w:ascii="宋体" w:hAnsi="宋体" w:cs="宋体" w:eastAsia="宋体" w:hint="default"/>
        </w:rPr>
        <w:t>1</w:t>
      </w:r>
      <w:r>
        <w:rPr/>
        <w:t>）</w:t>
      </w:r>
      <w:r>
        <w:rPr>
          <w:spacing w:val="29"/>
        </w:rPr>
        <w:t> </w:t>
      </w:r>
      <w:r>
        <w:rPr/>
        <w:t>同一控制下的企业合并形成的，合并方以支付现金、转让非现金资产、承担债务或发行权益性证券作为合并对</w:t>
      </w:r>
      <w:r>
        <w:rPr/>
        <w:t> </w:t>
      </w:r>
      <w:r>
        <w:rPr>
          <w:spacing w:val="-2"/>
        </w:rPr>
        <w:t>价的，在合并日按照被合并方所有者权益在最终控制方合并财务报表中的账面价值的份额作为其初始投资成本。长期股权投</w:t>
      </w:r>
      <w:r>
        <w:rPr>
          <w:spacing w:val="-64"/>
        </w:rPr>
        <w:t> </w:t>
      </w:r>
      <w:r>
        <w:rPr>
          <w:spacing w:val="-64"/>
        </w:rPr>
      </w:r>
      <w:r>
        <w:rPr>
          <w:spacing w:val="-2"/>
        </w:rPr>
        <w:t>资初始投资成本与支付的合并对价的账面价值或发行股份的面值总额之间的差额调整资本公积</w:t>
      </w:r>
      <w:r>
        <w:rPr>
          <w:rFonts w:ascii="宋体" w:hAnsi="宋体" w:cs="宋体" w:eastAsia="宋体" w:hint="default"/>
          <w:spacing w:val="-2"/>
        </w:rPr>
        <w:t>(</w:t>
      </w:r>
      <w:r>
        <w:rPr>
          <w:spacing w:val="-2"/>
        </w:rPr>
        <w:t>资本溢价或股本溢价</w:t>
      </w:r>
      <w:r>
        <w:rPr>
          <w:rFonts w:ascii="宋体" w:hAnsi="宋体" w:cs="宋体" w:eastAsia="宋体" w:hint="default"/>
          <w:spacing w:val="-2"/>
        </w:rPr>
        <w:t>)</w:t>
      </w:r>
      <w:r>
        <w:rPr>
          <w:spacing w:val="-2"/>
        </w:rPr>
        <w:t>；资本</w:t>
      </w:r>
      <w:r>
        <w:rPr>
          <w:spacing w:val="-61"/>
        </w:rPr>
        <w:t> </w:t>
      </w:r>
      <w:r>
        <w:rPr>
          <w:spacing w:val="-61"/>
        </w:rPr>
      </w:r>
      <w:r>
        <w:rPr/>
        <w:t>公积不足冲减的，调整留存收益。</w:t>
      </w:r>
    </w:p>
    <w:p>
      <w:pPr>
        <w:pStyle w:val="BodyText"/>
        <w:spacing w:line="316" w:lineRule="auto" w:before="137"/>
        <w:ind w:left="154" w:right="1032" w:firstLine="420"/>
        <w:jc w:val="left"/>
      </w:pPr>
      <w:r>
        <w:rPr/>
        <w:t>分步实现同一控制下企业合并的，应当以持股比例计算的合并日应享有被合并方账面所有者权益份额作为该项投资的 初始投资成本。初始投资成本与其原长期股权投资账面价值加上合并日取得进一步股份新支付对价的账面价值之和的差额， 调整资本公积（资本溢价或股本溢价），资本公积不足冲减的，冲减留存收益。</w:t>
      </w:r>
    </w:p>
    <w:p>
      <w:pPr>
        <w:pStyle w:val="BodyText"/>
        <w:spacing w:line="240" w:lineRule="auto" w:before="139"/>
        <w:ind w:left="573" w:right="889"/>
        <w:jc w:val="left"/>
      </w:pPr>
      <w:r>
        <w:rPr/>
        <w:t>（</w:t>
      </w:r>
      <w:r>
        <w:rPr>
          <w:rFonts w:ascii="宋体" w:hAnsi="宋体" w:cs="宋体" w:eastAsia="宋体" w:hint="default"/>
        </w:rPr>
        <w:t>2</w:t>
      </w:r>
      <w:r>
        <w:rPr/>
        <w:t>） 非同一控制下的企业合并形成的，在购买日按照支付的合并对价的公允价值作为其初始投资成本。</w:t>
      </w:r>
    </w:p>
    <w:p>
      <w:pPr>
        <w:spacing w:line="240" w:lineRule="auto" w:before="0"/>
        <w:rPr>
          <w:rFonts w:ascii="宋体" w:hAnsi="宋体" w:cs="宋体" w:eastAsia="宋体" w:hint="default"/>
          <w:sz w:val="15"/>
          <w:szCs w:val="15"/>
        </w:rPr>
      </w:pPr>
    </w:p>
    <w:p>
      <w:pPr>
        <w:pStyle w:val="BodyText"/>
        <w:spacing w:line="316" w:lineRule="auto"/>
        <w:ind w:left="154" w:right="1132" w:firstLine="420"/>
        <w:jc w:val="both"/>
      </w:pPr>
      <w:r>
        <w:rPr/>
        <w:t>（</w:t>
      </w:r>
      <w:r>
        <w:rPr>
          <w:rFonts w:ascii="宋体" w:hAnsi="宋体" w:cs="宋体" w:eastAsia="宋体" w:hint="default"/>
        </w:rPr>
        <w:t>3</w:t>
      </w:r>
      <w:r>
        <w:rPr/>
        <w:t>）</w:t>
      </w:r>
      <w:r>
        <w:rPr>
          <w:spacing w:val="30"/>
        </w:rPr>
        <w:t> </w:t>
      </w:r>
      <w:r>
        <w:rPr/>
        <w:t>除企业合并形成以外的：以支付现金取得的，按照实际支付的购买价款作为其初始投资成本；以发行权益性证</w:t>
      </w:r>
      <w:r>
        <w:rPr/>
        <w:t> </w:t>
      </w:r>
      <w:r>
        <w:rPr>
          <w:spacing w:val="-2"/>
        </w:rPr>
        <w:t>券取得的，按照发行权益性证券的公允价值作为其初始投资成本；投资者投入的，按照投资合同或协议约定的价值作为其初</w:t>
      </w:r>
      <w:r>
        <w:rPr>
          <w:spacing w:val="-66"/>
        </w:rPr>
        <w:t> </w:t>
      </w:r>
      <w:r>
        <w:rPr>
          <w:spacing w:val="-66"/>
        </w:rPr>
      </w:r>
      <w:r>
        <w:rPr/>
        <w:t>始投资成本（合同或协议约定价值不公允的除外）。</w:t>
      </w:r>
    </w:p>
    <w:p>
      <w:pPr>
        <w:spacing w:line="240" w:lineRule="auto" w:before="0"/>
        <w:rPr>
          <w:rFonts w:ascii="宋体" w:hAnsi="宋体" w:cs="宋体" w:eastAsia="宋体" w:hint="default"/>
          <w:sz w:val="18"/>
          <w:szCs w:val="18"/>
        </w:rPr>
      </w:pPr>
    </w:p>
    <w:p>
      <w:pPr>
        <w:pStyle w:val="BodyText"/>
        <w:spacing w:line="430" w:lineRule="atLeast" w:before="141"/>
        <w:ind w:left="574" w:right="1114"/>
        <w:jc w:val="left"/>
      </w:pPr>
      <w:r>
        <w:rPr>
          <w:rFonts w:ascii="宋体" w:hAnsi="宋体" w:cs="宋体" w:eastAsia="宋体" w:hint="default"/>
        </w:rPr>
        <w:t>2. </w:t>
      </w:r>
      <w:r>
        <w:rPr/>
        <w:t>后续计量及损益确认方法 </w:t>
      </w:r>
      <w:r>
        <w:rPr>
          <w:spacing w:val="-1"/>
        </w:rPr>
        <w:t>本公司能够对被投资单位实施控制的长期股权投资</w:t>
      </w:r>
      <w:r>
        <w:rPr>
          <w:rFonts w:ascii="宋体" w:hAnsi="宋体" w:cs="宋体" w:eastAsia="宋体" w:hint="default"/>
          <w:spacing w:val="-1"/>
        </w:rPr>
        <w:t>,</w:t>
      </w:r>
      <w:r>
        <w:rPr>
          <w:spacing w:val="-1"/>
        </w:rPr>
        <w:t>在本公司个别财务报表中采用成本法核算；对具有共同控制或重大</w:t>
      </w:r>
    </w:p>
    <w:p>
      <w:pPr>
        <w:pStyle w:val="BodyText"/>
        <w:spacing w:line="240" w:lineRule="auto" w:before="76"/>
        <w:ind w:left="154" w:right="889"/>
        <w:jc w:val="left"/>
      </w:pPr>
      <w:r>
        <w:rPr/>
        <w:t>影响的长期股权投资，采用权益法核算。</w:t>
      </w:r>
    </w:p>
    <w:p>
      <w:pPr>
        <w:spacing w:line="240" w:lineRule="auto" w:before="0"/>
        <w:rPr>
          <w:rFonts w:ascii="宋体" w:hAnsi="宋体" w:cs="宋体" w:eastAsia="宋体" w:hint="default"/>
          <w:sz w:val="15"/>
          <w:szCs w:val="15"/>
        </w:rPr>
      </w:pPr>
    </w:p>
    <w:p>
      <w:pPr>
        <w:pStyle w:val="BodyText"/>
        <w:spacing w:line="319" w:lineRule="auto"/>
        <w:ind w:left="154" w:right="1130" w:firstLine="420"/>
        <w:jc w:val="both"/>
      </w:pPr>
      <w:r>
        <w:rPr/>
        <w:t>采用成本法时</w:t>
      </w:r>
      <w:r>
        <w:rPr>
          <w:rFonts w:ascii="宋体" w:hAnsi="宋体" w:cs="宋体" w:eastAsia="宋体" w:hint="default"/>
        </w:rPr>
        <w:t>,</w:t>
      </w:r>
      <w:r>
        <w:rPr/>
        <w:t>长期股权投资按初始投资成本计价</w:t>
      </w:r>
      <w:r>
        <w:rPr>
          <w:rFonts w:ascii="宋体" w:hAnsi="宋体" w:cs="宋体" w:eastAsia="宋体" w:hint="default"/>
        </w:rPr>
        <w:t>,</w:t>
      </w:r>
      <w:r>
        <w:rPr/>
        <w:t>除取得投资时实际支付的价款或对价中包含的已宣告但尚未发放的 现金股利或利润外</w:t>
      </w:r>
      <w:r>
        <w:rPr>
          <w:rFonts w:ascii="宋体" w:hAnsi="宋体" w:cs="宋体" w:eastAsia="宋体" w:hint="default"/>
        </w:rPr>
        <w:t>,</w:t>
      </w:r>
      <w:r>
        <w:rPr/>
        <w:t>按享有被投资单位宣告分派的现金股利或利润</w:t>
      </w:r>
      <w:r>
        <w:rPr>
          <w:rFonts w:ascii="宋体" w:hAnsi="宋体" w:cs="宋体" w:eastAsia="宋体" w:hint="default"/>
        </w:rPr>
        <w:t>,</w:t>
      </w:r>
      <w:r>
        <w:rPr/>
        <w:t>确认为当期投资收益</w:t>
      </w:r>
      <w:r>
        <w:rPr>
          <w:rFonts w:ascii="宋体" w:hAnsi="宋体" w:cs="宋体" w:eastAsia="宋体" w:hint="default"/>
        </w:rPr>
        <w:t>,</w:t>
      </w:r>
      <w:r>
        <w:rPr/>
        <w:t>并同时根据有关资产减值政策考虑</w:t>
      </w:r>
      <w:r>
        <w:rPr>
          <w:spacing w:val="-83"/>
        </w:rPr>
        <w:t> </w:t>
      </w:r>
      <w:r>
        <w:rPr>
          <w:spacing w:val="-83"/>
        </w:rPr>
      </w:r>
      <w:r>
        <w:rPr/>
        <w:t>长期投资是否减值。</w:t>
      </w:r>
    </w:p>
    <w:p>
      <w:pPr>
        <w:pStyle w:val="BodyText"/>
        <w:spacing w:line="316" w:lineRule="auto" w:before="137"/>
        <w:ind w:right="1129" w:firstLine="420"/>
        <w:jc w:val="both"/>
      </w:pPr>
      <w:r>
        <w:rPr/>
        <w:t>采用权益法时</w:t>
      </w:r>
      <w:r>
        <w:rPr>
          <w:rFonts w:ascii="宋体" w:hAnsi="宋体" w:cs="宋体" w:eastAsia="宋体" w:hint="default"/>
        </w:rPr>
        <w:t>,</w:t>
      </w:r>
      <w:r>
        <w:rPr/>
        <w:t>长期股权投资的初始投资成本大于投资时应享有被投资单位可辨认净资产公允价值份额的</w:t>
      </w:r>
      <w:r>
        <w:rPr>
          <w:rFonts w:ascii="宋体" w:hAnsi="宋体" w:cs="宋体" w:eastAsia="宋体" w:hint="default"/>
        </w:rPr>
        <w:t>,</w:t>
      </w:r>
      <w:r>
        <w:rPr/>
        <w:t>归入长期股 权投资的初始投资成本；长期股权投资的初始投资成本小于投资时应享有被投资单位可辨认净资产公允价值份额的</w:t>
      </w:r>
      <w:r>
        <w:rPr>
          <w:rFonts w:ascii="宋体" w:hAnsi="宋体" w:cs="宋体" w:eastAsia="宋体" w:hint="default"/>
        </w:rPr>
        <w:t>,</w:t>
      </w:r>
      <w:r>
        <w:rPr/>
        <w:t>其差额</w:t>
      </w:r>
      <w:r>
        <w:rPr>
          <w:spacing w:val="-83"/>
        </w:rPr>
        <w:t> </w:t>
      </w:r>
      <w:r>
        <w:rPr>
          <w:spacing w:val="-83"/>
        </w:rPr>
      </w:r>
      <w:r>
        <w:rPr/>
        <w:t>计入当期损益</w:t>
      </w:r>
      <w:r>
        <w:rPr>
          <w:rFonts w:ascii="宋体" w:hAnsi="宋体" w:cs="宋体" w:eastAsia="宋体" w:hint="default"/>
        </w:rPr>
        <w:t>,</w:t>
      </w:r>
      <w:r>
        <w:rPr/>
        <w:t>同时调整长期股权投资的成本。</w:t>
      </w:r>
    </w:p>
    <w:p>
      <w:pPr>
        <w:pStyle w:val="BodyText"/>
        <w:spacing w:line="316" w:lineRule="auto" w:before="139"/>
        <w:ind w:right="1130" w:firstLine="420"/>
        <w:jc w:val="both"/>
      </w:pPr>
      <w:r>
        <w:rPr>
          <w:spacing w:val="2"/>
        </w:rPr>
        <w:t>采用权益法时</w:t>
      </w:r>
      <w:r>
        <w:rPr>
          <w:rFonts w:ascii="宋体" w:hAnsi="宋体" w:cs="宋体" w:eastAsia="宋体" w:hint="default"/>
          <w:spacing w:val="2"/>
        </w:rPr>
        <w:t>,</w:t>
      </w:r>
      <w:r>
        <w:rPr>
          <w:spacing w:val="2"/>
        </w:rPr>
        <w:t>取得长期股权投资后</w:t>
      </w:r>
      <w:r>
        <w:rPr>
          <w:rFonts w:ascii="宋体" w:hAnsi="宋体" w:cs="宋体" w:eastAsia="宋体" w:hint="default"/>
          <w:spacing w:val="2"/>
        </w:rPr>
        <w:t>,</w:t>
      </w:r>
      <w:r>
        <w:rPr>
          <w:spacing w:val="2"/>
        </w:rPr>
        <w:t>按照应享有或应分担的被投资单位实现的净损益的份额</w:t>
      </w:r>
      <w:r>
        <w:rPr>
          <w:rFonts w:ascii="宋体" w:hAnsi="宋体" w:cs="宋体" w:eastAsia="宋体" w:hint="default"/>
          <w:spacing w:val="2"/>
        </w:rPr>
        <w:t>,</w:t>
      </w:r>
      <w:r>
        <w:rPr>
          <w:spacing w:val="2"/>
        </w:rPr>
        <w:t>确认投资损益并调整长</w:t>
      </w:r>
      <w:r>
        <w:rPr/>
        <w:t> 期股权投资的账面价值。在确认应享有被投资单位净损益的份额时</w:t>
      </w:r>
      <w:r>
        <w:rPr>
          <w:rFonts w:ascii="宋体" w:hAnsi="宋体" w:cs="宋体" w:eastAsia="宋体" w:hint="default"/>
        </w:rPr>
        <w:t>,</w:t>
      </w:r>
      <w:r>
        <w:rPr/>
        <w:t>以取得投资时被投资单位各项可辨认资产等的公允价值</w:t>
      </w:r>
      <w:r>
        <w:rPr>
          <w:spacing w:val="-82"/>
        </w:rPr>
        <w:t> </w:t>
      </w:r>
      <w:r>
        <w:rPr>
          <w:spacing w:val="-82"/>
        </w:rPr>
      </w:r>
      <w:r>
        <w:rPr/>
        <w:t>为基础</w:t>
      </w:r>
      <w:r>
        <w:rPr>
          <w:rFonts w:ascii="宋体" w:hAnsi="宋体" w:cs="宋体" w:eastAsia="宋体" w:hint="default"/>
        </w:rPr>
        <w:t>,</w:t>
      </w:r>
      <w:r>
        <w:rPr/>
        <w:t>按照本公司的会计政策及会计期间</w:t>
      </w:r>
      <w:r>
        <w:rPr>
          <w:rFonts w:ascii="宋体" w:hAnsi="宋体" w:cs="宋体" w:eastAsia="宋体" w:hint="default"/>
        </w:rPr>
        <w:t>,</w:t>
      </w:r>
      <w:r>
        <w:rPr/>
        <w:t>并抵销与联营企业及合营企业之间发生的内部交易损益按照持股比例计算归属</w:t>
      </w:r>
      <w:r>
        <w:rPr>
          <w:spacing w:val="-6"/>
        </w:rPr>
        <w:t> </w:t>
      </w:r>
      <w:r>
        <w:rPr>
          <w:spacing w:val="-6"/>
        </w:rPr>
      </w:r>
      <w:r>
        <w:rPr>
          <w:spacing w:val="-2"/>
        </w:rPr>
        <w:t>于投资企业的部分</w:t>
      </w:r>
      <w:r>
        <w:rPr>
          <w:rFonts w:ascii="宋体" w:hAnsi="宋体" w:cs="宋体" w:eastAsia="宋体" w:hint="default"/>
          <w:spacing w:val="-2"/>
        </w:rPr>
        <w:t>(</w:t>
      </w:r>
      <w:r>
        <w:rPr>
          <w:spacing w:val="-2"/>
        </w:rPr>
        <w:t>但内部交易损失属于资产减值损失的</w:t>
      </w:r>
      <w:r>
        <w:rPr>
          <w:rFonts w:ascii="宋体" w:hAnsi="宋体" w:cs="宋体" w:eastAsia="宋体" w:hint="default"/>
          <w:spacing w:val="-2"/>
        </w:rPr>
        <w:t>,</w:t>
      </w:r>
      <w:r>
        <w:rPr>
          <w:spacing w:val="-2"/>
        </w:rPr>
        <w:t>应全额确认</w:t>
      </w:r>
      <w:r>
        <w:rPr>
          <w:rFonts w:ascii="宋体" w:hAnsi="宋体" w:cs="宋体" w:eastAsia="宋体" w:hint="default"/>
          <w:spacing w:val="-2"/>
        </w:rPr>
        <w:t>),</w:t>
      </w:r>
      <w:r>
        <w:rPr>
          <w:spacing w:val="-2"/>
        </w:rPr>
        <w:t>对被投资单位的净利润进行调整后确认。按照被投资</w:t>
      </w:r>
      <w:r>
        <w:rPr>
          <w:spacing w:val="-60"/>
        </w:rPr>
        <w:t> </w:t>
      </w:r>
      <w:r>
        <w:rPr>
          <w:spacing w:val="-60"/>
        </w:rPr>
      </w:r>
      <w:r>
        <w:rPr/>
        <w:t>单位宣告分派的利润或现金股利计算应分得的部分</w:t>
      </w:r>
      <w:r>
        <w:rPr>
          <w:rFonts w:ascii="宋体" w:hAnsi="宋体" w:cs="宋体" w:eastAsia="宋体" w:hint="default"/>
        </w:rPr>
        <w:t>,</w:t>
      </w:r>
      <w:r>
        <w:rPr/>
        <w:t>相应减少长期股权投资的账面价值。本公司确认被投资单位发生的净亏</w:t>
      </w:r>
      <w:r>
        <w:rPr>
          <w:spacing w:val="-82"/>
        </w:rPr>
        <w:t> </w:t>
      </w:r>
      <w:r>
        <w:rPr>
          <w:spacing w:val="-82"/>
        </w:rPr>
      </w:r>
      <w:r>
        <w:rPr/>
        <w:t>损</w:t>
      </w:r>
      <w:r>
        <w:rPr>
          <w:rFonts w:ascii="宋体" w:hAnsi="宋体" w:cs="宋体" w:eastAsia="宋体" w:hint="default"/>
        </w:rPr>
        <w:t>,</w:t>
      </w:r>
      <w:r>
        <w:rPr/>
        <w:t>以长期股权投资的账面价值以及其他实质上构成对被投资单位净投资的长期权益减记至零为限</w:t>
      </w:r>
      <w:r>
        <w:rPr>
          <w:rFonts w:ascii="宋体" w:hAnsi="宋体" w:cs="宋体" w:eastAsia="宋体" w:hint="default"/>
        </w:rPr>
        <w:t>,</w:t>
      </w:r>
      <w:r>
        <w:rPr/>
        <w:t>本公司负有承担额外损</w:t>
      </w:r>
      <w:r>
        <w:rPr>
          <w:spacing w:val="-1"/>
        </w:rPr>
        <w:t> </w:t>
      </w:r>
      <w:r>
        <w:rPr>
          <w:spacing w:val="-1"/>
        </w:rPr>
      </w:r>
      <w:r>
        <w:rPr/>
        <w:t>失义务的除外。对于被投资单位除净损益以外所有者权益的其他变动</w:t>
      </w:r>
      <w:r>
        <w:rPr>
          <w:rFonts w:ascii="宋体" w:hAnsi="宋体" w:cs="宋体" w:eastAsia="宋体" w:hint="default"/>
        </w:rPr>
        <w:t>,</w:t>
      </w:r>
      <w:r>
        <w:rPr/>
        <w:t>调整长期股权投资的账面价值并计入所有者权益。</w:t>
      </w:r>
    </w:p>
    <w:p>
      <w:pPr>
        <w:pStyle w:val="BodyText"/>
        <w:spacing w:line="432" w:lineRule="exact" w:before="3"/>
        <w:ind w:left="574" w:right="889"/>
        <w:jc w:val="left"/>
      </w:pPr>
      <w:r>
        <w:rPr>
          <w:rFonts w:ascii="宋体" w:hAnsi="宋体" w:cs="宋体" w:eastAsia="宋体" w:hint="default"/>
        </w:rPr>
        <w:t>3. </w:t>
      </w:r>
      <w:r>
        <w:rPr/>
        <w:t>确定对被投资单位具有控制、重大影响的依据 控制，是指拥有对被投资方的权力，通过参与被投资方的相关活动而享有可变回报，并且有能力运用对被投资方的权</w:t>
      </w:r>
    </w:p>
    <w:p>
      <w:pPr>
        <w:pStyle w:val="BodyText"/>
        <w:spacing w:line="316" w:lineRule="auto" w:before="15"/>
        <w:ind w:left="154" w:right="889"/>
        <w:jc w:val="left"/>
      </w:pPr>
      <w:r>
        <w:rPr>
          <w:spacing w:val="-2"/>
        </w:rPr>
        <w:t>力影响回报金额；重大影响，是指投资方对被投资单位的财务和经营政策有参与决策的权力，但并不能够控制或者与其他方</w:t>
      </w:r>
      <w:r>
        <w:rPr>
          <w:spacing w:val="-66"/>
        </w:rPr>
        <w:t> </w:t>
      </w:r>
      <w:r>
        <w:rPr>
          <w:spacing w:val="-66"/>
        </w:rPr>
      </w:r>
      <w:r>
        <w:rPr/>
        <w:t>一起共同控制这些政策的制定。</w:t>
      </w:r>
    </w:p>
    <w:p>
      <w:pPr>
        <w:pStyle w:val="BodyText"/>
        <w:spacing w:line="240" w:lineRule="auto" w:before="139"/>
        <w:ind w:left="574" w:right="889"/>
        <w:jc w:val="left"/>
      </w:pPr>
      <w:r>
        <w:rPr>
          <w:rFonts w:ascii="宋体" w:hAnsi="宋体" w:cs="宋体" w:eastAsia="宋体" w:hint="default"/>
        </w:rPr>
        <w:t>4. </w:t>
      </w:r>
      <w:r>
        <w:rPr/>
        <w:t>长期股权投资的处置</w:t>
      </w:r>
    </w:p>
    <w:p>
      <w:pPr>
        <w:pStyle w:val="BodyText"/>
        <w:spacing w:line="430" w:lineRule="atLeast" w:before="2"/>
        <w:ind w:left="573" w:right="889"/>
        <w:jc w:val="left"/>
      </w:pPr>
      <w:r>
        <w:rPr/>
        <w:t>（</w:t>
      </w:r>
      <w:r>
        <w:rPr>
          <w:rFonts w:ascii="宋体" w:hAnsi="宋体" w:cs="宋体" w:eastAsia="宋体" w:hint="default"/>
        </w:rPr>
        <w:t>1</w:t>
      </w:r>
      <w:r>
        <w:rPr/>
        <w:t>）部分处置对子公司的长期股权投资，但不丧失控制权的情形 部分处置对子公司的长期股权投资，但不丧失控制权时，应当将处置价款与处置投资对应的账面价值的差额确认为当</w:t>
      </w:r>
    </w:p>
    <w:p>
      <w:pPr>
        <w:pStyle w:val="BodyText"/>
        <w:spacing w:line="240" w:lineRule="auto" w:before="76"/>
        <w:ind w:right="889"/>
        <w:jc w:val="left"/>
      </w:pPr>
      <w:r>
        <w:rPr/>
        <w:t>期投资收益。</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73" w:right="889"/>
        <w:jc w:val="left"/>
      </w:pPr>
      <w:r>
        <w:rPr/>
        <w:t>（</w:t>
      </w:r>
      <w:r>
        <w:rPr>
          <w:rFonts w:ascii="宋体" w:hAnsi="宋体" w:cs="宋体" w:eastAsia="宋体" w:hint="default"/>
        </w:rPr>
        <w:t>2</w:t>
      </w:r>
      <w:r>
        <w:rPr/>
        <w:t>）部分处置股权投资或其他原因丧失了对子公司控制权的情形</w:t>
      </w:r>
    </w:p>
    <w:p>
      <w:pPr>
        <w:spacing w:line="240" w:lineRule="auto" w:before="0"/>
        <w:rPr>
          <w:rFonts w:ascii="宋体" w:hAnsi="宋体" w:cs="宋体" w:eastAsia="宋体" w:hint="default"/>
          <w:sz w:val="15"/>
          <w:szCs w:val="15"/>
        </w:rPr>
      </w:pPr>
    </w:p>
    <w:p>
      <w:pPr>
        <w:pStyle w:val="BodyText"/>
        <w:spacing w:line="319" w:lineRule="auto"/>
        <w:ind w:right="1132" w:firstLine="420"/>
        <w:jc w:val="both"/>
      </w:pPr>
      <w:r>
        <w:rPr/>
        <w:t>部分处置股权投资或其他原因丧失了对子公司控制权的，对于处置的股权，应结转与所售股权相对应的长期股权投资 </w:t>
      </w:r>
      <w:r>
        <w:rPr>
          <w:spacing w:val="-2"/>
        </w:rPr>
        <w:t>的账面价值，出售所得价款与处置长期股权投资账面价值之间差额，确认为投资收益（损失）；同时，对于剩余股权，应当</w:t>
      </w:r>
      <w:r>
        <w:rPr>
          <w:spacing w:val="-72"/>
        </w:rPr>
        <w:t> </w:t>
      </w:r>
      <w:r>
        <w:rPr>
          <w:spacing w:val="-72"/>
        </w:rPr>
      </w:r>
      <w:r>
        <w:rPr>
          <w:spacing w:val="-2"/>
        </w:rPr>
        <w:t>按其账面价值确认为长期股权投资或其它相关金融资产。处置后的剩余股权能够对子公司实施共同控制或重大影响的，应按</w:t>
      </w:r>
      <w:r>
        <w:rPr>
          <w:spacing w:val="-64"/>
        </w:rPr>
        <w:t> </w:t>
      </w:r>
      <w:r>
        <w:rPr>
          <w:spacing w:val="-64"/>
        </w:rPr>
      </w:r>
      <w:r>
        <w:rPr/>
        <w:t>有关成本法转为权益法的相关规定进行会计处理。</w:t>
      </w:r>
    </w:p>
    <w:p>
      <w:pPr>
        <w:pStyle w:val="BodyText"/>
        <w:spacing w:line="432" w:lineRule="exact" w:before="1"/>
        <w:ind w:left="573" w:right="889"/>
        <w:jc w:val="left"/>
      </w:pPr>
      <w:r>
        <w:rPr>
          <w:rFonts w:ascii="宋体" w:hAnsi="宋体" w:cs="宋体" w:eastAsia="宋体" w:hint="default"/>
        </w:rPr>
        <w:t>5. </w:t>
      </w:r>
      <w:r>
        <w:rPr/>
        <w:t>减值测试方法及减值准备计提方法 对子公司、联营企业及合营企业的投资，在资产负债表日有客观证据表明其发生减值的，按照账面价值与可收回金额</w:t>
      </w:r>
    </w:p>
    <w:p>
      <w:pPr>
        <w:pStyle w:val="BodyText"/>
        <w:spacing w:line="240" w:lineRule="auto" w:before="15"/>
        <w:ind w:right="889"/>
        <w:jc w:val="left"/>
      </w:pPr>
      <w:r>
        <w:rPr/>
        <w:t>的差额计提相应的减值准备。</w:t>
      </w:r>
    </w:p>
    <w:p>
      <w:pPr>
        <w:spacing w:line="240" w:lineRule="auto" w:before="12"/>
        <w:rPr>
          <w:rFonts w:ascii="宋体" w:hAnsi="宋体" w:cs="宋体" w:eastAsia="宋体" w:hint="default"/>
          <w:sz w:val="26"/>
          <w:szCs w:val="26"/>
        </w:rPr>
      </w:pPr>
    </w:p>
    <w:p>
      <w:pPr>
        <w:pStyle w:val="Heading3"/>
        <w:spacing w:line="240" w:lineRule="auto"/>
        <w:ind w:right="889"/>
        <w:jc w:val="left"/>
        <w:rPr>
          <w:b w:val="0"/>
          <w:bCs w:val="0"/>
        </w:rPr>
      </w:pPr>
      <w:bookmarkStart w:name="14、固定资产" w:id="178"/>
      <w:bookmarkEnd w:id="178"/>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确认条件" w:id="179"/>
      <w:bookmarkEnd w:id="1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360"/>
        <w:jc w:val="both"/>
      </w:pPr>
      <w:r>
        <w:rPr>
          <w:spacing w:val="-2"/>
        </w:rPr>
        <w:t>固定资产是指为生产商品、提供劳务、出租或经营管理而持有的，使用年限超过一个会计年度的有形资产。固定资产以</w:t>
      </w:r>
      <w:r>
        <w:rPr/>
        <w:t> 取得时的实际成本入账，并从其达到预定可使用状态的次月起采用年限平均法计提折旧。</w:t>
      </w:r>
    </w:p>
    <w:p>
      <w:pPr>
        <w:spacing w:line="240" w:lineRule="auto" w:before="3"/>
        <w:rPr>
          <w:rFonts w:ascii="宋体" w:hAnsi="宋体" w:cs="宋体" w:eastAsia="宋体" w:hint="default"/>
          <w:sz w:val="22"/>
          <w:szCs w:val="22"/>
        </w:rPr>
      </w:pPr>
    </w:p>
    <w:p>
      <w:pPr>
        <w:pStyle w:val="Heading3"/>
        <w:spacing w:line="240" w:lineRule="auto"/>
        <w:ind w:right="889"/>
        <w:jc w:val="left"/>
        <w:rPr>
          <w:b w:val="0"/>
          <w:bCs w:val="0"/>
        </w:rPr>
      </w:pPr>
      <w:bookmarkStart w:name="（2）折旧方法" w:id="180"/>
      <w:bookmarkEnd w:id="18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房屋及建筑物装修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before="35"/>
        <w:ind w:left="154" w:right="889" w:firstLine="0"/>
        <w:jc w:val="left"/>
        <w:rPr>
          <w:rFonts w:ascii="宋体" w:hAnsi="宋体" w:cs="宋体" w:eastAsia="宋体" w:hint="default"/>
          <w:sz w:val="21"/>
          <w:szCs w:val="21"/>
        </w:rPr>
      </w:pPr>
      <w:bookmarkStart w:name="（3） 固定资产的处置" w:id="181"/>
      <w:bookmarkEnd w:id="1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固定资产的处置</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ind w:right="889" w:firstLine="336"/>
        <w:jc w:val="left"/>
      </w:pPr>
      <w:r>
        <w:rPr>
          <w:spacing w:val="-2"/>
        </w:rPr>
        <w:t>当固定资产被处置、或者预期通过使用或处置不能产生经济利益时，终止确认该固定资产。固定资产出售、转让、报废</w:t>
      </w:r>
      <w:r>
        <w:rPr/>
        <w:t> 或毁损的处置收入扣除其账面价值和相关税费后的金额计入当期损益。</w:t>
      </w:r>
    </w:p>
    <w:p>
      <w:pPr>
        <w:pStyle w:val="Heading3"/>
        <w:spacing w:line="240" w:lineRule="auto" w:before="65"/>
        <w:ind w:right="889"/>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pStyle w:val="BodyText"/>
        <w:spacing w:line="240" w:lineRule="auto" w:before="118"/>
        <w:ind w:left="573" w:right="889"/>
        <w:jc w:val="left"/>
      </w:pPr>
      <w:r>
        <w:rPr/>
        <w:t>资产负债表日，有迹象表明固定资产发生减值的，按照账面价值与可收回金额的差额计提相应的减值准备。</w:t>
      </w:r>
    </w:p>
    <w:p>
      <w:pPr>
        <w:spacing w:line="240" w:lineRule="auto" w:before="12"/>
        <w:rPr>
          <w:rFonts w:ascii="宋体" w:hAnsi="宋体" w:cs="宋体" w:eastAsia="宋体" w:hint="default"/>
          <w:sz w:val="26"/>
          <w:szCs w:val="26"/>
        </w:rPr>
      </w:pPr>
    </w:p>
    <w:p>
      <w:pPr>
        <w:pStyle w:val="Heading3"/>
        <w:spacing w:line="240" w:lineRule="auto"/>
        <w:ind w:right="889"/>
        <w:jc w:val="left"/>
        <w:rPr>
          <w:b w:val="0"/>
          <w:bCs w:val="0"/>
        </w:rPr>
      </w:pPr>
      <w:bookmarkStart w:name="15、在建工程" w:id="182"/>
      <w:bookmarkEnd w:id="182"/>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是</w:t>
      </w:r>
    </w:p>
    <w:p>
      <w:pPr>
        <w:pStyle w:val="BodyText"/>
        <w:spacing w:line="240" w:lineRule="auto" w:before="28"/>
        <w:ind w:left="154" w:right="889"/>
        <w:jc w:val="left"/>
      </w:pPr>
      <w:r>
        <w:rPr/>
        <w:t>装修装饰业</w:t>
      </w:r>
    </w:p>
    <w:p>
      <w:pPr>
        <w:pStyle w:val="BodyText"/>
        <w:spacing w:line="316" w:lineRule="auto" w:before="116"/>
        <w:ind w:left="154" w:right="1114" w:firstLine="420"/>
        <w:jc w:val="left"/>
      </w:pPr>
      <w:r>
        <w:rPr>
          <w:rFonts w:ascii="宋体" w:hAnsi="宋体" w:cs="宋体" w:eastAsia="宋体" w:hint="default"/>
          <w:spacing w:val="-1"/>
        </w:rPr>
        <w:t>1</w:t>
      </w:r>
      <w:r>
        <w:rPr>
          <w:spacing w:val="-1"/>
        </w:rPr>
        <w:t>、在建工程同时满足经济利益很可能流入、成本能够可靠计量则予以确认。在建工程按建造该项资产达到预定可使用</w:t>
      </w:r>
      <w:r>
        <w:rPr/>
        <w:t> 状态前所发生的实际成本计量。</w:t>
      </w:r>
    </w:p>
    <w:p>
      <w:pPr>
        <w:pStyle w:val="BodyText"/>
        <w:spacing w:line="240" w:lineRule="auto" w:before="139"/>
        <w:ind w:left="574" w:right="889"/>
        <w:jc w:val="left"/>
      </w:pPr>
      <w:r>
        <w:rPr>
          <w:rFonts w:ascii="宋体" w:hAnsi="宋体" w:cs="宋体" w:eastAsia="宋体" w:hint="default"/>
        </w:rPr>
        <w:t>2. </w:t>
      </w:r>
      <w:r>
        <w:rPr/>
        <w:t>在建工程达到预定可使用状态时，按工程实际成本转入固定资产。已达到预定可使用状态但尚未办理竣工决算的，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先按估计价值转入固定资产，待办理竣工决算后再按实际成本调整原暂估价值，但不再调整原已计提的折旧。</w:t>
      </w:r>
    </w:p>
    <w:p>
      <w:pPr>
        <w:spacing w:line="240" w:lineRule="auto" w:before="0"/>
        <w:rPr>
          <w:rFonts w:ascii="宋体" w:hAnsi="宋体" w:cs="宋体" w:eastAsia="宋体" w:hint="default"/>
          <w:sz w:val="15"/>
          <w:szCs w:val="15"/>
        </w:rPr>
      </w:pPr>
    </w:p>
    <w:p>
      <w:pPr>
        <w:pStyle w:val="BodyText"/>
        <w:spacing w:line="240" w:lineRule="auto"/>
        <w:ind w:left="573" w:right="889"/>
        <w:jc w:val="left"/>
      </w:pPr>
      <w:r>
        <w:rPr>
          <w:rFonts w:ascii="宋体" w:hAnsi="宋体" w:cs="宋体" w:eastAsia="宋体" w:hint="default"/>
        </w:rPr>
        <w:t>3. </w:t>
      </w:r>
      <w:r>
        <w:rPr/>
        <w:t>资产负债表日，有迹象表明在建工程发生减值的，按照账面价值与可收回金额的差额计提相应的减值准备。</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16、借款费用" w:id="183"/>
      <w:bookmarkEnd w:id="183"/>
      <w:r>
        <w:rPr>
          <w:b w:val="0"/>
          <w:bCs w:val="0"/>
        </w:rPr>
      </w:r>
      <w:r>
        <w:rPr>
          <w:rFonts w:ascii="Times New Roman" w:hAnsi="Times New Roman" w:cs="Times New Roman" w:eastAsia="Times New Roman" w:hint="default"/>
        </w:rPr>
        <w:t>16</w:t>
      </w:r>
      <w:r>
        <w:rPr/>
        <w:t>、借款费用</w:t>
      </w:r>
      <w:r>
        <w:rPr>
          <w:b w:val="0"/>
          <w:bCs w:val="0"/>
        </w:rPr>
      </w:r>
    </w:p>
    <w:p>
      <w:pPr>
        <w:pStyle w:val="BodyText"/>
        <w:spacing w:line="430" w:lineRule="atLeast" w:before="152"/>
        <w:ind w:left="574" w:right="889"/>
        <w:jc w:val="left"/>
      </w:pPr>
      <w:r>
        <w:rPr>
          <w:rFonts w:ascii="宋体" w:hAnsi="宋体" w:cs="宋体" w:eastAsia="宋体" w:hint="default"/>
        </w:rPr>
        <w:t>1. </w:t>
      </w:r>
      <w:r>
        <w:rPr/>
        <w:t>借款费用资本化的确认原则 公司发生的借款费用，可直接归属于符合资本化条件的资产的购建或者生产的，予以资本化，计入相关资产成本；其</w:t>
      </w:r>
    </w:p>
    <w:p>
      <w:pPr>
        <w:pStyle w:val="BodyText"/>
        <w:spacing w:line="439" w:lineRule="auto" w:before="76"/>
        <w:ind w:left="574" w:right="6612" w:hanging="420"/>
        <w:jc w:val="left"/>
      </w:pPr>
      <w:r>
        <w:rPr/>
        <w:t>他借款费用，在发生时确认为费用，计入当期损益。 </w:t>
      </w:r>
      <w:r>
        <w:rPr>
          <w:rFonts w:ascii="宋体" w:hAnsi="宋体" w:cs="宋体" w:eastAsia="宋体" w:hint="default"/>
        </w:rPr>
        <w:t>2</w:t>
      </w:r>
      <w:r>
        <w:rPr/>
        <w:t>．借款费用资本化期间</w:t>
      </w:r>
    </w:p>
    <w:p>
      <w:pPr>
        <w:pStyle w:val="BodyText"/>
        <w:spacing w:line="316" w:lineRule="auto" w:before="47"/>
        <w:ind w:right="889" w:firstLine="420"/>
        <w:jc w:val="left"/>
      </w:pPr>
      <w:r>
        <w:rPr/>
        <w:t>（</w:t>
      </w:r>
      <w:r>
        <w:rPr>
          <w:rFonts w:ascii="宋体" w:hAnsi="宋体" w:cs="宋体" w:eastAsia="宋体" w:hint="default"/>
        </w:rPr>
        <w:t>1</w:t>
      </w:r>
      <w:r>
        <w:rPr/>
        <w:t>）当借款费用同时满足下列条件时，开始资本化：</w:t>
      </w:r>
      <w:r>
        <w:rPr>
          <w:rFonts w:ascii="宋体" w:hAnsi="宋体" w:cs="宋体" w:eastAsia="宋体" w:hint="default"/>
        </w:rPr>
        <w:t>1</w:t>
      </w:r>
      <w:r>
        <w:rPr/>
        <w:t>）资产支出已经发生；</w:t>
      </w:r>
      <w:r>
        <w:rPr>
          <w:rFonts w:ascii="宋体" w:hAnsi="宋体" w:cs="宋体" w:eastAsia="宋体" w:hint="default"/>
        </w:rPr>
        <w:t>2</w:t>
      </w:r>
      <w:r>
        <w:rPr/>
        <w:t>）借款费用已经发生；</w:t>
      </w:r>
      <w:r>
        <w:rPr>
          <w:rFonts w:ascii="宋体" w:hAnsi="宋体" w:cs="宋体" w:eastAsia="宋体" w:hint="default"/>
        </w:rPr>
        <w:t>3</w:t>
      </w:r>
      <w:r>
        <w:rPr/>
        <w:t>）为使资产达 到预定可使用或可销售状态所必要的购建或者生产活动已经开始。</w:t>
      </w:r>
    </w:p>
    <w:p>
      <w:pPr>
        <w:pStyle w:val="BodyText"/>
        <w:spacing w:line="316" w:lineRule="auto" w:before="139"/>
        <w:ind w:right="889" w:firstLine="420"/>
        <w:jc w:val="left"/>
      </w:pPr>
      <w:r>
        <w:rPr/>
        <w:t>（</w:t>
      </w:r>
      <w:r>
        <w:rPr>
          <w:rFonts w:ascii="宋体" w:hAnsi="宋体" w:cs="宋体" w:eastAsia="宋体" w:hint="default"/>
        </w:rPr>
        <w:t>2</w:t>
      </w:r>
      <w:r>
        <w:rPr/>
        <w:t>）若符合资本化条件的资产在购建或者生产过程中发生非正常中断，并且中断时间连续超过</w:t>
      </w:r>
      <w:r>
        <w:rPr>
          <w:rFonts w:ascii="宋体" w:hAnsi="宋体" w:cs="宋体" w:eastAsia="宋体" w:hint="default"/>
        </w:rPr>
        <w:t>3</w:t>
      </w:r>
      <w:r>
        <w:rPr/>
        <w:t>个月，暂停借款费用 的资本化；中断期间发生的借款费用确认为当期费用，直至资产的购建或者生产活动重新开始。</w:t>
      </w:r>
    </w:p>
    <w:p>
      <w:pPr>
        <w:pStyle w:val="BodyText"/>
        <w:spacing w:line="432" w:lineRule="exact" w:before="3"/>
        <w:ind w:left="514" w:right="889" w:firstLine="60"/>
        <w:jc w:val="left"/>
      </w:pPr>
      <w:r>
        <w:rPr/>
        <w:t>（</w:t>
      </w:r>
      <w:r>
        <w:rPr>
          <w:rFonts w:ascii="宋体" w:hAnsi="宋体" w:cs="宋体" w:eastAsia="宋体" w:hint="default"/>
        </w:rPr>
        <w:t>3</w:t>
      </w:r>
      <w:r>
        <w:rPr/>
        <w:t>）当所购建或者生产符合资本化条件的资产达到预定可使用或可销售状态时，借款费用停止资本化。 </w:t>
      </w:r>
      <w:r>
        <w:rPr>
          <w:rFonts w:ascii="宋体" w:hAnsi="宋体" w:cs="宋体" w:eastAsia="宋体" w:hint="default"/>
        </w:rPr>
        <w:t>3</w:t>
      </w:r>
      <w:r>
        <w:rPr/>
        <w:t>．借款费用资本化金额 </w:t>
      </w:r>
      <w:r>
        <w:rPr>
          <w:spacing w:val="-2"/>
        </w:rPr>
        <w:t>为购建或者生产符合资本化条件的资产而借入专门借款的，以专门借款当期实际发生的利息费用（包括按照实际利率法</w:t>
      </w:r>
    </w:p>
    <w:p>
      <w:pPr>
        <w:pStyle w:val="BodyText"/>
        <w:spacing w:line="316" w:lineRule="auto" w:before="15"/>
        <w:ind w:left="154" w:right="1132"/>
        <w:jc w:val="both"/>
      </w:pPr>
      <w:r>
        <w:rPr>
          <w:spacing w:val="-2"/>
        </w:rPr>
        <w:t>确定的折价或溢价的摊销），减去将尚未动用的借款资金存入银行取得的利息收入或进行暂时性投资取得的投资收益后的金</w:t>
      </w:r>
      <w:r>
        <w:rPr>
          <w:spacing w:val="-64"/>
        </w:rPr>
        <w:t> </w:t>
      </w:r>
      <w:r>
        <w:rPr>
          <w:spacing w:val="-64"/>
        </w:rPr>
      </w:r>
      <w:r>
        <w:rPr>
          <w:spacing w:val="-2"/>
        </w:rPr>
        <w:t>额，确定应予资本化的利息金额；为购建或者生产符合资本化条件的资产占用了一般借款的，根据累计资产支出超过专门借</w:t>
      </w:r>
      <w:r>
        <w:rPr>
          <w:spacing w:val="-66"/>
        </w:rPr>
        <w:t> </w:t>
      </w:r>
      <w:r>
        <w:rPr>
          <w:spacing w:val="-66"/>
        </w:rPr>
      </w:r>
      <w:r>
        <w:rPr/>
        <w:t>款的资产支出加权平均数乘以占用一般借款的资本化率，计算确定一般借款应予资本化的利息金额。</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7、无形资产" w:id="184"/>
      <w:bookmarkEnd w:id="184"/>
      <w:r>
        <w:rPr>
          <w:b w:val="0"/>
          <w:bCs w:val="0"/>
        </w:rPr>
      </w:r>
      <w:r>
        <w:rPr>
          <w:rFonts w:ascii="Times New Roman" w:hAnsi="Times New Roman" w:cs="Times New Roman" w:eastAsia="Times New Roman" w:hint="default"/>
        </w:rPr>
        <w:t>17</w:t>
      </w:r>
      <w:r>
        <w:rPr/>
        <w:t>、无形资产</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计价方法、使用寿命、减值测试" w:id="185"/>
      <w:bookmarkEnd w:id="1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514" w:right="889"/>
        <w:jc w:val="left"/>
      </w:pPr>
      <w:r>
        <w:rPr>
          <w:rFonts w:ascii="宋体" w:hAnsi="宋体" w:cs="宋体" w:eastAsia="宋体" w:hint="default"/>
        </w:rPr>
        <w:t>1.</w:t>
      </w:r>
      <w:r>
        <w:rPr/>
        <w:t>无形资产包括土地使用权、软件及专利权，按成本进行初始计量。</w:t>
      </w:r>
    </w:p>
    <w:p>
      <w:pPr>
        <w:spacing w:line="240" w:lineRule="auto" w:before="0"/>
        <w:rPr>
          <w:rFonts w:ascii="宋体" w:hAnsi="宋体" w:cs="宋体" w:eastAsia="宋体" w:hint="default"/>
          <w:sz w:val="15"/>
          <w:szCs w:val="15"/>
        </w:rPr>
      </w:pPr>
    </w:p>
    <w:p>
      <w:pPr>
        <w:pStyle w:val="BodyText"/>
        <w:spacing w:line="316" w:lineRule="auto"/>
        <w:ind w:left="154" w:right="889" w:firstLine="360"/>
        <w:jc w:val="left"/>
      </w:pPr>
      <w:r>
        <w:rPr>
          <w:rFonts w:ascii="宋体" w:hAnsi="宋体" w:cs="宋体" w:eastAsia="宋体" w:hint="default"/>
          <w:spacing w:val="-2"/>
        </w:rPr>
        <w:t>2.</w:t>
      </w:r>
      <w:r>
        <w:rPr>
          <w:spacing w:val="-2"/>
        </w:rPr>
        <w:t>使用寿命有限的无形资产，在使用寿命内按照与该项无形资产有关的经济利益的预期实现方式系统合理地摊销，无法</w:t>
      </w:r>
      <w:r>
        <w:rPr/>
        <w:t> 可靠确定预期实现方式的，采用直线法摊销。</w:t>
      </w:r>
    </w:p>
    <w:p>
      <w:pPr>
        <w:spacing w:line="240" w:lineRule="auto" w:before="3"/>
        <w:rPr>
          <w:rFonts w:ascii="宋体" w:hAnsi="宋体" w:cs="宋体" w:eastAsia="宋体" w:hint="default"/>
          <w:sz w:val="11"/>
          <w:szCs w:val="11"/>
        </w:rPr>
      </w:pPr>
    </w:p>
    <w:p>
      <w:pPr>
        <w:spacing w:line="1905" w:lineRule="exact"/>
        <w:ind w:left="154" w:right="0" w:firstLine="0"/>
        <w:rPr>
          <w:rFonts w:ascii="宋体" w:hAnsi="宋体" w:cs="宋体" w:eastAsia="宋体" w:hint="default"/>
          <w:sz w:val="20"/>
          <w:szCs w:val="20"/>
        </w:rPr>
      </w:pPr>
      <w:r>
        <w:rPr>
          <w:rFonts w:ascii="宋体" w:hAnsi="宋体" w:cs="宋体" w:eastAsia="宋体" w:hint="default"/>
          <w:position w:val="-37"/>
          <w:sz w:val="20"/>
          <w:szCs w:val="20"/>
        </w:rPr>
        <w:drawing>
          <wp:inline distT="0" distB="0" distL="0" distR="0">
            <wp:extent cx="6144260" cy="1209675"/>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7" cstate="print"/>
                    <a:stretch>
                      <a:fillRect/>
                    </a:stretch>
                  </pic:blipFill>
                  <pic:spPr>
                    <a:xfrm>
                      <a:off x="0" y="0"/>
                      <a:ext cx="6144260" cy="1209675"/>
                    </a:xfrm>
                    <a:prstGeom prst="rect">
                      <a:avLst/>
                    </a:prstGeom>
                  </pic:spPr>
                </pic:pic>
              </a:graphicData>
            </a:graphic>
          </wp:inline>
        </w:drawing>
      </w:r>
      <w:r>
        <w:rPr>
          <w:rFonts w:ascii="宋体" w:hAnsi="宋体" w:cs="宋体" w:eastAsia="宋体" w:hint="default"/>
          <w:position w:val="-37"/>
          <w:sz w:val="20"/>
          <w:szCs w:val="20"/>
        </w:rPr>
      </w:r>
    </w:p>
    <w:p>
      <w:pPr>
        <w:pStyle w:val="BodyText"/>
        <w:spacing w:line="316" w:lineRule="auto" w:before="151"/>
        <w:ind w:right="1033" w:firstLine="420"/>
        <w:jc w:val="left"/>
      </w:pPr>
      <w:r>
        <w:rPr>
          <w:rFonts w:ascii="宋体" w:hAnsi="宋体" w:cs="宋体" w:eastAsia="宋体" w:hint="default"/>
        </w:rPr>
        <w:t>3</w:t>
      </w:r>
      <w:r>
        <w:rPr/>
        <w:t>．使用寿命确定的无形资产，在资产负债表日有迹象表明发生减值的，按照账面价值与可收回金额的差额计提相应的 减值准备；使用寿命不确定的无形资产和尚未达到可使用状态的无形资产，无论是否存在减值迹象，每年均进行减值测试。</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2）内部研究开发支出会计政策" w:id="186"/>
      <w:bookmarkEnd w:id="18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889" w:firstLine="360"/>
        <w:jc w:val="left"/>
      </w:pPr>
      <w:r>
        <w:rPr>
          <w:spacing w:val="-4"/>
        </w:rPr>
        <w:t>内部研究开发项目研究阶段的支出，于发生时计入当期损益。内部研究开发项目开发阶段的支出，同时满足下列条件的，</w:t>
      </w:r>
      <w:r>
        <w:rPr/>
        <w:t> </w:t>
      </w:r>
      <w:r>
        <w:rPr>
          <w:spacing w:val="-3"/>
        </w:rPr>
        <w:t>确认为无形资产：① </w:t>
      </w:r>
      <w:r>
        <w:rPr/>
        <w:t>完成该无形资产以使其能够使用或出售在技术上具有可行性；②</w:t>
      </w:r>
      <w:r>
        <w:rPr>
          <w:spacing w:val="-54"/>
        </w:rPr>
        <w:t> </w:t>
      </w:r>
      <w:r>
        <w:rPr/>
        <w:t>具有完成该无形资产并使用或出售的</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before="44"/>
        <w:ind w:right="1157"/>
        <w:jc w:val="both"/>
        <w:rPr>
          <w:sz w:val="21"/>
          <w:szCs w:val="21"/>
        </w:rPr>
      </w:pPr>
      <w:r>
        <w:rPr/>
        <w:t>意图；③</w:t>
      </w:r>
      <w:r>
        <w:rPr>
          <w:spacing w:val="-19"/>
        </w:rPr>
        <w:t> </w:t>
      </w:r>
      <w:r>
        <w:rPr/>
        <w:t>无形资产产生经济利益的方式，包括能够证明运用该无形资产生产的产品存在市场或无形资产自身存在市场，无</w:t>
      </w:r>
      <w:r>
        <w:rPr/>
        <w:t> 形资产将在内部使用的，能证明其有用性；④</w:t>
      </w:r>
      <w:r>
        <w:rPr>
          <w:spacing w:val="-19"/>
        </w:rPr>
        <w:t> </w:t>
      </w:r>
      <w:r>
        <w:rPr/>
        <w:t>有足够的技术、财务资源和其他资源支持，以完成该无形资产的开发，并有</w:t>
      </w:r>
      <w:r>
        <w:rPr/>
        <w:t> 能力使用或出售该无形资产；⑤</w:t>
      </w:r>
      <w:r>
        <w:rPr>
          <w:spacing w:val="-19"/>
        </w:rPr>
        <w:t> </w:t>
      </w:r>
      <w:r>
        <w:rPr/>
        <w:t>归属于该无形资产开发阶段的支出能够可靠地计量</w:t>
      </w:r>
      <w:r>
        <w:rPr>
          <w:sz w:val="21"/>
          <w:szCs w:val="21"/>
        </w:rPr>
        <w:t>。</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bookmarkStart w:name="18、长期待摊费用" w:id="187"/>
      <w:bookmarkEnd w:id="187"/>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889" w:firstLine="420"/>
        <w:jc w:val="left"/>
      </w:pPr>
      <w:r>
        <w:rPr/>
        <w:t>长期待摊费用按实际发生额入账，在受益期或规定的期限内分期平均摊销。如果长期待摊的费用项目不能使以后会计 期间受益则将尚未摊销的该项目的摊余价值全部转入当期损益。</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19、职工薪酬" w:id="188"/>
      <w:bookmarkEnd w:id="188"/>
      <w:r>
        <w:rPr>
          <w:b w:val="0"/>
          <w:bCs w:val="0"/>
        </w:rPr>
      </w:r>
      <w:r>
        <w:rPr>
          <w:rFonts w:ascii="Times New Roman" w:hAnsi="Times New Roman" w:cs="Times New Roman" w:eastAsia="Times New Roman" w:hint="default"/>
        </w:rPr>
        <w:t>19</w:t>
      </w:r>
      <w:r>
        <w:rPr/>
        <w:t>、职工薪酬</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短期薪酬的会计处理方法" w:id="189"/>
      <w:bookmarkEnd w:id="1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ind w:left="154" w:right="889" w:firstLine="420"/>
        <w:jc w:val="left"/>
      </w:pPr>
      <w:r>
        <w:rPr/>
        <w:t>本公司在职工提供服务的会计期间，将实际发生的短期薪酬确认为负债，并计入当期损益或相关资产成本。其中，非 货币性福利按照公允价值计量。</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2）辞退福利的会计处理方法" w:id="190"/>
      <w:bookmarkEnd w:id="190"/>
      <w:r>
        <w:rPr>
          <w:b w:val="0"/>
          <w:bCs w:val="0"/>
        </w:rPr>
      </w:r>
      <w:r>
        <w:rPr/>
        <w:t>（</w:t>
      </w:r>
      <w:r>
        <w:rPr>
          <w:rFonts w:ascii="Times New Roman" w:hAnsi="Times New Roman" w:cs="Times New Roman" w:eastAsia="Times New Roman" w:hint="default"/>
        </w:rPr>
        <w:t>2</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420"/>
        <w:jc w:val="both"/>
      </w:pPr>
      <w:r>
        <w:rPr/>
        <w:t>本公司在职工劳动合同到期之前解除与职工的劳动关系、或者为鼓励职工自愿接受裁减而提出给予补偿，在本公司不 </w:t>
      </w:r>
      <w:r>
        <w:rPr>
          <w:spacing w:val="-2"/>
        </w:rPr>
        <w:t>能单方面撤回解除劳动关系计划或裁减建议时和确认与涉及支付辞退福利的重组相关的成本费用时两者孰早日，确认因解除</w:t>
      </w:r>
      <w:r>
        <w:rPr>
          <w:spacing w:val="-64"/>
        </w:rPr>
        <w:t> </w:t>
      </w:r>
      <w:r>
        <w:rPr>
          <w:spacing w:val="-64"/>
        </w:rPr>
      </w:r>
      <w:r>
        <w:rPr/>
        <w:t>与职工的劳动关系给予补偿而产生的负债，同时计入当期损益。</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3）其他长期职工福利的会计处理方法" w:id="191"/>
      <w:bookmarkEnd w:id="191"/>
      <w:r>
        <w:rPr>
          <w:b w:val="0"/>
          <w:bCs w:val="0"/>
        </w:rPr>
      </w:r>
      <w:r>
        <w:rPr/>
        <w:t>（</w:t>
      </w:r>
      <w:r>
        <w:rPr>
          <w:rFonts w:ascii="Times New Roman" w:hAnsi="Times New Roman" w:cs="Times New Roman" w:eastAsia="Times New Roman" w:hint="default"/>
        </w:rPr>
        <w:t>3</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2" w:firstLine="420"/>
        <w:jc w:val="left"/>
      </w:pPr>
      <w:r>
        <w:rPr/>
        <w:t>本公司职工参加了由当地劳动和社会保障部门组织实施的社会基本养老保险。本公司以当地规定的社会基本养老保险 </w:t>
      </w:r>
      <w:r>
        <w:rPr>
          <w:spacing w:val="-2"/>
        </w:rPr>
        <w:t>缴纳基数和比例，按月向当地社会基本养老保险经办机构缴纳养老保险费。职工退休后，当地劳动及社会保障部门有责任向</w:t>
      </w:r>
      <w:r>
        <w:rPr>
          <w:spacing w:val="-66"/>
        </w:rPr>
        <w:t> </w:t>
      </w:r>
      <w:r>
        <w:rPr>
          <w:spacing w:val="-66"/>
        </w:rPr>
      </w:r>
      <w:r>
        <w:rPr/>
        <w:t>已退休员工支付社会基本养老金。本公司在职工提供服务的会计期间，将根据上述社保规定计算应缴纳的金额确认为负债， 并计入当期损益或相关资产成本。</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20、预计负债" w:id="192"/>
      <w:bookmarkEnd w:id="192"/>
      <w:r>
        <w:rPr>
          <w:b w:val="0"/>
          <w:bCs w:val="0"/>
        </w:rPr>
      </w:r>
      <w:r>
        <w:rPr>
          <w:rFonts w:ascii="Times New Roman" w:hAnsi="Times New Roman" w:cs="Times New Roman" w:eastAsia="Times New Roman" w:hint="default"/>
        </w:rPr>
        <w:t>20</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13" w:firstLine="420"/>
        <w:jc w:val="left"/>
      </w:pPr>
      <w:r>
        <w:rPr>
          <w:rFonts w:ascii="宋体" w:hAnsi="宋体" w:cs="宋体" w:eastAsia="宋体" w:hint="default"/>
        </w:rPr>
        <w:t>1.</w:t>
      </w:r>
      <w:r>
        <w:rPr>
          <w:rFonts w:ascii="宋体" w:hAnsi="宋体" w:cs="宋体" w:eastAsia="宋体" w:hint="default"/>
          <w:spacing w:val="-51"/>
        </w:rPr>
        <w:t> </w:t>
      </w:r>
      <w:r>
        <w:rPr/>
        <w:t>因对外提供担保、诉讼事项、产品质量保证、亏损合同等或有事项形成的义务成为本公司承担的现时义务，履行该 义务很可能导致经济利益流出公司，且该义务的金额能够可靠的计量时，本公司将该项义务确认为预计负债。</w:t>
      </w:r>
    </w:p>
    <w:p>
      <w:pPr>
        <w:pStyle w:val="BodyText"/>
        <w:spacing w:line="316" w:lineRule="auto" w:before="139"/>
        <w:ind w:right="1111" w:firstLine="420"/>
        <w:jc w:val="left"/>
      </w:pPr>
      <w:r>
        <w:rPr>
          <w:rFonts w:ascii="宋体" w:hAnsi="宋体" w:cs="宋体" w:eastAsia="宋体" w:hint="default"/>
        </w:rPr>
        <w:t>2.</w:t>
      </w:r>
      <w:r>
        <w:rPr>
          <w:rFonts w:ascii="宋体" w:hAnsi="宋体" w:cs="宋体" w:eastAsia="宋体" w:hint="default"/>
          <w:spacing w:val="-48"/>
        </w:rPr>
        <w:t> </w:t>
      </w:r>
      <w:r>
        <w:rPr/>
        <w:t>本公司按照履行相关现时义务所需支出的最佳估计数对预计负债进行初始计量，并在资产负债表日对预计负债的账 面价值进行复核。</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1、 股份支付" w:id="193"/>
      <w:bookmarkEnd w:id="193"/>
      <w:r>
        <w:rPr>
          <w:b w:val="0"/>
          <w:bCs w:val="0"/>
        </w:rPr>
      </w:r>
      <w:r>
        <w:rPr>
          <w:rFonts w:ascii="Times New Roman" w:hAnsi="Times New Roman" w:cs="Times New Roman" w:eastAsia="Times New Roman" w:hint="default"/>
          <w:spacing w:val="2"/>
        </w:rPr>
        <w:t>21</w:t>
      </w:r>
      <w:r>
        <w:rPr>
          <w:spacing w:val="2"/>
        </w:rPr>
        <w:t>、股份支付</w:t>
      </w:r>
      <w:r>
        <w:rPr>
          <w:b w:val="0"/>
          <w:bCs w:val="0"/>
        </w:rPr>
      </w:r>
    </w:p>
    <w:p>
      <w:pPr>
        <w:spacing w:line="240" w:lineRule="auto" w:before="8"/>
        <w:rPr>
          <w:rFonts w:ascii="宋体" w:hAnsi="宋体" w:cs="宋体" w:eastAsia="宋体" w:hint="default"/>
          <w:b/>
          <w:bCs/>
          <w:sz w:val="26"/>
          <w:szCs w:val="26"/>
        </w:rPr>
      </w:pPr>
    </w:p>
    <w:p>
      <w:pPr>
        <w:pStyle w:val="BodyText"/>
        <w:spacing w:line="439" w:lineRule="auto"/>
        <w:ind w:left="573" w:right="6013" w:hanging="420"/>
        <w:jc w:val="left"/>
      </w:pPr>
      <w:r>
        <w:rPr>
          <w:rFonts w:ascii="宋体" w:hAnsi="宋体" w:cs="宋体" w:eastAsia="宋体" w:hint="default"/>
        </w:rPr>
        <w:t>1</w:t>
      </w:r>
      <w:r>
        <w:rPr/>
        <w:t>、股份支付的种类 包括以权益结算的股份支付和以现金结算的股份支付。</w:t>
      </w:r>
    </w:p>
    <w:p>
      <w:pPr>
        <w:pStyle w:val="BodyText"/>
        <w:spacing w:line="240" w:lineRule="auto" w:before="47"/>
        <w:ind w:left="154" w:right="0"/>
        <w:jc w:val="both"/>
      </w:pPr>
      <w:r>
        <w:rPr>
          <w:rFonts w:ascii="宋体" w:hAnsi="宋体" w:cs="宋体" w:eastAsia="宋体" w:hint="default"/>
        </w:rPr>
        <w:t>2</w:t>
      </w:r>
      <w:r>
        <w:rPr/>
        <w:t>、 权益工具公允价值的确定方法</w:t>
      </w:r>
    </w:p>
    <w:p>
      <w:pPr>
        <w:spacing w:line="240" w:lineRule="auto" w:before="0"/>
        <w:rPr>
          <w:rFonts w:ascii="宋体" w:hAnsi="宋体" w:cs="宋体" w:eastAsia="宋体" w:hint="default"/>
          <w:sz w:val="15"/>
          <w:szCs w:val="15"/>
        </w:rPr>
      </w:pPr>
    </w:p>
    <w:p>
      <w:pPr>
        <w:pStyle w:val="BodyText"/>
        <w:spacing w:line="240" w:lineRule="auto"/>
        <w:ind w:left="574" w:right="889"/>
        <w:jc w:val="left"/>
      </w:pPr>
      <w:r>
        <w:rPr/>
        <w:t>（</w:t>
      </w:r>
      <w:r>
        <w:rPr>
          <w:rFonts w:ascii="宋体" w:hAnsi="宋体" w:cs="宋体" w:eastAsia="宋体" w:hint="default"/>
        </w:rPr>
        <w:t>1</w:t>
      </w:r>
      <w:r>
        <w:rPr/>
        <w:t>）存在活跃市场的，按照活跃市场中的报价确定。</w:t>
      </w:r>
    </w:p>
    <w:p>
      <w:pPr>
        <w:spacing w:line="240" w:lineRule="auto" w:before="0"/>
        <w:rPr>
          <w:rFonts w:ascii="宋体" w:hAnsi="宋体" w:cs="宋体" w:eastAsia="宋体" w:hint="default"/>
          <w:sz w:val="15"/>
          <w:szCs w:val="15"/>
        </w:rPr>
      </w:pPr>
    </w:p>
    <w:p>
      <w:pPr>
        <w:pStyle w:val="BodyText"/>
        <w:spacing w:line="240" w:lineRule="auto"/>
        <w:ind w:left="574" w:right="889"/>
        <w:jc w:val="left"/>
      </w:pPr>
      <w:r>
        <w:rPr>
          <w:spacing w:val="-3"/>
        </w:rPr>
        <w:t>（</w:t>
      </w:r>
      <w:r>
        <w:rPr>
          <w:rFonts w:ascii="宋体" w:hAnsi="宋体" w:cs="宋体" w:eastAsia="宋体" w:hint="default"/>
          <w:spacing w:val="-3"/>
        </w:rPr>
        <w:t>2</w:t>
      </w:r>
      <w:r>
        <w:rPr>
          <w:spacing w:val="-3"/>
        </w:rPr>
        <w:t>）不存在活跃市场的，采用估值技术确定，包括参考熟悉情况并自愿交易的各方最近进行的市场交易中使用的价格、</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439" w:lineRule="auto" w:before="44"/>
        <w:ind w:right="3913"/>
        <w:jc w:val="left"/>
      </w:pPr>
      <w:r>
        <w:rPr/>
        <w:t>参照实质上相同的其他金融工具的当前公允价值、现金流量折现法和期权定价模型等。 </w:t>
      </w:r>
      <w:r>
        <w:rPr>
          <w:rFonts w:ascii="宋体" w:hAnsi="宋体" w:cs="宋体" w:eastAsia="宋体" w:hint="default"/>
        </w:rPr>
        <w:t>3</w:t>
      </w:r>
      <w:r>
        <w:rPr/>
        <w:t>、 确认可行权权益工具最佳估计的依据</w:t>
      </w:r>
    </w:p>
    <w:p>
      <w:pPr>
        <w:pStyle w:val="BodyText"/>
        <w:spacing w:line="441" w:lineRule="auto" w:before="47"/>
        <w:ind w:left="154" w:right="5832" w:firstLine="420"/>
        <w:jc w:val="left"/>
      </w:pPr>
      <w:r>
        <w:rPr/>
        <w:t>根据最新取得的可行权职工数变动等后续信息进行估计。 </w:t>
      </w:r>
      <w:r>
        <w:rPr>
          <w:rFonts w:ascii="宋体" w:hAnsi="宋体" w:cs="宋体" w:eastAsia="宋体" w:hint="default"/>
        </w:rPr>
        <w:t>4</w:t>
      </w:r>
      <w:r>
        <w:rPr/>
        <w:t>、 实施、修改、终止股份支付计划的相关会计处理</w:t>
      </w:r>
    </w:p>
    <w:p>
      <w:pPr>
        <w:pStyle w:val="BodyText"/>
        <w:spacing w:line="240" w:lineRule="auto" w:before="45"/>
        <w:ind w:left="574" w:right="889"/>
        <w:jc w:val="left"/>
      </w:pPr>
      <w:r>
        <w:rPr/>
        <w:t>（</w:t>
      </w:r>
      <w:r>
        <w:rPr>
          <w:rFonts w:ascii="宋体" w:hAnsi="宋体" w:cs="宋体" w:eastAsia="宋体" w:hint="default"/>
        </w:rPr>
        <w:t>1</w:t>
      </w:r>
      <w:r>
        <w:rPr/>
        <w:t>）以权益结算的股份支付</w:t>
      </w:r>
    </w:p>
    <w:p>
      <w:pPr>
        <w:spacing w:line="240" w:lineRule="auto" w:before="0"/>
        <w:rPr>
          <w:rFonts w:ascii="宋体" w:hAnsi="宋体" w:cs="宋体" w:eastAsia="宋体" w:hint="default"/>
          <w:sz w:val="15"/>
          <w:szCs w:val="15"/>
        </w:rPr>
      </w:pPr>
    </w:p>
    <w:p>
      <w:pPr>
        <w:pStyle w:val="BodyText"/>
        <w:spacing w:line="316" w:lineRule="auto"/>
        <w:ind w:left="154" w:right="1024" w:firstLine="420"/>
        <w:jc w:val="left"/>
      </w:pPr>
      <w:r>
        <w:rPr>
          <w:spacing w:val="-1"/>
        </w:rPr>
        <w:t>授予后立即可行权的换取职工服务的以权益结算的股份支付，在授予日按照权益工具的公允价值计入相关成本或费用，</w:t>
      </w:r>
      <w:r>
        <w:rPr/>
        <w:t> </w:t>
      </w:r>
      <w:r>
        <w:rPr>
          <w:spacing w:val="-2"/>
        </w:rPr>
        <w:t>相应调整资本公积。完成等待期内的服务或达到规定业绩条件才可行权的换取职工服务的以权益结算的股份支付，在等待期</w:t>
      </w:r>
      <w:r>
        <w:rPr>
          <w:spacing w:val="-64"/>
        </w:rPr>
        <w:t> </w:t>
      </w:r>
      <w:r>
        <w:rPr>
          <w:spacing w:val="-64"/>
        </w:rPr>
      </w:r>
      <w:r>
        <w:rPr>
          <w:spacing w:val="-2"/>
        </w:rPr>
        <w:t>内的每个资产负债表日，以对可行权权益工具数量的最佳估计为基础，按权益工具授予日的公允价值，将当期取得的服务计</w:t>
      </w:r>
      <w:r>
        <w:rPr>
          <w:spacing w:val="-66"/>
        </w:rPr>
        <w:t> </w:t>
      </w:r>
      <w:r>
        <w:rPr>
          <w:spacing w:val="-66"/>
        </w:rPr>
      </w:r>
      <w:r>
        <w:rPr/>
        <w:t>入相关成本或费用，相应调整资本公积。</w:t>
      </w:r>
    </w:p>
    <w:p>
      <w:pPr>
        <w:pStyle w:val="BodyText"/>
        <w:spacing w:line="316" w:lineRule="auto" w:before="139"/>
        <w:ind w:left="154" w:right="1131" w:firstLine="420"/>
        <w:jc w:val="both"/>
      </w:pPr>
      <w:r>
        <w:rPr/>
        <w:t>换取其他方服务的权益结算的股份支付，如果其他方服务的公允价值能够可靠计量的，按照其他方服务在取得日的公 </w:t>
      </w:r>
      <w:r>
        <w:rPr>
          <w:spacing w:val="-2"/>
        </w:rPr>
        <w:t>允价值计量；如果其他方服务的公允价值不能可靠计量，但权益工具的公允价值能够可靠计量的，按照权益工具在服务取得</w:t>
      </w:r>
      <w:r>
        <w:rPr>
          <w:spacing w:val="-65"/>
        </w:rPr>
        <w:t> </w:t>
      </w:r>
      <w:r>
        <w:rPr>
          <w:spacing w:val="-65"/>
        </w:rPr>
      </w:r>
      <w:r>
        <w:rPr/>
        <w:t>日的公允价值计量，计入相关成本或费用，相应增加所有者权益。</w:t>
      </w:r>
    </w:p>
    <w:p>
      <w:pPr>
        <w:pStyle w:val="BodyText"/>
        <w:spacing w:line="432" w:lineRule="exact" w:before="3"/>
        <w:ind w:left="574" w:right="889"/>
        <w:jc w:val="left"/>
      </w:pPr>
      <w:r>
        <w:rPr/>
        <w:t>（</w:t>
      </w:r>
      <w:r>
        <w:rPr>
          <w:rFonts w:ascii="宋体" w:hAnsi="宋体" w:cs="宋体" w:eastAsia="宋体" w:hint="default"/>
        </w:rPr>
        <w:t>2</w:t>
      </w:r>
      <w:r>
        <w:rPr/>
        <w:t>）以现金结算的股份支付 授予后立即可行权的换取职工服务的以现金结算的股份支付，在授予日按本公司承担负债的公允价值计入相关成本或</w:t>
      </w:r>
    </w:p>
    <w:p>
      <w:pPr>
        <w:pStyle w:val="BodyText"/>
        <w:spacing w:line="316" w:lineRule="auto" w:before="15"/>
        <w:ind w:left="154" w:right="1133"/>
        <w:jc w:val="both"/>
      </w:pPr>
      <w:r>
        <w:rPr>
          <w:spacing w:val="-2"/>
        </w:rPr>
        <w:t>费用，相应增加负债。完成等待期内的服务或达到规定业绩条件才可行权的换取职工服务的以现金结算的股份支付，在等待</w:t>
      </w:r>
      <w:r>
        <w:rPr>
          <w:spacing w:val="-66"/>
        </w:rPr>
        <w:t> </w:t>
      </w:r>
      <w:r>
        <w:rPr>
          <w:spacing w:val="-66"/>
        </w:rPr>
      </w:r>
      <w:r>
        <w:rPr>
          <w:spacing w:val="-2"/>
        </w:rPr>
        <w:t>期内的每个资产负债表日，以对可行权情况的最佳估计为基础，按本公司承担负债的公允价值，将当期取得的服务计入相关</w:t>
      </w:r>
      <w:r>
        <w:rPr>
          <w:spacing w:val="-66"/>
        </w:rPr>
        <w:t> </w:t>
      </w:r>
      <w:r>
        <w:rPr>
          <w:spacing w:val="-66"/>
        </w:rPr>
      </w:r>
      <w:r>
        <w:rPr/>
        <w:t>成本或费用和相应的负债。</w:t>
      </w:r>
    </w:p>
    <w:p>
      <w:pPr>
        <w:pStyle w:val="BodyText"/>
        <w:spacing w:line="432" w:lineRule="exact" w:before="3"/>
        <w:ind w:left="574" w:right="889"/>
        <w:jc w:val="left"/>
      </w:pPr>
      <w:r>
        <w:rPr/>
        <w:t>（</w:t>
      </w:r>
      <w:r>
        <w:rPr>
          <w:rFonts w:ascii="宋体" w:hAnsi="宋体" w:cs="宋体" w:eastAsia="宋体" w:hint="default"/>
        </w:rPr>
        <w:t>3</w:t>
      </w:r>
      <w:r>
        <w:rPr/>
        <w:t>）修改、终止股份支付计划 如果修改增加了所授予的权益工具的公允价值，本公司按照权益工具公允价值的增加相应地确认取得服务的增加；如</w:t>
      </w:r>
    </w:p>
    <w:p>
      <w:pPr>
        <w:pStyle w:val="BodyText"/>
        <w:spacing w:line="316" w:lineRule="auto" w:before="15"/>
        <w:ind w:left="154" w:right="889"/>
        <w:jc w:val="left"/>
      </w:pPr>
      <w:r>
        <w:rPr>
          <w:spacing w:val="-2"/>
        </w:rPr>
        <w:t>果修改增加了所授予的权益工具的数量，本公司将增加的权益工具的公允价值相应地确认为取得服务的增加；如果本公司按</w:t>
      </w:r>
      <w:r>
        <w:rPr>
          <w:spacing w:val="-64"/>
        </w:rPr>
        <w:t> </w:t>
      </w:r>
      <w:r>
        <w:rPr>
          <w:spacing w:val="-64"/>
        </w:rPr>
      </w:r>
      <w:r>
        <w:rPr/>
        <w:t>照有利于职工的方式修改可行权条件，公司在处理可行权条件时，考虑修改后的可行权条件。</w:t>
      </w:r>
    </w:p>
    <w:p>
      <w:pPr>
        <w:pStyle w:val="BodyText"/>
        <w:spacing w:line="316" w:lineRule="auto" w:before="139"/>
        <w:ind w:right="1133" w:firstLine="420"/>
        <w:jc w:val="both"/>
      </w:pPr>
      <w:r>
        <w:rPr/>
        <w:t>如果修改减少了授予的权益工具的公允价值，本公司继续以权益工具在授予日的公允价值为基础，确认取得服务的金 </w:t>
      </w:r>
      <w:r>
        <w:rPr>
          <w:spacing w:val="-2"/>
        </w:rPr>
        <w:t>额，而不考虑权益工具公允价值的减少；如果修改减少了授予的权益工具的数量，本公司将减少部分作为已授予的权益工具</w:t>
      </w:r>
      <w:r>
        <w:rPr>
          <w:spacing w:val="-66"/>
        </w:rPr>
        <w:t> </w:t>
      </w:r>
      <w:r>
        <w:rPr>
          <w:spacing w:val="-66"/>
        </w:rPr>
      </w:r>
      <w:r>
        <w:rPr/>
        <w:t>的取消来进行处理；如果以不利于职工的方式修改了可行权条件，在处理可行权条件时，不考虑修改后的可行权条件。</w:t>
      </w:r>
    </w:p>
    <w:p>
      <w:pPr>
        <w:pStyle w:val="BodyText"/>
        <w:spacing w:line="316" w:lineRule="auto" w:before="139"/>
        <w:ind w:right="889"/>
        <w:jc w:val="left"/>
      </w:pPr>
      <w:r>
        <w:rPr>
          <w:spacing w:val="-2"/>
        </w:rPr>
        <w:t>如果本公司在等待期内取消了所授予的权益工具或结算了所授予的权益工具（因未满足可行权条件而被取消的除外），则将</w:t>
      </w:r>
      <w:r>
        <w:rPr>
          <w:spacing w:val="-66"/>
        </w:rPr>
        <w:t> </w:t>
      </w:r>
      <w:r>
        <w:rPr>
          <w:spacing w:val="-66"/>
        </w:rPr>
      </w:r>
      <w:r>
        <w:rPr/>
        <w:t>取消或结算作为加速可行权处理，立即确认原本在剩余等待期内确认的金额。</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2、收入" w:id="194"/>
      <w:bookmarkEnd w:id="194"/>
      <w:r>
        <w:rPr>
          <w:b w:val="0"/>
          <w:bCs w:val="0"/>
        </w:rPr>
      </w:r>
      <w:r>
        <w:rPr>
          <w:rFonts w:ascii="Times New Roman" w:hAnsi="Times New Roman" w:cs="Times New Roman" w:eastAsia="Times New Roman" w:hint="default"/>
        </w:rPr>
        <w:t>22</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是</w:t>
      </w:r>
    </w:p>
    <w:p>
      <w:pPr>
        <w:pStyle w:val="BodyText"/>
        <w:spacing w:line="240" w:lineRule="auto" w:before="29"/>
        <w:ind w:left="154" w:right="0"/>
        <w:jc w:val="both"/>
      </w:pPr>
      <w:r>
        <w:rPr/>
        <w:t>装修装饰业</w:t>
      </w:r>
    </w:p>
    <w:p>
      <w:pPr>
        <w:pStyle w:val="BodyText"/>
        <w:spacing w:line="240" w:lineRule="auto" w:before="116"/>
        <w:ind w:right="0"/>
        <w:jc w:val="both"/>
      </w:pPr>
      <w:r>
        <w:rPr/>
        <w:t>公司需遵守《深圳证券交易所行业信息披露指引第</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上市公司从事装修装饰业务》的披露要求</w:t>
      </w:r>
    </w:p>
    <w:p>
      <w:pPr>
        <w:pStyle w:val="BodyText"/>
        <w:spacing w:line="240" w:lineRule="auto" w:before="101"/>
        <w:ind w:left="573" w:right="889"/>
        <w:jc w:val="left"/>
      </w:pPr>
      <w:r>
        <w:rPr>
          <w:rFonts w:ascii="宋体" w:hAnsi="宋体" w:cs="宋体" w:eastAsia="宋体" w:hint="default"/>
        </w:rPr>
        <w:t>1. </w:t>
      </w:r>
      <w:r>
        <w:rPr/>
        <w:t>建造合同</w:t>
      </w:r>
    </w:p>
    <w:p>
      <w:pPr>
        <w:spacing w:line="240" w:lineRule="auto" w:before="0"/>
        <w:rPr>
          <w:rFonts w:ascii="宋体" w:hAnsi="宋体" w:cs="宋体" w:eastAsia="宋体" w:hint="default"/>
          <w:sz w:val="15"/>
          <w:szCs w:val="15"/>
        </w:rPr>
      </w:pPr>
    </w:p>
    <w:p>
      <w:pPr>
        <w:pStyle w:val="BodyText"/>
        <w:spacing w:line="319" w:lineRule="auto"/>
        <w:ind w:right="1132" w:firstLine="420"/>
        <w:jc w:val="both"/>
      </w:pPr>
      <w:r>
        <w:rPr>
          <w:rFonts w:ascii="宋体" w:hAnsi="宋体" w:cs="宋体" w:eastAsia="宋体" w:hint="default"/>
          <w:spacing w:val="-1"/>
        </w:rPr>
        <w:t>(1)</w:t>
      </w:r>
      <w:r>
        <w:rPr>
          <w:spacing w:val="-1"/>
        </w:rPr>
        <w:t>建造合同的结果在资产负债表日能够可靠估计的，根据完工百分比法确认合同收入和合同费用。建造合同的结果在</w:t>
      </w:r>
      <w:r>
        <w:rPr/>
        <w:t> </w:t>
      </w:r>
      <w:r>
        <w:rPr>
          <w:spacing w:val="-2"/>
        </w:rPr>
        <w:t>资产负债表日不能够可靠估计的，若合同成本能够收回的，合同收入根据能够收回的实际合同成本予以确认，合同成本在其</w:t>
      </w:r>
      <w:r>
        <w:rPr>
          <w:spacing w:val="-66"/>
        </w:rPr>
        <w:t> </w:t>
      </w:r>
      <w:r>
        <w:rPr>
          <w:spacing w:val="-66"/>
        </w:rPr>
      </w:r>
      <w:r>
        <w:rPr/>
        <w:t>发生的当期确认为合同费用；若合同成本不可能收回的，在发生时立即确认为合同费用，不确认合同收入。</w:t>
      </w:r>
    </w:p>
    <w:p>
      <w:pPr>
        <w:pStyle w:val="BodyText"/>
        <w:spacing w:line="316" w:lineRule="auto" w:before="137"/>
        <w:ind w:right="1132" w:firstLine="420"/>
        <w:jc w:val="both"/>
      </w:pPr>
      <w:r>
        <w:rPr>
          <w:rFonts w:ascii="宋体" w:hAnsi="宋体" w:cs="宋体" w:eastAsia="宋体" w:hint="default"/>
          <w:spacing w:val="-1"/>
        </w:rPr>
        <w:t>(2)</w:t>
      </w:r>
      <w:r>
        <w:rPr>
          <w:spacing w:val="-1"/>
        </w:rPr>
        <w:t>建造合同分为固定造价合同和成本加成合同。固定造价合同同时满足下列条件表明其结果能够可靠估计：合同总收</w:t>
      </w:r>
      <w:r>
        <w:rPr/>
        <w:t> </w:t>
      </w:r>
      <w:r>
        <w:rPr>
          <w:spacing w:val="-2"/>
        </w:rPr>
        <w:t>入能够可靠计量、与合同相关的经济利益很可能流入、实际发生的合同成本能够清楚地区分和可靠地计量、合同完工进度和</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889"/>
        <w:jc w:val="left"/>
      </w:pPr>
      <w:r>
        <w:rPr>
          <w:spacing w:val="-2"/>
        </w:rPr>
        <w:t>为完成合同尚需发生的成本能够可靠地计量。成本加成合同同时满足下列条件表明其结果能够可靠估计：与合同相关的经济</w:t>
      </w:r>
      <w:r>
        <w:rPr>
          <w:spacing w:val="-63"/>
        </w:rPr>
        <w:t> </w:t>
      </w:r>
      <w:r>
        <w:rPr>
          <w:spacing w:val="-63"/>
        </w:rPr>
      </w:r>
      <w:r>
        <w:rPr/>
        <w:t>利益很可能流入、实际发生的合同成本能够清楚地区分和可靠地计量。</w:t>
      </w:r>
    </w:p>
    <w:p>
      <w:pPr>
        <w:pStyle w:val="BodyText"/>
        <w:spacing w:line="316" w:lineRule="auto" w:before="139"/>
        <w:ind w:right="1243" w:firstLine="420"/>
        <w:jc w:val="left"/>
      </w:pPr>
      <w:r>
        <w:rPr>
          <w:rFonts w:ascii="宋体" w:hAnsi="宋体" w:cs="宋体" w:eastAsia="宋体" w:hint="default"/>
        </w:rPr>
        <w:t>(3)</w:t>
      </w:r>
      <w:r>
        <w:rPr/>
        <w:t>确定合同完工进度的方法为已经完成的合同工作量占合同预计总工作量的比例</w:t>
      </w:r>
      <w:r>
        <w:rPr>
          <w:rFonts w:ascii="宋体" w:hAnsi="宋体" w:cs="宋体" w:eastAsia="宋体" w:hint="default"/>
        </w:rPr>
        <w:t>(</w:t>
      </w:r>
      <w:r>
        <w:rPr/>
        <w:t>完工百分比</w:t>
      </w:r>
      <w:r>
        <w:rPr>
          <w:rFonts w:ascii="宋体" w:hAnsi="宋体" w:cs="宋体" w:eastAsia="宋体" w:hint="default"/>
        </w:rPr>
        <w:t>=</w:t>
      </w:r>
      <w:r>
        <w:rPr/>
        <w:t>已完工程量对应的产 值</w:t>
      </w:r>
      <w:r>
        <w:rPr>
          <w:rFonts w:ascii="宋体" w:hAnsi="宋体" w:cs="宋体" w:eastAsia="宋体" w:hint="default"/>
        </w:rPr>
        <w:t>/</w:t>
      </w:r>
      <w:r>
        <w:rPr/>
        <w:t>总工程量对应的产值</w:t>
      </w:r>
      <w:r>
        <w:rPr>
          <w:rFonts w:ascii="宋体" w:hAnsi="宋体" w:cs="宋体" w:eastAsia="宋体" w:hint="default"/>
        </w:rPr>
        <w:t>)</w:t>
      </w:r>
      <w:r>
        <w:rPr/>
        <w:t>。</w:t>
      </w:r>
    </w:p>
    <w:p>
      <w:pPr>
        <w:pStyle w:val="BodyText"/>
        <w:spacing w:line="316" w:lineRule="auto" w:before="139"/>
        <w:ind w:right="1129" w:firstLine="420"/>
        <w:jc w:val="both"/>
      </w:pPr>
      <w:r>
        <w:rPr/>
        <w:t>公司首先按照项目合同所确定的总造价</w:t>
      </w:r>
      <w:r>
        <w:rPr>
          <w:rFonts w:ascii="宋体" w:hAnsi="宋体" w:cs="宋体" w:eastAsia="宋体" w:hint="default"/>
        </w:rPr>
        <w:t>(</w:t>
      </w:r>
      <w:r>
        <w:rPr/>
        <w:t>合同金额</w:t>
      </w:r>
      <w:r>
        <w:rPr>
          <w:rFonts w:ascii="宋体" w:hAnsi="宋体" w:cs="宋体" w:eastAsia="宋体" w:hint="default"/>
        </w:rPr>
        <w:t>)</w:t>
      </w:r>
      <w:r>
        <w:rPr/>
        <w:t>作为公司在该项目实施过程中可实现的合同收入的总额；根据上述 方法确定的完工百分比确认每个会计期间实现的营业收入</w:t>
      </w:r>
      <w:r>
        <w:rPr>
          <w:rFonts w:ascii="宋体" w:hAnsi="宋体" w:cs="宋体" w:eastAsia="宋体" w:hint="default"/>
        </w:rPr>
        <w:t>(</w:t>
      </w:r>
      <w:r>
        <w:rPr/>
        <w:t>当期确认的合同收入＝合同总收入×完工进度</w:t>
      </w:r>
      <w:r>
        <w:rPr>
          <w:rFonts w:ascii="宋体" w:hAnsi="宋体" w:cs="宋体" w:eastAsia="宋体" w:hint="default"/>
        </w:rPr>
        <w:t>-</w:t>
      </w:r>
      <w:r>
        <w:rPr/>
        <w:t>以前会计期间累</w:t>
      </w:r>
      <w:r>
        <w:rPr>
          <w:spacing w:val="-1"/>
        </w:rPr>
        <w:t> </w:t>
      </w:r>
      <w:r>
        <w:rPr>
          <w:spacing w:val="-1"/>
        </w:rPr>
      </w:r>
      <w:r>
        <w:rPr/>
        <w:t>计已确认的收入</w:t>
      </w:r>
      <w:r>
        <w:rPr>
          <w:rFonts w:ascii="宋体" w:hAnsi="宋体" w:cs="宋体" w:eastAsia="宋体" w:hint="default"/>
        </w:rPr>
        <w:t>)</w:t>
      </w:r>
      <w:r>
        <w:rPr/>
        <w:t>。对当期完成决算的工程项目，按决算收入减去以前会计年度累计已确认收入后的余额作为当期收入；对</w:t>
      </w:r>
      <w:r>
        <w:rPr>
          <w:spacing w:val="-82"/>
        </w:rPr>
        <w:t> </w:t>
      </w:r>
      <w:r>
        <w:rPr>
          <w:spacing w:val="-82"/>
        </w:rPr>
      </w:r>
      <w:r>
        <w:rPr/>
        <w:t>当期完工但暂未决算的工程项目，按合同总收入减去以前会计年度累计已确认收入后的余额作为当期收入。</w:t>
      </w:r>
    </w:p>
    <w:p>
      <w:pPr>
        <w:pStyle w:val="BodyText"/>
        <w:spacing w:line="316" w:lineRule="auto" w:before="139"/>
        <w:ind w:right="1153" w:firstLine="510"/>
        <w:jc w:val="left"/>
      </w:pPr>
      <w:r>
        <w:rPr>
          <w:rFonts w:ascii="宋体" w:hAnsi="宋体" w:cs="宋体" w:eastAsia="宋体" w:hint="default"/>
        </w:rPr>
        <w:t>(4)</w:t>
      </w:r>
      <w:r>
        <w:rPr/>
        <w:t>资产负债表日，合同预计总成本超过合同总收入的，将预计损失确认为当期费用。执行中的建造合同，按其差额 计提存货跌价准备；待执行的亏损合同，按其差额确认预计负债。</w:t>
      </w:r>
    </w:p>
    <w:p>
      <w:pPr>
        <w:pStyle w:val="BodyText"/>
        <w:spacing w:line="439" w:lineRule="auto" w:before="139"/>
        <w:ind w:left="573" w:right="6553"/>
        <w:jc w:val="left"/>
      </w:pPr>
      <w:r>
        <w:rPr>
          <w:rFonts w:ascii="宋体" w:hAnsi="宋体" w:cs="宋体" w:eastAsia="宋体" w:hint="default"/>
        </w:rPr>
        <w:t>2</w:t>
      </w:r>
      <w:r>
        <w:rPr/>
        <w:t>、销售商品 销售商品收入在同时满足下列条件时予以确认：</w:t>
      </w:r>
    </w:p>
    <w:p>
      <w:pPr>
        <w:pStyle w:val="BodyText"/>
        <w:spacing w:line="240" w:lineRule="auto" w:before="47"/>
        <w:ind w:left="574" w:right="889"/>
        <w:jc w:val="left"/>
      </w:pPr>
      <w:r>
        <w:rPr/>
        <w:t>① 将商品所有权上的主要风险和报酬转移给购货方；</w:t>
      </w:r>
    </w:p>
    <w:p>
      <w:pPr>
        <w:spacing w:line="240" w:lineRule="auto" w:before="0"/>
        <w:rPr>
          <w:rFonts w:ascii="宋体" w:hAnsi="宋体" w:cs="宋体" w:eastAsia="宋体" w:hint="default"/>
          <w:sz w:val="15"/>
          <w:szCs w:val="15"/>
        </w:rPr>
      </w:pPr>
    </w:p>
    <w:p>
      <w:pPr>
        <w:pStyle w:val="BodyText"/>
        <w:spacing w:line="240" w:lineRule="auto"/>
        <w:ind w:left="574" w:right="889"/>
        <w:jc w:val="left"/>
      </w:pPr>
      <w:r>
        <w:rPr/>
        <w:t>② 公司不再保留通常与所有权相联系的继续管理权，也不再对已售出的商品实施有效控制；</w:t>
      </w:r>
    </w:p>
    <w:p>
      <w:pPr>
        <w:spacing w:line="240" w:lineRule="auto" w:before="0"/>
        <w:rPr>
          <w:rFonts w:ascii="宋体" w:hAnsi="宋体" w:cs="宋体" w:eastAsia="宋体" w:hint="default"/>
          <w:sz w:val="15"/>
          <w:szCs w:val="15"/>
        </w:rPr>
      </w:pPr>
    </w:p>
    <w:p>
      <w:pPr>
        <w:pStyle w:val="BodyText"/>
        <w:spacing w:line="240" w:lineRule="auto"/>
        <w:ind w:left="573" w:right="889"/>
        <w:jc w:val="left"/>
      </w:pPr>
      <w:r>
        <w:rPr/>
        <w:t>③ 收入的金额能够可靠地计量；</w:t>
      </w:r>
    </w:p>
    <w:p>
      <w:pPr>
        <w:spacing w:line="240" w:lineRule="auto" w:before="0"/>
        <w:rPr>
          <w:rFonts w:ascii="宋体" w:hAnsi="宋体" w:cs="宋体" w:eastAsia="宋体" w:hint="default"/>
          <w:sz w:val="15"/>
          <w:szCs w:val="15"/>
        </w:rPr>
      </w:pPr>
    </w:p>
    <w:p>
      <w:pPr>
        <w:pStyle w:val="BodyText"/>
        <w:spacing w:line="240" w:lineRule="auto"/>
        <w:ind w:left="573" w:right="889"/>
        <w:jc w:val="left"/>
      </w:pPr>
      <w:r>
        <w:rPr/>
        <w:t>④ 相关的经济利益很可能流入；</w:t>
      </w:r>
    </w:p>
    <w:p>
      <w:pPr>
        <w:spacing w:line="240" w:lineRule="auto" w:before="0"/>
        <w:rPr>
          <w:rFonts w:ascii="宋体" w:hAnsi="宋体" w:cs="宋体" w:eastAsia="宋体" w:hint="default"/>
          <w:sz w:val="15"/>
          <w:szCs w:val="15"/>
        </w:rPr>
      </w:pPr>
    </w:p>
    <w:p>
      <w:pPr>
        <w:pStyle w:val="BodyText"/>
        <w:spacing w:line="439" w:lineRule="auto"/>
        <w:ind w:left="574" w:right="6462"/>
        <w:jc w:val="left"/>
      </w:pPr>
      <w:r>
        <w:rPr/>
        <w:t>⑤ 相关的已发生或将发生的成本能够可靠计量。 </w:t>
      </w:r>
      <w:r>
        <w:rPr>
          <w:rFonts w:ascii="宋体" w:hAnsi="宋体" w:cs="宋体" w:eastAsia="宋体" w:hint="default"/>
        </w:rPr>
        <w:t>3</w:t>
      </w:r>
      <w:r>
        <w:rPr/>
        <w:t>、提供劳务</w:t>
      </w:r>
    </w:p>
    <w:p>
      <w:pPr>
        <w:pStyle w:val="BodyText"/>
        <w:spacing w:line="439" w:lineRule="auto" w:before="47"/>
        <w:ind w:left="573" w:right="2953"/>
        <w:jc w:val="left"/>
      </w:pPr>
      <w:r>
        <w:rPr/>
        <w:t>在资产负债表日提供劳务交易的结果能够可靠估计的，采用完工百分比法确认提供劳务收入。 公司采用已完成工作的测量占合同预计工作总量的比例确定提供劳务交易的完工进度。 在资产负债表日提供劳务交易结果不能够可靠估计的，分别下列情况处理：</w:t>
      </w:r>
    </w:p>
    <w:p>
      <w:pPr>
        <w:pStyle w:val="BodyText"/>
        <w:spacing w:line="316" w:lineRule="auto" w:before="47"/>
        <w:ind w:right="1113" w:firstLine="420"/>
        <w:jc w:val="left"/>
      </w:pPr>
      <w:r>
        <w:rPr/>
        <w:t>①</w:t>
      </w:r>
      <w:r>
        <w:rPr>
          <w:spacing w:val="-50"/>
        </w:rPr>
        <w:t> </w:t>
      </w:r>
      <w:r>
        <w:rPr/>
        <w:t>已经发生的劳务成本预计能够得到补偿的，按照已经发生的劳务成本金额确认提供劳务收入，并按相同金额结转劳</w:t>
      </w:r>
      <w:r>
        <w:rPr/>
        <w:t> 务成本。</w:t>
      </w:r>
    </w:p>
    <w:p>
      <w:pPr>
        <w:pStyle w:val="BodyText"/>
        <w:spacing w:line="432" w:lineRule="exact" w:before="3"/>
        <w:ind w:left="514" w:right="889" w:firstLine="60"/>
        <w:jc w:val="left"/>
      </w:pPr>
      <w:r>
        <w:rPr/>
        <w:t>② 已经发生的劳务成本预计不能够得到补偿的，将已经发生的劳务成本计入当期损益，不确认提供劳务收入。 </w:t>
      </w:r>
      <w:r>
        <w:rPr>
          <w:rFonts w:ascii="宋体" w:hAnsi="宋体" w:cs="宋体" w:eastAsia="宋体" w:hint="default"/>
        </w:rPr>
        <w:t>4</w:t>
      </w:r>
      <w:r>
        <w:rPr/>
        <w:t>、让渡资产使用权收入 </w:t>
      </w:r>
      <w:r>
        <w:rPr>
          <w:spacing w:val="-2"/>
        </w:rPr>
        <w:t>让渡资产使用权在同时满足相关的经济利益很可能流入、收入金额能够可靠计量时，确认让渡资产使用权的收入。利息</w:t>
      </w:r>
    </w:p>
    <w:p>
      <w:pPr>
        <w:pStyle w:val="BodyText"/>
        <w:spacing w:line="316" w:lineRule="auto" w:before="15"/>
        <w:ind w:left="154" w:right="889"/>
        <w:jc w:val="left"/>
      </w:pPr>
      <w:r>
        <w:rPr>
          <w:spacing w:val="-2"/>
        </w:rPr>
        <w:t>收入按照他人使用本公司货币资金的时间和实际利率计算确定；使用费收入按有关合同或协议约定的收费时间和方法计算确</w:t>
      </w:r>
      <w:r>
        <w:rPr>
          <w:spacing w:val="-64"/>
        </w:rPr>
        <w:t> </w:t>
      </w:r>
      <w:r>
        <w:rPr>
          <w:spacing w:val="-64"/>
        </w:rPr>
      </w:r>
      <w:r>
        <w:rPr/>
        <w:t>定。</w:t>
      </w:r>
    </w:p>
    <w:p>
      <w:pPr>
        <w:spacing w:line="240" w:lineRule="auto" w:before="7"/>
        <w:rPr>
          <w:rFonts w:ascii="宋体" w:hAnsi="宋体" w:cs="宋体" w:eastAsia="宋体" w:hint="default"/>
          <w:sz w:val="22"/>
          <w:szCs w:val="22"/>
        </w:rPr>
      </w:pPr>
    </w:p>
    <w:p>
      <w:pPr>
        <w:pStyle w:val="Heading3"/>
        <w:spacing w:line="240" w:lineRule="auto"/>
        <w:ind w:left="154" w:right="889"/>
        <w:jc w:val="left"/>
        <w:rPr>
          <w:b w:val="0"/>
          <w:bCs w:val="0"/>
        </w:rPr>
      </w:pPr>
      <w:bookmarkStart w:name="23、政府补助" w:id="195"/>
      <w:bookmarkEnd w:id="195"/>
      <w:r>
        <w:rPr>
          <w:b w:val="0"/>
          <w:bCs w:val="0"/>
        </w:rPr>
      </w:r>
      <w:r>
        <w:rPr>
          <w:rFonts w:ascii="Times New Roman" w:hAnsi="Times New Roman" w:cs="Times New Roman" w:eastAsia="Times New Roman" w:hint="default"/>
        </w:rPr>
        <w:t>23</w:t>
      </w:r>
      <w:r>
        <w:rPr/>
        <w:t>、政府补助</w:t>
      </w:r>
      <w:r>
        <w:rPr>
          <w:b w:val="0"/>
          <w:bCs w:val="0"/>
        </w:rPr>
      </w:r>
    </w:p>
    <w:p>
      <w:pPr>
        <w:spacing w:line="240" w:lineRule="auto" w:before="8"/>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 政府补助"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574" w:right="889"/>
        <w:jc w:val="left"/>
      </w:pPr>
      <w:r>
        <w:rPr>
          <w:rFonts w:ascii="宋体" w:hAnsi="宋体" w:cs="宋体" w:eastAsia="宋体" w:hint="default"/>
        </w:rPr>
        <w:t>1</w:t>
      </w:r>
      <w:r>
        <w:rPr/>
        <w:t>．政府补助包括与资产相关的政府补助和与收益相关的政府补助。</w:t>
      </w:r>
    </w:p>
    <w:p>
      <w:pPr>
        <w:spacing w:line="240" w:lineRule="auto" w:before="0"/>
        <w:rPr>
          <w:rFonts w:ascii="宋体" w:hAnsi="宋体" w:cs="宋体" w:eastAsia="宋体" w:hint="default"/>
          <w:sz w:val="15"/>
          <w:szCs w:val="15"/>
        </w:rPr>
      </w:pPr>
    </w:p>
    <w:p>
      <w:pPr>
        <w:pStyle w:val="BodyText"/>
        <w:spacing w:line="316" w:lineRule="auto"/>
        <w:ind w:right="889" w:firstLine="420"/>
        <w:jc w:val="left"/>
      </w:pPr>
      <w:r>
        <w:rPr>
          <w:rFonts w:ascii="宋体" w:hAnsi="宋体" w:cs="宋体" w:eastAsia="宋体" w:hint="default"/>
          <w:spacing w:val="-2"/>
        </w:rPr>
        <w:t>2</w:t>
      </w:r>
      <w:r>
        <w:rPr>
          <w:spacing w:val="-2"/>
        </w:rPr>
        <w:t>．政府补助为货币性资产的，按照收到或应收的金额计量；政府补助为非货币性资产的，按照公允价值计量，公允价</w:t>
      </w:r>
      <w:r>
        <w:rPr/>
        <w:t> 值不能可靠取得的，按照名义金额计量。</w:t>
      </w:r>
    </w:p>
    <w:p>
      <w:pPr>
        <w:pStyle w:val="BodyText"/>
        <w:spacing w:line="240" w:lineRule="auto" w:before="139"/>
        <w:ind w:left="573" w:right="889"/>
        <w:jc w:val="left"/>
      </w:pPr>
      <w:r>
        <w:rPr>
          <w:rFonts w:ascii="宋体" w:hAnsi="宋体" w:cs="宋体" w:eastAsia="宋体" w:hint="default"/>
        </w:rPr>
        <w:t>3. </w:t>
      </w:r>
      <w:r>
        <w:rPr/>
        <w:t>政府补助采用总额法：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firstLine="420"/>
        <w:jc w:val="both"/>
      </w:pPr>
      <w:r>
        <w:rPr>
          <w:spacing w:val="-2"/>
        </w:rPr>
        <w:t>（</w:t>
      </w:r>
      <w:r>
        <w:rPr>
          <w:rFonts w:ascii="宋体" w:hAnsi="宋体" w:cs="宋体" w:eastAsia="宋体" w:hint="default"/>
          <w:spacing w:val="-2"/>
        </w:rPr>
        <w:t>1</w:t>
      </w:r>
      <w:r>
        <w:rPr>
          <w:spacing w:val="-2"/>
        </w:rPr>
        <w:t>）与资产相关的政府补助，确认为递延收益，在相关资产使用寿命内按照合理、系统的方法分期计入损益。相关资</w:t>
      </w:r>
      <w:r>
        <w:rPr/>
        <w:t> 产在使用寿命结束前被出售、转让、报废或发生毁损的，将尚未分配的相关递延收益余额转入资产处置当期的损益。</w:t>
      </w:r>
    </w:p>
    <w:p>
      <w:pPr>
        <w:pStyle w:val="BodyText"/>
        <w:spacing w:line="316" w:lineRule="auto" w:before="139"/>
        <w:ind w:right="1132" w:firstLine="420"/>
        <w:jc w:val="both"/>
      </w:pPr>
      <w:r>
        <w:rPr>
          <w:spacing w:val="-2"/>
        </w:rPr>
        <w:t>（</w:t>
      </w:r>
      <w:r>
        <w:rPr>
          <w:rFonts w:ascii="宋体" w:hAnsi="宋体" w:cs="宋体" w:eastAsia="宋体" w:hint="default"/>
          <w:spacing w:val="-2"/>
        </w:rPr>
        <w:t>2</w:t>
      </w:r>
      <w:r>
        <w:rPr>
          <w:spacing w:val="-2"/>
        </w:rPr>
        <w:t>）与收益相关的政府补助，用于补偿以后期间的相关费用或损失的，确认为递延收益，在确认相关费用的期间，计</w:t>
      </w:r>
      <w:r>
        <w:rPr/>
        <w:t> 入当期损益；用于补偿已发生的相关费用或损失的，直接计入当期损益。</w:t>
      </w:r>
    </w:p>
    <w:p>
      <w:pPr>
        <w:pStyle w:val="BodyText"/>
        <w:spacing w:line="240" w:lineRule="auto" w:before="139"/>
        <w:ind w:left="573" w:right="889"/>
        <w:jc w:val="left"/>
      </w:pPr>
      <w:r>
        <w:rPr>
          <w:rFonts w:ascii="宋体" w:hAnsi="宋体" w:cs="宋体" w:eastAsia="宋体" w:hint="default"/>
        </w:rPr>
        <w:t>4</w:t>
      </w:r>
      <w:r>
        <w:rPr/>
        <w:t>．政府补助采用净额法：</w:t>
      </w:r>
    </w:p>
    <w:p>
      <w:pPr>
        <w:spacing w:line="240" w:lineRule="auto" w:before="0"/>
        <w:rPr>
          <w:rFonts w:ascii="宋体" w:hAnsi="宋体" w:cs="宋体" w:eastAsia="宋体" w:hint="default"/>
          <w:sz w:val="15"/>
          <w:szCs w:val="15"/>
        </w:rPr>
      </w:pPr>
    </w:p>
    <w:p>
      <w:pPr>
        <w:pStyle w:val="BodyText"/>
        <w:spacing w:line="240" w:lineRule="auto"/>
        <w:ind w:left="574" w:right="889"/>
        <w:jc w:val="left"/>
      </w:pPr>
      <w:r>
        <w:rPr/>
        <w:t>（</w:t>
      </w:r>
      <w:r>
        <w:rPr>
          <w:rFonts w:ascii="宋体" w:hAnsi="宋体" w:cs="宋体" w:eastAsia="宋体" w:hint="default"/>
        </w:rPr>
        <w:t>1</w:t>
      </w:r>
      <w:r>
        <w:rPr/>
        <w:t>）与资产相关的政府补助，冲减相关资产的账面价值；</w:t>
      </w:r>
    </w:p>
    <w:p>
      <w:pPr>
        <w:spacing w:line="240" w:lineRule="auto" w:before="0"/>
        <w:rPr>
          <w:rFonts w:ascii="宋体" w:hAnsi="宋体" w:cs="宋体" w:eastAsia="宋体" w:hint="default"/>
          <w:sz w:val="15"/>
          <w:szCs w:val="15"/>
        </w:rPr>
      </w:pPr>
    </w:p>
    <w:p>
      <w:pPr>
        <w:pStyle w:val="BodyText"/>
        <w:spacing w:line="316" w:lineRule="auto"/>
        <w:ind w:right="1132" w:firstLine="420"/>
        <w:jc w:val="both"/>
      </w:pPr>
      <w:r>
        <w:rPr>
          <w:spacing w:val="-2"/>
        </w:rPr>
        <w:t>（</w:t>
      </w:r>
      <w:r>
        <w:rPr>
          <w:rFonts w:ascii="宋体" w:hAnsi="宋体" w:cs="宋体" w:eastAsia="宋体" w:hint="default"/>
          <w:spacing w:val="-2"/>
        </w:rPr>
        <w:t>2</w:t>
      </w:r>
      <w:r>
        <w:rPr>
          <w:spacing w:val="-2"/>
        </w:rPr>
        <w:t>）与收益相关的政府补助，用于补偿以后期间的相关费用或损失的，确认为递延收益，在确认相关费用的期间，冲</w:t>
      </w:r>
      <w:r>
        <w:rPr/>
        <w:t> 减相关成本；用于补偿已发生的相关费用或损失的，直接冲减相关成本。</w:t>
      </w:r>
    </w:p>
    <w:p>
      <w:pPr>
        <w:pStyle w:val="BodyText"/>
        <w:spacing w:line="316" w:lineRule="auto" w:before="139"/>
        <w:ind w:right="1132" w:firstLine="420"/>
        <w:jc w:val="both"/>
      </w:pPr>
      <w:r>
        <w:rPr>
          <w:rFonts w:ascii="宋体" w:hAnsi="宋体" w:cs="宋体" w:eastAsia="宋体" w:hint="default"/>
          <w:spacing w:val="-2"/>
        </w:rPr>
        <w:t>5</w:t>
      </w:r>
      <w:r>
        <w:rPr>
          <w:spacing w:val="-2"/>
        </w:rPr>
        <w:t>．对于同时包含与资产相关部分和与收益相关部分的政府补助，区分不同部分分别进行会计处理；难以区分的，整体</w:t>
      </w:r>
      <w:r>
        <w:rPr/>
        <w:t> 归类为与收益相关的政府补助。</w:t>
      </w:r>
    </w:p>
    <w:p>
      <w:pPr>
        <w:pStyle w:val="BodyText"/>
        <w:spacing w:line="316" w:lineRule="auto" w:before="139"/>
        <w:ind w:right="1132" w:firstLine="420"/>
        <w:jc w:val="both"/>
      </w:pPr>
      <w:r>
        <w:rPr>
          <w:rFonts w:ascii="宋体" w:hAnsi="宋体" w:cs="宋体" w:eastAsia="宋体" w:hint="default"/>
          <w:spacing w:val="-2"/>
        </w:rPr>
        <w:t>6</w:t>
      </w:r>
      <w:r>
        <w:rPr>
          <w:spacing w:val="-2"/>
        </w:rPr>
        <w:t>．公司将与公司日常活动相关的政府补助按照经济业务实质计入其他收益或冲减相关成本费用；将与公司日常活动无</w:t>
      </w:r>
      <w:r>
        <w:rPr/>
        <w:t> 关的政府补助，应当计入营业外收支。</w:t>
      </w:r>
    </w:p>
    <w:p>
      <w:pPr>
        <w:spacing w:line="240" w:lineRule="auto" w:before="7"/>
        <w:rPr>
          <w:rFonts w:ascii="宋体" w:hAnsi="宋体" w:cs="宋体" w:eastAsia="宋体" w:hint="default"/>
          <w:sz w:val="22"/>
          <w:szCs w:val="22"/>
        </w:rPr>
      </w:pPr>
    </w:p>
    <w:p>
      <w:pPr>
        <w:pStyle w:val="Heading3"/>
        <w:spacing w:line="240" w:lineRule="auto"/>
        <w:ind w:right="889"/>
        <w:jc w:val="left"/>
        <w:rPr>
          <w:b w:val="0"/>
          <w:bCs w:val="0"/>
        </w:rPr>
      </w:pPr>
      <w:bookmarkStart w:name="24、递延所得税资产/递延所得税负债" w:id="197"/>
      <w:bookmarkEnd w:id="197"/>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420"/>
        <w:jc w:val="both"/>
      </w:pPr>
      <w:r>
        <w:rPr>
          <w:rFonts w:ascii="宋体" w:hAnsi="宋体" w:cs="宋体" w:eastAsia="宋体" w:hint="default"/>
        </w:rPr>
        <w:t>1.</w:t>
      </w:r>
      <w:r>
        <w:rPr>
          <w:rFonts w:ascii="宋体" w:hAnsi="宋体" w:cs="宋体" w:eastAsia="宋体" w:hint="default"/>
          <w:spacing w:val="-50"/>
        </w:rPr>
        <w:t> </w:t>
      </w:r>
      <w:r>
        <w:rPr/>
        <w:t>根据资产、负债的账面价值与其计税基础之间的差额（未作为资产和负债确认的项目按照税法规定可以确定其计税 </w:t>
      </w:r>
      <w:r>
        <w:rPr>
          <w:spacing w:val="-2"/>
        </w:rPr>
        <w:t>基础的，该计税基础与其账面数之间的差额），按照预期收回该资产或清偿该负债期间的适用税率计算确认递延所得税资产</w:t>
      </w:r>
      <w:r>
        <w:rPr>
          <w:spacing w:val="-66"/>
        </w:rPr>
        <w:t> </w:t>
      </w:r>
      <w:r>
        <w:rPr>
          <w:spacing w:val="-66"/>
        </w:rPr>
      </w:r>
      <w:r>
        <w:rPr/>
        <w:t>或递延所得税负债。</w:t>
      </w:r>
    </w:p>
    <w:p>
      <w:pPr>
        <w:pStyle w:val="BodyText"/>
        <w:spacing w:line="316" w:lineRule="auto" w:before="139"/>
        <w:ind w:right="1132" w:firstLine="420"/>
        <w:jc w:val="both"/>
      </w:pPr>
      <w:r>
        <w:rPr>
          <w:rFonts w:ascii="宋体" w:hAnsi="宋体" w:cs="宋体" w:eastAsia="宋体" w:hint="default"/>
        </w:rPr>
        <w:t>2.</w:t>
      </w:r>
      <w:r>
        <w:rPr>
          <w:rFonts w:ascii="宋体" w:hAnsi="宋体" w:cs="宋体" w:eastAsia="宋体" w:hint="default"/>
          <w:spacing w:val="-50"/>
        </w:rPr>
        <w:t> </w:t>
      </w:r>
      <w:r>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BodyText"/>
        <w:spacing w:line="316" w:lineRule="auto" w:before="139"/>
        <w:ind w:right="1132" w:firstLine="420"/>
        <w:jc w:val="both"/>
      </w:pPr>
      <w:r>
        <w:rPr>
          <w:rFonts w:ascii="宋体" w:hAnsi="宋体" w:cs="宋体" w:eastAsia="宋体" w:hint="default"/>
        </w:rPr>
        <w:t>3.</w:t>
      </w:r>
      <w:r>
        <w:rPr>
          <w:rFonts w:ascii="宋体" w:hAnsi="宋体" w:cs="宋体" w:eastAsia="宋体" w:hint="default"/>
          <w:spacing w:val="-50"/>
        </w:rPr>
        <w:t> </w:t>
      </w:r>
      <w:r>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BodyText"/>
        <w:spacing w:line="316" w:lineRule="auto" w:before="139"/>
        <w:ind w:right="1169" w:firstLine="420"/>
        <w:jc w:val="both"/>
      </w:pPr>
      <w:r>
        <w:rPr>
          <w:rFonts w:ascii="宋体" w:hAnsi="宋体" w:cs="宋体" w:eastAsia="宋体" w:hint="default"/>
        </w:rPr>
        <w:t>4. </w:t>
      </w:r>
      <w:r>
        <w:rPr/>
        <w:t>本公司当期所得税和递延所得税作为所得税费用或收益计入当期损益，但不包括下列情况产生的所得税：（</w:t>
      </w:r>
      <w:r>
        <w:rPr>
          <w:rFonts w:ascii="宋体" w:hAnsi="宋体" w:cs="宋体" w:eastAsia="宋体" w:hint="default"/>
        </w:rPr>
        <w:t>1</w:t>
      </w:r>
      <w:r>
        <w:rPr/>
        <w:t>）企 业合并；（</w:t>
      </w:r>
      <w:r>
        <w:rPr>
          <w:rFonts w:ascii="宋体" w:hAnsi="宋体" w:cs="宋体" w:eastAsia="宋体" w:hint="default"/>
        </w:rPr>
        <w:t>2</w:t>
      </w:r>
      <w:r>
        <w:rPr/>
        <w:t>）直接在所有者权益中确认的交易或者事项。</w:t>
      </w:r>
    </w:p>
    <w:p>
      <w:pPr>
        <w:spacing w:line="240" w:lineRule="auto" w:before="7"/>
        <w:rPr>
          <w:rFonts w:ascii="宋体" w:hAnsi="宋体" w:cs="宋体" w:eastAsia="宋体" w:hint="default"/>
          <w:sz w:val="22"/>
          <w:szCs w:val="22"/>
        </w:rPr>
      </w:pPr>
    </w:p>
    <w:p>
      <w:pPr>
        <w:pStyle w:val="Heading3"/>
        <w:spacing w:line="240" w:lineRule="auto"/>
        <w:ind w:left="154" w:right="889"/>
        <w:jc w:val="left"/>
        <w:rPr>
          <w:b w:val="0"/>
          <w:bCs w:val="0"/>
        </w:rPr>
      </w:pPr>
      <w:bookmarkStart w:name="25、租赁" w:id="198"/>
      <w:bookmarkEnd w:id="198"/>
      <w:r>
        <w:rPr>
          <w:b w:val="0"/>
          <w:bCs w:val="0"/>
        </w:rPr>
      </w:r>
      <w:r>
        <w:rPr>
          <w:rFonts w:ascii="Times New Roman" w:hAnsi="Times New Roman" w:cs="Times New Roman" w:eastAsia="Times New Roman" w:hint="default"/>
        </w:rPr>
        <w:t>25</w:t>
      </w:r>
      <w:r>
        <w:rPr/>
        <w:t>、租赁</w:t>
      </w:r>
      <w:r>
        <w:rPr>
          <w:b w:val="0"/>
          <w:bCs w:val="0"/>
        </w:rPr>
      </w:r>
    </w:p>
    <w:p>
      <w:pPr>
        <w:spacing w:line="240" w:lineRule="auto" w:before="8"/>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经营租赁的会计处理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420"/>
        <w:jc w:val="both"/>
      </w:pPr>
      <w:r>
        <w:rPr/>
        <w:t>本公司为承租人时，在租赁期内各个期间按照直线法将租金计入相关资产成本或确认为当期损益，发生的初始直接费 用，直接计入当期损益。或有租金在实际发生时计入当期损益。</w:t>
      </w:r>
    </w:p>
    <w:p>
      <w:pPr>
        <w:pStyle w:val="BodyText"/>
        <w:spacing w:line="316" w:lineRule="auto" w:before="139"/>
        <w:ind w:left="154" w:right="1130" w:firstLine="420"/>
        <w:jc w:val="both"/>
      </w:pPr>
      <w:r>
        <w:rPr/>
        <w:t>本公司为出租人时，在租赁期内各个期间按照直线法将租金确认为当期损益，除金额较大的予以资本化并分期计入损 益外，均直接计入当期损益。或有租金在实际发生时计入当期损益。</w:t>
      </w:r>
    </w:p>
    <w:p>
      <w:pPr>
        <w:spacing w:line="240" w:lineRule="auto" w:before="7"/>
        <w:rPr>
          <w:rFonts w:ascii="宋体" w:hAnsi="宋体" w:cs="宋体" w:eastAsia="宋体" w:hint="default"/>
          <w:sz w:val="22"/>
          <w:szCs w:val="22"/>
        </w:rPr>
      </w:pPr>
    </w:p>
    <w:p>
      <w:pPr>
        <w:pStyle w:val="Heading3"/>
        <w:spacing w:line="240" w:lineRule="auto"/>
        <w:ind w:right="889"/>
        <w:jc w:val="left"/>
        <w:rPr>
          <w:b w:val="0"/>
          <w:bCs w:val="0"/>
        </w:rPr>
      </w:pPr>
      <w:bookmarkStart w:name="26、重要会计政策和会计估计变更" w:id="200"/>
      <w:bookmarkEnd w:id="200"/>
      <w:r>
        <w:rPr>
          <w:b w:val="0"/>
          <w:bCs w:val="0"/>
        </w:rPr>
      </w:r>
      <w:r>
        <w:rPr>
          <w:rFonts w:ascii="Times New Roman" w:hAnsi="Times New Roman" w:cs="Times New Roman" w:eastAsia="Times New Roman" w:hint="default"/>
        </w:rPr>
        <w:t>26</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spacing w:before="0"/>
        <w:ind w:left="153" w:right="889" w:firstLine="0"/>
        <w:jc w:val="left"/>
        <w:rPr>
          <w:rFonts w:ascii="宋体" w:hAnsi="宋体" w:cs="宋体" w:eastAsia="宋体" w:hint="default"/>
          <w:sz w:val="21"/>
          <w:szCs w:val="21"/>
        </w:rPr>
      </w:pPr>
      <w:bookmarkStart w:name="（1）重要会计政策变更"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16.5pt;margin-top:177.829987pt;width:159pt;height:59.2pt;mso-position-horizontal-relative:page;mso-position-vertical-relative:page;z-index:-895864" coordorigin="4330,3557" coordsize="3180,1184">
            <v:group style="position:absolute;left:4341;top:3568;width:2;height:393" coordorigin="4341,3568" coordsize="2,393">
              <v:shape style="position:absolute;left:4341;top:3568;width:2;height:393" coordorigin="4341,3568" coordsize="0,393" path="m4341,3568l4341,3960e" filled="false" stroked="true" strokeweight="1.140pt" strokecolor="#ffffff">
                <v:path arrowok="t"/>
              </v:shape>
            </v:group>
            <v:group style="position:absolute;left:4330;top:3960;width:3180;height:780" coordorigin="4330,3960" coordsize="3180,780">
              <v:shape style="position:absolute;left:4330;top:3960;width:3180;height:780" coordorigin="4330,3960" coordsize="3180,780" path="m4330,4740l7509,4740,7509,3960,4330,3960,4330,4740xe" filled="true" fillcolor="#ffffff" stroked="false">
                <v:path arrowok="t"/>
                <v:fill type="solid"/>
              </v:shape>
            </v:group>
            <v:group style="position:absolute;left:4353;top:3568;width:3134;height:393" coordorigin="4353,3568" coordsize="3134,393">
              <v:shape style="position:absolute;left:4353;top:3568;width:3134;height:393" coordorigin="4353,3568" coordsize="3134,393" path="m4353,3960l7486,3960,7486,3568,4353,3568,4353,396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在将合并及母公司利润表中的</w:t>
            </w:r>
            <w:r>
              <w:rPr>
                <w:rFonts w:ascii="Times New Roman" w:hAnsi="Times New Roman" w:cs="Times New Roman" w:eastAsia="Times New Roman" w:hint="default"/>
                <w:sz w:val="18"/>
                <w:szCs w:val="18"/>
              </w:rPr>
              <w:t>“</w:t>
            </w:r>
            <w:r>
              <w:rPr>
                <w:rFonts w:ascii="宋体" w:hAnsi="宋体" w:cs="宋体" w:eastAsia="宋体" w:hint="default"/>
                <w:sz w:val="18"/>
                <w:szCs w:val="18"/>
              </w:rPr>
              <w:t>营业利 润</w:t>
            </w:r>
            <w:r>
              <w:rPr>
                <w:rFonts w:ascii="Times New Roman" w:hAnsi="Times New Roman" w:cs="Times New Roman" w:eastAsia="Times New Roman" w:hint="default"/>
                <w:sz w:val="18"/>
                <w:szCs w:val="18"/>
              </w:rPr>
              <w:t>”</w:t>
            </w:r>
            <w:r>
              <w:rPr>
                <w:rFonts w:ascii="宋体" w:hAnsi="宋体" w:cs="宋体" w:eastAsia="宋体" w:hint="default"/>
                <w:sz w:val="18"/>
                <w:szCs w:val="18"/>
              </w:rPr>
              <w:t>项目之上单独列报</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 将计入其他收益的政府补助在该项目中 反映。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第二届董事会第十五次会议审议通过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p>
        </w:tc>
      </w:tr>
      <w:tr>
        <w:trPr>
          <w:trHeight w:val="19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20"/>
              <w:jc w:val="left"/>
              <w:rPr>
                <w:rFonts w:ascii="宋体" w:hAnsi="宋体" w:cs="宋体" w:eastAsia="宋体" w:hint="default"/>
                <w:sz w:val="18"/>
                <w:szCs w:val="18"/>
              </w:rPr>
            </w:pPr>
            <w:r>
              <w:rPr>
                <w:rFonts w:ascii="宋体" w:hAnsi="宋体" w:cs="宋体" w:eastAsia="宋体" w:hint="default"/>
                <w:sz w:val="18"/>
                <w:szCs w:val="18"/>
              </w:rPr>
              <w:t>将自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日起与日常经营活动 </w:t>
            </w:r>
            <w:r>
              <w:rPr>
                <w:rFonts w:ascii="宋体" w:hAnsi="宋体" w:cs="宋体" w:eastAsia="宋体" w:hint="default"/>
                <w:spacing w:val="-5"/>
                <w:w w:val="100"/>
                <w:sz w:val="18"/>
                <w:szCs w:val="18"/>
              </w:rPr>
              <w:t>相关的政府补助，从利润表</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营业外收入</w:t>
            </w:r>
            <w:r>
              <w:rPr>
                <w:rFonts w:ascii="Times New Roman" w:hAnsi="Times New Roman" w:cs="Times New Roman" w:eastAsia="Times New Roman" w:hint="default"/>
                <w:spacing w:val="-5"/>
                <w:w w:val="100"/>
                <w:sz w:val="18"/>
                <w:szCs w:val="18"/>
              </w:rPr>
              <w:t>”</w:t>
            </w:r>
            <w:r>
              <w:rPr>
                <w:rFonts w:ascii="Times New Roman" w:hAnsi="Times New Roman" w:cs="Times New Roman" w:eastAsia="Times New Roman" w:hint="default"/>
                <w:spacing w:val="-37"/>
                <w:w w:val="100"/>
                <w:sz w:val="18"/>
                <w:szCs w:val="18"/>
              </w:rPr>
              <w:t> </w:t>
            </w:r>
            <w:r>
              <w:rPr>
                <w:rFonts w:ascii="宋体" w:hAnsi="宋体" w:cs="宋体" w:eastAsia="宋体" w:hint="default"/>
                <w:sz w:val="18"/>
                <w:szCs w:val="18"/>
              </w:rPr>
              <w:t>项目调整为利润表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项目列报 比较数据不予调整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5"/>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第二届董事会第十五次会议审议通过</w:t>
            </w:r>
          </w:p>
          <w:p>
            <w:pPr>
              <w:pStyle w:val="TableParagraph"/>
              <w:spacing w:line="196"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调增合并利润表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3,025,080.66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元，调减合并利润表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营业</w:t>
            </w:r>
          </w:p>
          <w:p>
            <w:pPr>
              <w:pStyle w:val="TableParagraph"/>
              <w:spacing w:line="300" w:lineRule="auto" w:before="63"/>
              <w:ind w:left="22" w:right="59"/>
              <w:jc w:val="left"/>
              <w:rPr>
                <w:rFonts w:ascii="宋体" w:hAnsi="宋体" w:cs="宋体" w:eastAsia="宋体" w:hint="default"/>
                <w:sz w:val="18"/>
                <w:szCs w:val="18"/>
              </w:rPr>
            </w:pPr>
            <w:r>
              <w:rPr>
                <w:rFonts w:ascii="宋体" w:hAnsi="宋体" w:cs="宋体" w:eastAsia="宋体" w:hint="default"/>
                <w:sz w:val="18"/>
                <w:szCs w:val="18"/>
              </w:rPr>
              <w:t>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3,025,080.66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元；调增 母公司利润表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3,013,679.20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元，调减母公司利润表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营</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3,013,679.20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在合并及母公司利润表中区分</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 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w:t>
            </w: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36"/>
              <w:jc w:val="left"/>
              <w:rPr>
                <w:rFonts w:ascii="宋体" w:hAnsi="宋体" w:cs="宋体" w:eastAsia="宋体" w:hint="default"/>
                <w:sz w:val="18"/>
                <w:szCs w:val="18"/>
              </w:rPr>
            </w:pPr>
            <w:r>
              <w:rPr>
                <w:rFonts w:ascii="宋体" w:hAnsi="宋体" w:cs="宋体" w:eastAsia="宋体" w:hint="default"/>
                <w:sz w:val="18"/>
                <w:szCs w:val="18"/>
              </w:rPr>
              <w:t>在合并及母公司利润表中区分</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 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 较数据相应调整。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增加合并利润表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本期 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160,217,855.42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155,718,88</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.74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增加母公司利润表</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持</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续经营净利润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158,594,779.75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元，上期金额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154,024,171.72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在合并及母公司利润表中新增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 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行项目，并追溯调整。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 收益</w:t>
            </w:r>
            <w:r>
              <w:rPr>
                <w:rFonts w:ascii="Times New Roman" w:hAnsi="Times New Roman" w:cs="Times New Roman" w:eastAsia="Times New Roman" w:hint="default"/>
                <w:sz w:val="18"/>
                <w:szCs w:val="18"/>
              </w:rPr>
              <w:t>”</w:t>
            </w: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在合并及母公司利润表中新增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 </w:t>
            </w:r>
            <w:r>
              <w:rPr>
                <w:rFonts w:ascii="宋体" w:hAnsi="宋体" w:cs="宋体" w:eastAsia="宋体" w:hint="default"/>
                <w:spacing w:val="-5"/>
                <w:w w:val="100"/>
                <w:sz w:val="18"/>
                <w:szCs w:val="18"/>
              </w:rPr>
              <w:t>置收益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项目，将部分原列示为</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营业外收</w:t>
            </w:r>
            <w:r>
              <w:rPr>
                <w:rFonts w:ascii="宋体" w:hAnsi="宋体" w:cs="宋体" w:eastAsia="宋体" w:hint="default"/>
                <w:spacing w:val="-84"/>
                <w:w w:val="100"/>
                <w:sz w:val="18"/>
                <w:szCs w:val="18"/>
              </w:rPr>
              <w:t> </w:t>
            </w:r>
            <w:r>
              <w:rPr>
                <w:rFonts w:ascii="宋体" w:hAnsi="宋体" w:cs="宋体" w:eastAsia="宋体" w:hint="default"/>
                <w:sz w:val="18"/>
                <w:szCs w:val="18"/>
              </w:rPr>
              <w:t>入</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的资产处置损益重分 </w:t>
            </w:r>
            <w:r>
              <w:rPr>
                <w:rFonts w:ascii="宋体" w:hAnsi="宋体" w:cs="宋体" w:eastAsia="宋体" w:hint="default"/>
                <w:spacing w:val="-5"/>
                <w:w w:val="100"/>
                <w:sz w:val="18"/>
                <w:szCs w:val="18"/>
              </w:rPr>
              <w:t>类至</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资产处置收益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项目。比较数据相应</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调增合并利润表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 额</w:t>
            </w:r>
            <w:r>
              <w:rPr>
                <w:rFonts w:ascii="Times New Roman" w:hAnsi="Times New Roman" w:cs="Times New Roman" w:eastAsia="Times New Roman" w:hint="default"/>
                <w:sz w:val="18"/>
                <w:szCs w:val="18"/>
              </w:rPr>
              <w:t>-14,801.61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-130,287.63</w:t>
            </w:r>
          </w:p>
          <w:p>
            <w:pPr>
              <w:pStyle w:val="TableParagraph"/>
              <w:spacing w:line="300" w:lineRule="auto" w:before="13"/>
              <w:ind w:left="22" w:right="19"/>
              <w:jc w:val="left"/>
              <w:rPr>
                <w:rFonts w:ascii="Times New Roman" w:hAnsi="Times New Roman" w:cs="Times New Roman" w:eastAsia="Times New Roman" w:hint="default"/>
                <w:sz w:val="18"/>
                <w:szCs w:val="18"/>
              </w:rPr>
            </w:pPr>
            <w:r>
              <w:rPr>
                <w:rFonts w:ascii="宋体" w:hAnsi="宋体" w:cs="宋体" w:eastAsia="宋体" w:hint="default"/>
                <w:spacing w:val="-5"/>
                <w:w w:val="100"/>
                <w:sz w:val="18"/>
                <w:szCs w:val="18"/>
              </w:rPr>
              <w:t>元；调减母公司利润表</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营业外支出</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本期</w:t>
            </w:r>
            <w:r>
              <w:rPr>
                <w:rFonts w:ascii="宋体" w:hAnsi="宋体" w:cs="宋体" w:eastAsia="宋体" w:hint="default"/>
                <w:spacing w:val="-83"/>
                <w:w w:val="100"/>
                <w:sz w:val="18"/>
                <w:szCs w:val="18"/>
              </w:rPr>
              <w:t> </w:t>
            </w:r>
            <w:r>
              <w:rPr>
                <w:rFonts w:ascii="宋体" w:hAnsi="宋体" w:cs="宋体" w:eastAsia="宋体" w:hint="default"/>
                <w:sz w:val="18"/>
                <w:szCs w:val="18"/>
              </w:rPr>
              <w:t>金额</w:t>
            </w:r>
            <w:r>
              <w:rPr>
                <w:rFonts w:ascii="Times New Roman" w:hAnsi="Times New Roman" w:cs="Times New Roman" w:eastAsia="Times New Roman" w:hint="default"/>
                <w:sz w:val="18"/>
                <w:szCs w:val="18"/>
              </w:rPr>
              <w:t>-12,147.24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-130,287.63</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元。</w:t>
            </w:r>
          </w:p>
        </w:tc>
      </w:tr>
    </w:tbl>
    <w:p>
      <w:pPr>
        <w:pStyle w:val="BodyText"/>
        <w:spacing w:line="240" w:lineRule="auto" w:before="51"/>
        <w:ind w:left="154" w:right="889"/>
        <w:jc w:val="left"/>
      </w:pPr>
      <w:r>
        <w:rPr/>
        <w:t>注：说明受重要影响的报表项目名称和金额。</w:t>
      </w:r>
    </w:p>
    <w:p>
      <w:pPr>
        <w:spacing w:line="240" w:lineRule="auto" w:before="11"/>
        <w:rPr>
          <w:rFonts w:ascii="宋体" w:hAnsi="宋体" w:cs="宋体" w:eastAsia="宋体" w:hint="default"/>
          <w:sz w:val="26"/>
          <w:szCs w:val="26"/>
        </w:rPr>
      </w:pPr>
    </w:p>
    <w:p>
      <w:pPr>
        <w:pStyle w:val="Heading3"/>
        <w:spacing w:line="240" w:lineRule="auto"/>
        <w:ind w:left="154" w:right="889"/>
        <w:jc w:val="left"/>
        <w:rPr>
          <w:b w:val="0"/>
          <w:bCs w:val="0"/>
        </w:rPr>
      </w:pPr>
      <w:bookmarkStart w:name="（2）重要会计估计变更" w:id="202"/>
      <w:bookmarkEnd w:id="20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89"/>
        <w:jc w:val="left"/>
        <w:rPr>
          <w:b w:val="0"/>
          <w:bCs w:val="0"/>
        </w:rPr>
      </w:pPr>
      <w:bookmarkStart w:name="六、税项" w:id="203"/>
      <w:bookmarkEnd w:id="203"/>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89"/>
        <w:jc w:val="left"/>
        <w:rPr>
          <w:b w:val="0"/>
          <w:bCs w:val="0"/>
        </w:rPr>
      </w:pPr>
      <w:bookmarkStart w:name="1、主要税种及税率" w:id="204"/>
      <w:bookmarkEnd w:id="20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820"/>
        <w:gridCol w:w="4548"/>
        <w:gridCol w:w="3190"/>
      </w:tblGrid>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4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5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3.00%/6.00%/11.00%/17.00%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5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1.00%/5.00%/7.00%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5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15.00%/25.00%/0%-12%</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按各地政策执行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1846"/>
        <w:gridCol w:w="4536"/>
        <w:gridCol w:w="3190"/>
      </w:tblGrid>
      <w:tr>
        <w:trPr>
          <w:trHeight w:val="71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 缴；从租计征的，按租金收入的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1.20%/12.00%</w:t>
            </w:r>
          </w:p>
        </w:tc>
      </w:tr>
    </w:tbl>
    <w:p>
      <w:pPr>
        <w:pStyle w:val="BodyText"/>
        <w:spacing w:line="240" w:lineRule="auto" w:before="51"/>
        <w:ind w:left="154" w:right="889"/>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南京卓佰年设计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中装光伏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吉林中装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中装园林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惠州中装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中装智能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中装利丰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超额累进税率 （</w:t>
            </w:r>
            <w:r>
              <w:rPr>
                <w:rFonts w:ascii="Times New Roman" w:hAnsi="Times New Roman" w:cs="Times New Roman" w:eastAsia="Times New Roman" w:hint="default"/>
                <w:sz w:val="18"/>
                <w:szCs w:val="18"/>
              </w:rPr>
              <w:t>0%-12%</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中装新能源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中装城市建设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税收优惠" w:id="205"/>
      <w:bookmarkEnd w:id="20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9" w:firstLine="360"/>
        <w:jc w:val="both"/>
      </w:pPr>
      <w:r>
        <w:rPr/>
        <w:t>本公司</w:t>
      </w:r>
      <w:r>
        <w:rPr>
          <w:spacing w:val="-59"/>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9"/>
        </w:rPr>
        <w:t> </w:t>
      </w:r>
      <w:r>
        <w:rPr>
          <w:rFonts w:ascii="宋体" w:hAnsi="宋体" w:cs="宋体" w:eastAsia="宋体" w:hint="default"/>
        </w:rPr>
        <w:t>2</w:t>
      </w:r>
      <w:r>
        <w:rPr>
          <w:rFonts w:ascii="宋体" w:hAnsi="宋体" w:cs="宋体" w:eastAsia="宋体" w:hint="default"/>
          <w:spacing w:val="-59"/>
        </w:rPr>
        <w:t> </w:t>
      </w:r>
      <w:r>
        <w:rPr/>
        <w:t>日，本公司取得了由深圳市科技创新委员会、深圳市财政委员会、深圳市国家税务局、深圳市地 </w:t>
      </w:r>
      <w:r>
        <w:rPr>
          <w:spacing w:val="-2"/>
        </w:rPr>
        <w:t>方税务局联合颁发的《高新技术企业证书》</w:t>
      </w:r>
      <w:r>
        <w:rPr>
          <w:rFonts w:ascii="宋体" w:hAnsi="宋体" w:cs="宋体" w:eastAsia="宋体" w:hint="default"/>
          <w:spacing w:val="-2"/>
        </w:rPr>
        <w:t>(</w:t>
      </w:r>
      <w:r>
        <w:rPr>
          <w:spacing w:val="-2"/>
        </w:rPr>
        <w:t>证书编号：</w:t>
      </w:r>
      <w:r>
        <w:rPr>
          <w:rFonts w:ascii="宋体" w:hAnsi="宋体" w:cs="宋体" w:eastAsia="宋体" w:hint="default"/>
          <w:spacing w:val="-2"/>
        </w:rPr>
        <w:t>GR201544201502)</w:t>
      </w:r>
      <w:r>
        <w:rPr>
          <w:spacing w:val="-2"/>
        </w:rPr>
        <w:t>，认定本公司为高新技术企业，有效期三年。自于</w:t>
      </w:r>
      <w:r>
        <w:rPr>
          <w:spacing w:val="-49"/>
        </w:rPr>
        <w:t> </w:t>
      </w:r>
      <w:r>
        <w:rPr>
          <w:spacing w:val="-49"/>
        </w:rPr>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5"/>
        </w:rPr>
        <w:t> </w:t>
      </w:r>
      <w:r>
        <w:rPr/>
        <w:t>月</w:t>
      </w:r>
      <w:r>
        <w:rPr>
          <w:spacing w:val="-46"/>
        </w:rPr>
        <w:t> </w:t>
      </w:r>
      <w:r>
        <w:rPr>
          <w:rFonts w:ascii="宋体" w:hAnsi="宋体" w:cs="宋体" w:eastAsia="宋体" w:hint="default"/>
        </w:rPr>
        <w:t>1</w:t>
      </w:r>
      <w:r>
        <w:rPr>
          <w:rFonts w:ascii="宋体" w:hAnsi="宋体" w:cs="宋体" w:eastAsia="宋体" w:hint="default"/>
          <w:spacing w:val="-45"/>
        </w:rPr>
        <w:t> </w:t>
      </w:r>
      <w:r>
        <w:rPr/>
        <w:t>日起至</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日止，企业所得税税率减按</w:t>
      </w:r>
      <w:r>
        <w:rPr>
          <w:spacing w:val="-46"/>
        </w:rPr>
        <w:t> </w:t>
      </w:r>
      <w:r>
        <w:rPr>
          <w:rFonts w:ascii="宋体" w:hAnsi="宋体" w:cs="宋体" w:eastAsia="宋体" w:hint="default"/>
        </w:rPr>
        <w:t>15%</w:t>
      </w:r>
      <w:r>
        <w:rPr/>
        <w:t>执行。</w:t>
      </w:r>
    </w:p>
    <w:p>
      <w:pPr>
        <w:spacing w:line="240" w:lineRule="auto" w:before="7"/>
        <w:rPr>
          <w:rFonts w:ascii="宋体" w:hAnsi="宋体" w:cs="宋体" w:eastAsia="宋体" w:hint="default"/>
          <w:sz w:val="20"/>
          <w:szCs w:val="20"/>
        </w:rPr>
      </w:pPr>
    </w:p>
    <w:p>
      <w:pPr>
        <w:pStyle w:val="Heading2"/>
        <w:spacing w:line="240" w:lineRule="auto"/>
        <w:ind w:right="889"/>
        <w:jc w:val="left"/>
        <w:rPr>
          <w:b w:val="0"/>
          <w:bCs w:val="0"/>
        </w:rPr>
      </w:pPr>
      <w:bookmarkStart w:name="七、合并财务报表项目注释" w:id="206"/>
      <w:bookmarkEnd w:id="206"/>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89"/>
        <w:jc w:val="left"/>
        <w:rPr>
          <w:b w:val="0"/>
          <w:bCs w:val="0"/>
        </w:rPr>
      </w:pPr>
      <w:bookmarkStart w:name="1、货币资金" w:id="207"/>
      <w:bookmarkEnd w:id="20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230,849.64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459,971.44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1,254,140,204.87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1,265,742,206.36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25,814,769.95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25,893,646.60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1,280,185,824.46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1,292,095,824.40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2833"/>
        <w:jc w:val="left"/>
      </w:pPr>
      <w:r>
        <w:rPr/>
        <w:t>其他说明 期末所有权受限制的货币资金详见本财务报表附注七、</w:t>
      </w:r>
      <w:r>
        <w:rPr>
          <w:rFonts w:ascii="Times New Roman" w:hAnsi="Times New Roman" w:cs="Times New Roman" w:eastAsia="Times New Roman" w:hint="default"/>
        </w:rPr>
        <w:t>46</w:t>
      </w:r>
      <w:r>
        <w:rPr/>
        <w:t>、所有权或使用权受到限制的资产之说明。</w:t>
      </w:r>
    </w:p>
    <w:p>
      <w:pPr>
        <w:spacing w:after="0" w:line="360" w:lineRule="auto"/>
        <w:jc w:val="left"/>
        <w:sectPr>
          <w:footerReference w:type="default" r:id="rId18"/>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89"/>
        <w:jc w:val="left"/>
        <w:rPr>
          <w:b w:val="0"/>
          <w:bCs w:val="0"/>
        </w:rPr>
      </w:pPr>
      <w:bookmarkStart w:name="2、应收票据" w:id="208"/>
      <w:bookmarkEnd w:id="208"/>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spacing w:before="0"/>
        <w:ind w:left="153" w:right="889" w:firstLine="0"/>
        <w:jc w:val="left"/>
        <w:rPr>
          <w:rFonts w:ascii="宋体" w:hAnsi="宋体" w:cs="宋体" w:eastAsia="宋体" w:hint="default"/>
          <w:sz w:val="21"/>
          <w:szCs w:val="21"/>
        </w:rPr>
      </w:pPr>
      <w:bookmarkStart w:name="（1）应收票据分类列示"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6,323,823.00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6,402,051.00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12,725,874.00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期末公司已背书或贴现且在资产负债表日尚未到期的应收票据" w:id="210"/>
      <w:bookmarkEnd w:id="210"/>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6,752,794.40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879,000.00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6,752,794.40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879,000.00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3、应收账款" w:id="211"/>
      <w:bookmarkEnd w:id="211"/>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9"/>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应收账款分类披露"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2,598,11</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5,140.12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260,084,</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394.41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10.01%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2,338,030</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,745.71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61,645.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203,131,9</w:t>
            </w:r>
          </w:p>
          <w:p>
            <w:pPr>
              <w:pStyle w:val="TableParagraph"/>
              <w:spacing w:line="240" w:lineRule="auto" w:before="106"/>
              <w:ind w:left="376" w:right="0"/>
              <w:jc w:val="left"/>
              <w:rPr>
                <w:rFonts w:ascii="Times New Roman" w:hAnsi="Times New Roman" w:cs="Times New Roman" w:eastAsia="Times New Roman" w:hint="default"/>
                <w:sz w:val="18"/>
                <w:szCs w:val="18"/>
              </w:rPr>
            </w:pPr>
            <w:r>
              <w:rPr>
                <w:rFonts w:ascii="Times New Roman"/>
                <w:sz w:val="18"/>
              </w:rPr>
              <w:t>03.77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1,753,029,7</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41.39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21,511,0</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44.18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21,511,0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44.18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19,103,</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025.18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19,103,02</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5.18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2,619,62</w:t>
            </w:r>
          </w:p>
          <w:p>
            <w:pPr>
              <w:pStyle w:val="TableParagraph"/>
              <w:spacing w:line="240" w:lineRule="auto" w:before="106"/>
              <w:ind w:left="105" w:right="0"/>
              <w:jc w:val="left"/>
              <w:rPr>
                <w:rFonts w:ascii="Times New Roman" w:hAnsi="Times New Roman" w:cs="Times New Roman" w:eastAsia="Times New Roman" w:hint="default"/>
                <w:sz w:val="18"/>
                <w:szCs w:val="18"/>
              </w:rPr>
            </w:pPr>
            <w:r>
              <w:rPr>
                <w:rFonts w:ascii="Times New Roman"/>
                <w:sz w:val="18"/>
              </w:rPr>
              <w:t>6,184.30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281,595,</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438.59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10.75%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2,338,030</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,745.71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64,670.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222,234,9</w:t>
            </w:r>
          </w:p>
          <w:p>
            <w:pPr>
              <w:pStyle w:val="TableParagraph"/>
              <w:spacing w:line="240" w:lineRule="auto" w:before="106"/>
              <w:ind w:left="376" w:right="0"/>
              <w:jc w:val="left"/>
              <w:rPr>
                <w:rFonts w:ascii="Times New Roman" w:hAnsi="Times New Roman" w:cs="Times New Roman" w:eastAsia="Times New Roman" w:hint="default"/>
                <w:sz w:val="18"/>
                <w:szCs w:val="18"/>
              </w:rPr>
            </w:pPr>
            <w:r>
              <w:rPr>
                <w:rFonts w:ascii="Times New Roman"/>
                <w:sz w:val="18"/>
              </w:rPr>
              <w:t>28.95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11.25%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1,753,029,7</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41.39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889"/>
        <w:jc w:val="left"/>
      </w:pPr>
      <w:r>
        <w:rPr/>
        <w:t>期末单项金额重大并单项计提坏账准备的应收账款：</w:t>
      </w:r>
    </w:p>
    <w:p>
      <w:pPr>
        <w:spacing w:after="0" w:line="240" w:lineRule="auto"/>
        <w:jc w:val="left"/>
        <w:sectPr>
          <w:footerReference w:type="default" r:id="rId19"/>
          <w:pgSz w:w="11910" w:h="16840"/>
          <w:pgMar w:footer="979" w:header="747" w:top="1060" w:bottom="1160" w:left="980" w:right="0"/>
          <w:pgNumType w:start="101"/>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1,737,875,612.89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86,893,780.64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630,165,411.69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63,016,541.17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116,005,842.65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34,801,752.80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59,230,178.01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29,615,089.02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45,404,320.50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36,323,456.40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9,433,774.38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9,433,774.38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2,598,115,140.12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260,084,394.41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10.01%</w:t>
            </w:r>
          </w:p>
        </w:tc>
      </w:tr>
    </w:tbl>
    <w:p>
      <w:pPr>
        <w:pStyle w:val="BodyText"/>
        <w:spacing w:line="352" w:lineRule="auto" w:before="51"/>
        <w:ind w:right="3075"/>
        <w:jc w:val="left"/>
      </w:pPr>
      <w:r>
        <w:rPr/>
        <w:t>确定该组合依据的说明： 公司应收账款的坏账风险主要与账龄相关，故以账龄作为信用风险组合依据。 公司需遵守《深圳证券交易所行业信息披露指引第</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上市公司从事装修装饰业务》的披露要求 组合中，采用余额百分比法计提坏账准备的应收账款：</w:t>
      </w:r>
    </w:p>
    <w:p>
      <w:pPr>
        <w:pStyle w:val="BodyText"/>
        <w:spacing w:line="348" w:lineRule="auto" w:before="31"/>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3"/>
        <w:spacing w:line="240" w:lineRule="auto"/>
        <w:ind w:left="154" w:right="889"/>
        <w:jc w:val="left"/>
        <w:rPr>
          <w:b w:val="0"/>
          <w:bCs w:val="0"/>
        </w:rPr>
      </w:pPr>
      <w:bookmarkStart w:name="（2）本期计提、收回或转回的坏账准备情况" w:id="213"/>
      <w:bookmarkEnd w:id="21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889"/>
        <w:jc w:val="left"/>
      </w:pPr>
      <w:r>
        <w:rPr/>
        <w:t>本期计提坏账准备金额</w:t>
      </w:r>
      <w:r>
        <w:rPr>
          <w:spacing w:val="-47"/>
        </w:rPr>
        <w:t> </w:t>
      </w:r>
      <w:r>
        <w:rPr>
          <w:rFonts w:ascii="Times New Roman" w:hAnsi="Times New Roman" w:cs="Times New Roman" w:eastAsia="Times New Roman" w:hint="default"/>
        </w:rPr>
        <w:t>59,360,509.64</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889"/>
        <w:jc w:val="left"/>
        <w:rPr>
          <w:b w:val="0"/>
          <w:bCs w:val="0"/>
        </w:rPr>
      </w:pPr>
      <w:bookmarkStart w:name="（3）按欠款方归集的期末余额前五名的应收账款情况" w:id="214"/>
      <w:bookmarkEnd w:id="214"/>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4"/>
        <w:jc w:val="right"/>
      </w:pPr>
      <w:r>
        <w:rPr>
          <w:spacing w:val="2"/>
        </w:rPr>
        <w:t>本期按照欠款方归集的期末余额前五名应收账款汇总金额为 </w:t>
      </w:r>
      <w:r>
        <w:rPr>
          <w:rFonts w:ascii="Times New Roman" w:hAnsi="Times New Roman" w:cs="Times New Roman" w:eastAsia="Times New Roman" w:hint="default"/>
        </w:rPr>
        <w:t>241,573,034.63 </w:t>
      </w:r>
      <w:r>
        <w:rPr>
          <w:rFonts w:ascii="Times New Roman" w:hAnsi="Times New Roman" w:cs="Times New Roman" w:eastAsia="Times New Roman" w:hint="default"/>
          <w:spacing w:val="14"/>
        </w:rPr>
        <w:t> </w:t>
      </w:r>
      <w:r>
        <w:rPr>
          <w:spacing w:val="2"/>
        </w:rPr>
        <w:t>元，占应收账款期末余额的合计数的比例</w:t>
      </w:r>
    </w:p>
    <w:p>
      <w:pPr>
        <w:pStyle w:val="BodyText"/>
        <w:spacing w:line="240" w:lineRule="auto" w:before="64"/>
        <w:ind w:left="154" w:right="889"/>
        <w:jc w:val="left"/>
      </w:pPr>
      <w:r>
        <w:rPr>
          <w:rFonts w:ascii="Times New Roman" w:hAnsi="Times New Roman" w:cs="Times New Roman" w:eastAsia="Times New Roman" w:hint="default"/>
        </w:rPr>
        <w:t>9.22%</w:t>
      </w:r>
      <w:r>
        <w:rPr/>
        <w:t>，对应计提的坏账准备期末余额汇总金额</w:t>
      </w:r>
      <w:r>
        <w:rPr>
          <w:spacing w:val="-48"/>
        </w:rPr>
        <w:t> </w:t>
      </w:r>
      <w:r>
        <w:rPr>
          <w:rFonts w:ascii="Times New Roman" w:hAnsi="Times New Roman" w:cs="Times New Roman" w:eastAsia="Times New Roman" w:hint="default"/>
        </w:rPr>
        <w:t>20,747,782.15</w:t>
      </w:r>
      <w:r>
        <w:rPr>
          <w:rFonts w:ascii="Times New Roman" w:hAnsi="Times New Roman" w:cs="Times New Roman" w:eastAsia="Times New Roman" w:hint="default"/>
          <w:spacing w:val="-11"/>
        </w:rPr>
        <w:t> </w:t>
      </w:r>
      <w:r>
        <w:rPr/>
        <w:t>元。</w:t>
      </w:r>
    </w:p>
    <w:p>
      <w:pPr>
        <w:spacing w:line="240" w:lineRule="auto" w:before="9"/>
        <w:rPr>
          <w:rFonts w:ascii="宋体" w:hAnsi="宋体" w:cs="宋体" w:eastAsia="宋体" w:hint="default"/>
          <w:sz w:val="25"/>
          <w:szCs w:val="25"/>
        </w:rPr>
      </w:pPr>
    </w:p>
    <w:p>
      <w:pPr>
        <w:pStyle w:val="Heading3"/>
        <w:spacing w:line="240" w:lineRule="auto"/>
        <w:ind w:right="889"/>
        <w:jc w:val="left"/>
        <w:rPr>
          <w:b w:val="0"/>
          <w:bCs w:val="0"/>
        </w:rPr>
      </w:pPr>
      <w:bookmarkStart w:name="4、预付款项" w:id="215"/>
      <w:bookmarkEnd w:id="215"/>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spacing w:before="0"/>
        <w:ind w:left="153" w:right="889" w:firstLine="0"/>
        <w:jc w:val="left"/>
        <w:rPr>
          <w:rFonts w:ascii="宋体" w:hAnsi="宋体" w:cs="宋体" w:eastAsia="宋体" w:hint="default"/>
          <w:sz w:val="21"/>
          <w:szCs w:val="21"/>
        </w:rPr>
      </w:pPr>
      <w:bookmarkStart w:name="（1）预付款项按账龄列示" w:id="216"/>
      <w:bookmarkEnd w:id="2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0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15,820,065.65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12,403,413.57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15,820,065.65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12,403,413.57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889"/>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pStyle w:val="BodyText"/>
        <w:spacing w:line="240" w:lineRule="auto" w:before="103"/>
        <w:ind w:left="154" w:right="889"/>
        <w:jc w:val="left"/>
      </w:pPr>
      <w:r>
        <w:rPr/>
        <w:t>本公司的期末预付款余额并不存在账龄超过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年。</w:t>
      </w:r>
    </w:p>
    <w:p>
      <w:pPr>
        <w:spacing w:line="240" w:lineRule="auto" w:before="9"/>
        <w:rPr>
          <w:rFonts w:ascii="宋体" w:hAnsi="宋体" w:cs="宋体" w:eastAsia="宋体" w:hint="default"/>
          <w:sz w:val="25"/>
          <w:szCs w:val="25"/>
        </w:rPr>
      </w:pPr>
    </w:p>
    <w:p>
      <w:pPr>
        <w:pStyle w:val="Heading3"/>
        <w:spacing w:line="240" w:lineRule="auto"/>
        <w:ind w:left="154" w:right="889"/>
        <w:jc w:val="left"/>
        <w:rPr>
          <w:b w:val="0"/>
          <w:bCs w:val="0"/>
        </w:rPr>
      </w:pPr>
      <w:bookmarkStart w:name="（2）按预付对象归集的期末余额前五名的预付款情况" w:id="217"/>
      <w:bookmarkEnd w:id="21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line="3510" w:lineRule="exact"/>
        <w:ind w:left="154"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6591299" cy="2228850"/>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20" cstate="print"/>
                    <a:stretch>
                      <a:fillRect/>
                    </a:stretch>
                  </pic:blipFill>
                  <pic:spPr>
                    <a:xfrm>
                      <a:off x="0" y="0"/>
                      <a:ext cx="6591299" cy="2228850"/>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3"/>
        <w:rPr>
          <w:rFonts w:ascii="宋体" w:hAnsi="宋体" w:cs="宋体" w:eastAsia="宋体" w:hint="default"/>
          <w:b/>
          <w:bCs/>
          <w:sz w:val="28"/>
          <w:szCs w:val="28"/>
        </w:rPr>
      </w:pPr>
    </w:p>
    <w:p>
      <w:pPr>
        <w:spacing w:before="35"/>
        <w:ind w:left="153" w:right="889" w:firstLine="0"/>
        <w:jc w:val="left"/>
        <w:rPr>
          <w:rFonts w:ascii="宋体" w:hAnsi="宋体" w:cs="宋体" w:eastAsia="宋体" w:hint="default"/>
          <w:sz w:val="21"/>
          <w:szCs w:val="21"/>
        </w:rPr>
      </w:pPr>
      <w:bookmarkStart w:name="5、其他应收款" w:id="218"/>
      <w:bookmarkEnd w:id="21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889" w:firstLine="0"/>
        <w:jc w:val="left"/>
        <w:rPr>
          <w:rFonts w:ascii="宋体" w:hAnsi="宋体" w:cs="宋体" w:eastAsia="宋体" w:hint="default"/>
          <w:sz w:val="21"/>
          <w:szCs w:val="21"/>
        </w:rPr>
      </w:pPr>
      <w:bookmarkStart w:name="（1）其他应收款分类披露" w:id="219"/>
      <w:bookmarkEnd w:id="2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74,627,9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11.02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6,030,73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68,597,17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8.82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48,839,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433.92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3,511,234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45,328,199.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r>
      <w:tr>
        <w:trPr>
          <w:trHeight w:val="1027"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1,241,08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1,241,08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470,034</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470,034.0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75,868,9</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94.23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7,271,81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68,597,17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8.82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49,309,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467.92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3,981,268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45,328,199.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59,346,305.55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2,967,315.28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8,567,542.49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856,754.25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5,887,847.53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1,766,354.26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735,546.50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367,773.25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90,668.95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72,535.16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74,627,911.02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6,030,732.20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8.08%</w:t>
            </w:r>
          </w:p>
        </w:tc>
      </w:tr>
    </w:tbl>
    <w:p>
      <w:pPr>
        <w:pStyle w:val="BodyText"/>
        <w:spacing w:line="360" w:lineRule="auto" w:before="51"/>
        <w:ind w:right="4273"/>
        <w:jc w:val="left"/>
      </w:pPr>
      <w:r>
        <w:rPr/>
        <w:t>确定该组合依据的说明： 公司其他应收账款的坏账风险主要与账龄相关，故以账龄作为信用风险组合依据。 组合中，采用余额百分比法计提坏账准备的其他应收款：</w:t>
      </w:r>
    </w:p>
    <w:p>
      <w:pPr>
        <w:pStyle w:val="BodyText"/>
        <w:spacing w:line="240" w:lineRule="auto" w:before="26"/>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89"/>
        <w:jc w:val="left"/>
        <w:rPr>
          <w:b w:val="0"/>
          <w:bCs w:val="0"/>
        </w:rPr>
      </w:pPr>
      <w:bookmarkStart w:name="（2）本期计提、收回或转回的坏账准备情况" w:id="220"/>
      <w:bookmarkEnd w:id="22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889"/>
        <w:jc w:val="left"/>
      </w:pPr>
      <w:r>
        <w:rPr/>
        <w:t>本期计提坏账准备金额</w:t>
      </w:r>
      <w:r>
        <w:rPr>
          <w:spacing w:val="-47"/>
        </w:rPr>
        <w:t> </w:t>
      </w:r>
      <w:r>
        <w:rPr>
          <w:rFonts w:ascii="Times New Roman" w:hAnsi="Times New Roman" w:cs="Times New Roman" w:eastAsia="Times New Roman" w:hint="default"/>
        </w:rPr>
        <w:t>3,290,546.70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889"/>
        <w:jc w:val="left"/>
        <w:rPr>
          <w:b w:val="0"/>
          <w:bCs w:val="0"/>
        </w:rPr>
      </w:pPr>
      <w:bookmarkStart w:name="（3）其他应收款按款项性质分类情况" w:id="221"/>
      <w:bookmarkEnd w:id="221"/>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投标、履约及农民工保证金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55,985,053.17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35,870,196.20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7,298,349.43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7,917,756.29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诚意金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押金及其他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6,585,591.63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5,521,515.43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75,868,994.23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49,309,467.92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89"/>
        <w:jc w:val="left"/>
        <w:rPr>
          <w:b w:val="0"/>
          <w:bCs w:val="0"/>
        </w:rPr>
      </w:pPr>
      <w:bookmarkStart w:name="（4）按欠款方归集的期末余额前五名的其他应收款情况" w:id="222"/>
      <w:bookmarkEnd w:id="222"/>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诚意金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4,317,780.90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215,889.05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124,950.00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2.11%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17,416,780.90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870,839.05</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6、存货" w:id="223"/>
      <w:bookmarkEnd w:id="223"/>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存货分类" w:id="224"/>
      <w:bookmarkEnd w:id="2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1,607,439.90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1,607,439.90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4,060,036.50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4,060,036.50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125,094,595.36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2,719,858.26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122,374,737.10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75,244,126.28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2,719,858.26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72,524,268.02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126,702,035.26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2,719,858.26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123,982,177.00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79,304,162.78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2,719,858.26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76,584,304.52</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存货跌价准备" w:id="225"/>
      <w:bookmarkEnd w:id="22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2,719,858.26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2,719,858.26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2,719,858.26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2,719,858.26</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3）存货期末余额含有借款费用资本化金额的说明" w:id="226"/>
      <w:bookmarkEnd w:id="22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889"/>
        <w:jc w:val="left"/>
      </w:pPr>
      <w:r>
        <w:rPr/>
        <w:t>无</w:t>
      </w:r>
    </w:p>
    <w:p>
      <w:pPr>
        <w:spacing w:line="240" w:lineRule="auto" w:before="11"/>
        <w:rPr>
          <w:rFonts w:ascii="宋体" w:hAnsi="宋体" w:cs="宋体" w:eastAsia="宋体" w:hint="default"/>
          <w:sz w:val="26"/>
          <w:szCs w:val="26"/>
        </w:rPr>
      </w:pPr>
    </w:p>
    <w:p>
      <w:pPr>
        <w:pStyle w:val="Heading3"/>
        <w:spacing w:line="240" w:lineRule="auto"/>
        <w:ind w:left="154" w:right="889"/>
        <w:jc w:val="left"/>
        <w:rPr>
          <w:b w:val="0"/>
          <w:bCs w:val="0"/>
        </w:rPr>
      </w:pPr>
      <w:bookmarkStart w:name="（4）期末建造合同形成的已完工未结算资产情况" w:id="227"/>
      <w:bookmarkEnd w:id="22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2,584,616,767.42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441,688,495.47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797"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2,903,930,525.79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122,374,737.10</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7、其他流动资产" w:id="228"/>
      <w:bookmarkEnd w:id="228"/>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35,579.25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35,579.25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1,977.00</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8、长期股权投资" w:id="229"/>
      <w:bookmarkEnd w:id="229"/>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赛格物业</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37,889,99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2,564,916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40,454,91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引爆互联 网</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w w:val="95"/>
                <w:sz w:val="18"/>
              </w:rPr>
              <w:t>-77,033.1</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9,922,966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47,889,99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2,487,883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50,377,88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2.17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47,889,99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2,487,883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50,377,88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2.17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9、固定资产" w:id="230"/>
      <w:bookmarkEnd w:id="230"/>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8"/>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固定资产情况"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房屋建筑物装修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133,520,760.08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19,317,641.45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9,687,842.75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1,994,473.98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8,995,159.82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173,515,878.08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46,897,663.98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812,577.23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987,719.72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48,697,960.93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46,897,663.98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812,577.23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987,719.72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48,697,960.93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83,775.00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89,031.42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83,775.00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89,031.42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180,418,424.06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19,317,641.45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9,687,842.75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2,723,276.21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9,977,623.12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222,124,807.59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22,000,031.92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13,096,107.69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6,089,734.01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985,471.91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5,764,833.31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47,936,178.84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6,527,872.63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4,535,386.40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696,664.10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358,463.95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1,508,747.60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13,627,134.68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6,527,872.63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4,535,386.40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696,664.10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358,463.95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1,508,747.60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13,627,134.68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71,627.76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74,229.81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71,627.76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74,229.81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28,527,904.55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17,631,494.09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6,786,398.11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1,272,308.10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7,270,978.86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61,489,083.71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151,890,519.51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1,686,147.36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2,901,444.64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1,450,968.11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2,706,644.26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160,635,723.88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111,520,728.16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6,221,533.76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3,598,108.74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1,009,002.07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3,230,326.51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125,579,699.24</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未办妥产权证书的固定资产情况" w:id="232"/>
      <w:bookmarkEnd w:id="232"/>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莲馨家园三套</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1,364,955.62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政府人才住房</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10、在建工程" w:id="233"/>
      <w:bookmarkEnd w:id="233"/>
      <w:r>
        <w:rPr>
          <w:b w:val="0"/>
          <w:bCs w:val="0"/>
        </w:rPr>
      </w:r>
      <w:r>
        <w:rPr>
          <w:rFonts w:ascii="Times New Roman" w:hAnsi="Times New Roman" w:cs="Times New Roman" w:eastAsia="Times New Roman" w:hint="default"/>
        </w:rPr>
        <w:t>10</w:t>
      </w:r>
      <w:r>
        <w:rPr/>
        <w:t>、在建工程</w:t>
      </w:r>
      <w:r>
        <w:rPr>
          <w:b w:val="0"/>
          <w:bCs w:val="0"/>
        </w:rPr>
      </w:r>
    </w:p>
    <w:p>
      <w:pPr>
        <w:spacing w:line="240" w:lineRule="auto" w:before="8"/>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在建工程情况" w:id="234"/>
      <w:bookmarkEnd w:id="2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部品部件工厂化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761,233.92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761,233.92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生产项目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13" w:right="0"/>
              <w:jc w:val="left"/>
              <w:rPr>
                <w:rFonts w:ascii="Times New Roman" w:hAnsi="Times New Roman" w:cs="Times New Roman" w:eastAsia="Times New Roman" w:hint="default"/>
                <w:sz w:val="18"/>
                <w:szCs w:val="18"/>
              </w:rPr>
            </w:pPr>
            <w:r>
              <w:rPr>
                <w:rFonts w:ascii="Times New Roman"/>
                <w:sz w:val="18"/>
              </w:rPr>
              <w:t>761,233.92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761,233.92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重要在建工程项目本期变动情况" w:id="235"/>
      <w:bookmarkEnd w:id="23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部品部 件工厂 化生产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239,815,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761,233.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761,233.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0.32%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5"/>
              <w:jc w:val="right"/>
              <w:rPr>
                <w:rFonts w:ascii="Times New Roman" w:hAnsi="Times New Roman" w:cs="Times New Roman" w:eastAsia="Times New Roman" w:hint="default"/>
                <w:sz w:val="18"/>
                <w:szCs w:val="18"/>
              </w:rPr>
            </w:pPr>
            <w:r>
              <w:rPr>
                <w:rFonts w:ascii="Times New Roman"/>
                <w:sz w:val="18"/>
              </w:rPr>
              <w:t>0.32%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239,815,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761,233.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761,233.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11、无形资产" w:id="236"/>
      <w:bookmarkEnd w:id="236"/>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8"/>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无形资产情况" w:id="237"/>
      <w:bookmarkEnd w:id="2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52,962,600.00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4,703,464.04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57,666,064.04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173,603.36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24,173,603.36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173,603.36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24,173,603.36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52,962,600.00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4,877,067.40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81,839,667.40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3,883,924.00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1,842,711.30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5,726,635.30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1,059,252.00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818,255.25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2,277,507.25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1,059,252.00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818,255.25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2,277,507.25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4,943,176.00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2,660,966.55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8,004,142.55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48,019,424.00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2,216,100.85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73,835,524.85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49,078,676.00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2,860,752.74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51,939,428.74</w:t>
            </w:r>
          </w:p>
        </w:tc>
      </w:tr>
    </w:tbl>
    <w:p>
      <w:pPr>
        <w:pStyle w:val="BodyText"/>
        <w:spacing w:line="240" w:lineRule="auto" w:before="51"/>
        <w:ind w:left="154" w:right="889"/>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889"/>
        <w:jc w:val="left"/>
        <w:rPr>
          <w:b w:val="0"/>
          <w:bCs w:val="0"/>
        </w:rPr>
      </w:pPr>
      <w:bookmarkStart w:name="12、商誉" w:id="238"/>
      <w:bookmarkEnd w:id="238"/>
      <w:r>
        <w:rPr>
          <w:b w:val="0"/>
          <w:bCs w:val="0"/>
        </w:rPr>
      </w:r>
      <w:r>
        <w:rPr>
          <w:rFonts w:ascii="Times New Roman" w:hAnsi="Times New Roman" w:cs="Times New Roman" w:eastAsia="Times New Roman" w:hint="default"/>
        </w:rPr>
        <w:t>12</w:t>
      </w:r>
      <w:r>
        <w:rPr/>
        <w:t>、商誉</w:t>
      </w:r>
      <w:r>
        <w:rPr>
          <w:b w:val="0"/>
          <w:bCs w:val="0"/>
        </w:rPr>
      </w:r>
    </w:p>
    <w:p>
      <w:pPr>
        <w:spacing w:line="240" w:lineRule="auto" w:before="10"/>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商誉账面原值" w:id="239"/>
      <w:bookmarkEnd w:id="2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57"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356"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9" w:space="0" w:color="D2D2D2"/>
              <w:right w:val="single" w:sz="9" w:space="0" w:color="D2D2D2"/>
            </w:tcBorders>
            <w:shd w:val="clear" w:color="auto" w:fill="E0FFFF"/>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0"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6"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vMerge/>
            <w:tcBorders>
              <w:left w:val="single" w:sz="9"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tcBorders>
              <w:left w:val="single" w:sz="10" w:space="0" w:color="D2D2D2"/>
              <w:right w:val="single" w:sz="9" w:space="0" w:color="D2D2D2"/>
            </w:tcBorders>
            <w:shd w:val="clear" w:color="auto" w:fill="E0FFFF"/>
          </w:tcPr>
          <w:p>
            <w:pP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9" w:space="0" w:color="D2D2D2"/>
              <w:bottom w:val="single" w:sz="4" w:space="0" w:color="000000"/>
              <w:right w:val="single" w:sz="9" w:space="0" w:color="D2D2D2"/>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10" w:space="0" w:color="D2D2D2"/>
              <w:bottom w:val="single" w:sz="4" w:space="0" w:color="000000"/>
              <w:right w:val="single" w:sz="9" w:space="0" w:color="D2D2D2"/>
            </w:tcBorders>
            <w:shd w:val="clear" w:color="auto" w:fill="E0FFFF"/>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中装园林</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144,882.75</w:t>
            </w:r>
          </w:p>
        </w:tc>
        <w:tc>
          <w:tcPr>
            <w:tcW w:w="1368" w:type="dxa"/>
            <w:tcBorders>
              <w:top w:val="single" w:sz="44" w:space="0" w:color="D2D2D2"/>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4" w:space="0" w:color="D2D2D2"/>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144,882.75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144,882.75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144,882.75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4" w:right="889"/>
        <w:jc w:val="left"/>
        <w:rPr>
          <w:b w:val="0"/>
          <w:bCs w:val="0"/>
        </w:rPr>
      </w:pPr>
      <w:bookmarkStart w:name="13、长期待摊费用" w:id="240"/>
      <w:bookmarkEnd w:id="240"/>
      <w:r>
        <w:rPr>
          <w:b w:val="0"/>
          <w:bCs w:val="0"/>
        </w:rPr>
      </w:r>
      <w:r>
        <w:rPr>
          <w:rFonts w:ascii="Times New Roman" w:hAnsi="Times New Roman" w:cs="Times New Roman" w:eastAsia="Times New Roman" w:hint="default"/>
        </w:rPr>
        <w:t>13</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租赁房产办公室装 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2,050,499.58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1,359,397.21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1,691,786.69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1,718,110.10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2,050,499.58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1,359,397.21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1,691,786.69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1,718,110.10</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14、递延所得税资产/递延所得税负债" w:id="241"/>
      <w:bookmarkEnd w:id="241"/>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spacing w:before="0"/>
        <w:ind w:left="153" w:right="889" w:firstLine="0"/>
        <w:jc w:val="left"/>
        <w:rPr>
          <w:rFonts w:ascii="宋体" w:hAnsi="宋体" w:cs="宋体" w:eastAsia="宋体" w:hint="default"/>
          <w:sz w:val="21"/>
          <w:szCs w:val="21"/>
        </w:rPr>
      </w:pPr>
      <w:bookmarkStart w:name="（1）未经抵销的递延所得税资产" w:id="242"/>
      <w:bookmarkEnd w:id="2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2,719,858.26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407,978.74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2,719,858.26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407,978.74</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2,719,858.26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407,978.74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2,719,858.26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407,978.74</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15、其他非流动资产" w:id="243"/>
      <w:bookmarkEnd w:id="243"/>
      <w:r>
        <w:rPr>
          <w:b w:val="0"/>
          <w:bCs w:val="0"/>
        </w:rPr>
      </w:r>
      <w:r>
        <w:rPr>
          <w:rFonts w:ascii="Times New Roman" w:hAnsi="Times New Roman" w:cs="Times New Roman" w:eastAsia="Times New Roman" w:hint="default"/>
        </w:rPr>
        <w:t>15</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长期资产的预付款项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2,693,517.18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2,693,517.18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16、短期借款" w:id="244"/>
      <w:bookmarkEnd w:id="244"/>
      <w:r>
        <w:rPr>
          <w:b w:val="0"/>
          <w:bCs w:val="0"/>
        </w:rPr>
      </w:r>
      <w:r>
        <w:rPr>
          <w:rFonts w:ascii="Times New Roman" w:hAnsi="Times New Roman" w:cs="Times New Roman" w:eastAsia="Times New Roman" w:hint="default"/>
        </w:rPr>
        <w:t>16</w:t>
      </w:r>
      <w:r>
        <w:rPr/>
        <w:t>、短期借款</w:t>
      </w:r>
      <w:r>
        <w:rPr>
          <w:b w:val="0"/>
          <w:bCs w:val="0"/>
        </w:rPr>
      </w:r>
    </w:p>
    <w:p>
      <w:pPr>
        <w:spacing w:line="240" w:lineRule="auto" w:before="8"/>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短期借款分类"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970,000,000.00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669,000,000.00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970,000,000.00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669,000,000.00</w:t>
            </w:r>
          </w:p>
        </w:tc>
      </w:tr>
    </w:tbl>
    <w:p>
      <w:pPr>
        <w:pStyle w:val="BodyText"/>
        <w:spacing w:line="357" w:lineRule="auto" w:before="51"/>
        <w:ind w:left="154" w:right="5802"/>
        <w:jc w:val="left"/>
      </w:pPr>
      <w:r>
        <w:rPr/>
        <w:t>短期借款分类的说明： 保证借款担保情况详见本财务报告附注十一、</w:t>
      </w:r>
      <w:r>
        <w:rPr>
          <w:rFonts w:ascii="Times New Roman" w:hAnsi="Times New Roman" w:cs="Times New Roman" w:eastAsia="Times New Roman" w:hint="default"/>
        </w:rPr>
        <w:t>5</w:t>
      </w:r>
      <w:r>
        <w:rPr/>
        <w:t>关联方交易情况</w:t>
      </w:r>
    </w:p>
    <w:p>
      <w:pPr>
        <w:spacing w:line="240" w:lineRule="auto" w:before="6"/>
        <w:rPr>
          <w:rFonts w:ascii="宋体" w:hAnsi="宋体" w:cs="宋体" w:eastAsia="宋体" w:hint="default"/>
          <w:sz w:val="18"/>
          <w:szCs w:val="18"/>
        </w:rPr>
      </w:pPr>
    </w:p>
    <w:p>
      <w:pPr>
        <w:pStyle w:val="Heading3"/>
        <w:spacing w:line="240" w:lineRule="auto"/>
        <w:ind w:left="154" w:right="889"/>
        <w:jc w:val="left"/>
        <w:rPr>
          <w:b w:val="0"/>
          <w:bCs w:val="0"/>
        </w:rPr>
      </w:pPr>
      <w:bookmarkStart w:name="17、应付票据" w:id="246"/>
      <w:bookmarkEnd w:id="246"/>
      <w:r>
        <w:rPr>
          <w:b w:val="0"/>
          <w:bCs w:val="0"/>
        </w:rPr>
      </w:r>
      <w:r>
        <w:rPr>
          <w:rFonts w:ascii="Times New Roman" w:hAnsi="Times New Roman" w:cs="Times New Roman" w:eastAsia="Times New Roman" w:hint="default"/>
        </w:rPr>
        <w:t>17</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13,057,835.40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22,688,837.98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13,057,835.40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22,688,837.98</w:t>
            </w:r>
          </w:p>
        </w:tc>
      </w:tr>
    </w:tbl>
    <w:p>
      <w:pPr>
        <w:pStyle w:val="BodyText"/>
        <w:spacing w:line="240" w:lineRule="auto" w:before="51"/>
        <w:ind w:left="154" w:right="889"/>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4" w:right="889"/>
        <w:jc w:val="left"/>
        <w:rPr>
          <w:b w:val="0"/>
          <w:bCs w:val="0"/>
        </w:rPr>
      </w:pPr>
      <w:bookmarkStart w:name="18、应付账款" w:id="247"/>
      <w:bookmarkEnd w:id="247"/>
      <w:r>
        <w:rPr>
          <w:b w:val="0"/>
          <w:bCs w:val="0"/>
        </w:rPr>
      </w:r>
      <w:r>
        <w:rPr>
          <w:rFonts w:ascii="Times New Roman" w:hAnsi="Times New Roman" w:cs="Times New Roman" w:eastAsia="Times New Roman" w:hint="default"/>
        </w:rPr>
        <w:t>18</w:t>
      </w:r>
      <w:r>
        <w:rPr/>
        <w:t>、应付账款</w:t>
      </w:r>
      <w:r>
        <w:rPr>
          <w:b w:val="0"/>
          <w:bCs w:val="0"/>
        </w:rPr>
      </w:r>
    </w:p>
    <w:p>
      <w:pPr>
        <w:spacing w:line="240" w:lineRule="auto" w:before="10"/>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应付账款列示" w:id="248"/>
      <w:bookmarkEnd w:id="2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701,427,523.95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529,245,192.71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33,446,115.58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45,106,843.94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2,487,778.15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2,610,824.55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54,860.87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737,416,278.55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576,962,861.20</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19、预收款项" w:id="249"/>
      <w:bookmarkEnd w:id="249"/>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8"/>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预收款项列示" w:id="250"/>
      <w:bookmarkEnd w:id="2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50,205,476.77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20,744,957.11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3,703,080.57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776,300.00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776,300.00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54,684,857.34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21,521,257.11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89"/>
        <w:jc w:val="left"/>
        <w:rPr>
          <w:b w:val="0"/>
          <w:bCs w:val="0"/>
        </w:rPr>
      </w:pPr>
      <w:bookmarkStart w:name="20、应付职工薪酬" w:id="251"/>
      <w:bookmarkEnd w:id="251"/>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8"/>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应付职工薪酬列示" w:id="252"/>
      <w:bookmarkEnd w:id="2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5,681,684.69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74,052,219.97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67,831,339.27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11,902,565.39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4,541,715.07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4,541,715.07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5,681,684.69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78,593,935.04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72,373,054.34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11,902,565.39</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短期薪酬列示" w:id="253"/>
      <w:bookmarkEnd w:id="25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5,681,684.69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66,084,497.62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59,863,616.92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11,902,565.39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2,934,305.32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2,934,305.32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2,069,077.59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2,069,077.59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1,699,262.64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1,699,262.64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206,541.81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206,541.81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163,273.14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163,273.14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1,515,077.00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1,515,077.00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1,449,262.44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1,449,262.44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5,681,684.69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74,052,219.97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67,831,339.27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11,902,565.39</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3）设定提存计划列示" w:id="254"/>
      <w:bookmarkEnd w:id="25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4,378,694.36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4,378,694.36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163,020.71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163,020.71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4,541,715.07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4,541,715.07</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1、应交税费" w:id="255"/>
      <w:bookmarkEnd w:id="255"/>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150,473,518.35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98,276,663.23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13,515,669.66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9,447,047.16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298,551.88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375,453.94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12,871,811.42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8,355,725.83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8,666,242.44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5,479,739.38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296,370.11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296,369.95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186,122,163.86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122,230,999.49</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2、其他应付款" w:id="256"/>
      <w:bookmarkEnd w:id="256"/>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8"/>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按款项性质列示其他应付款" w:id="257"/>
      <w:bookmarkEnd w:id="2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应付发行费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应付专利费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690,173.90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1,241,469.53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应付未终止确认商业承兑汇票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879,000.00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1,950,286.80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3,633,625.79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17,519,460.70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9,730,095.32</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3、长期借款" w:id="258"/>
      <w:bookmarkEnd w:id="258"/>
      <w:r>
        <w:rPr>
          <w:b w:val="0"/>
          <w:bCs w:val="0"/>
        </w:rPr>
      </w:r>
      <w:r>
        <w:rPr>
          <w:rFonts w:ascii="Times New Roman" w:hAnsi="Times New Roman" w:cs="Times New Roman" w:eastAsia="Times New Roman" w:hint="default"/>
        </w:rPr>
        <w:t>23</w:t>
      </w:r>
      <w:r>
        <w:rPr/>
        <w:t>、长期借款</w:t>
      </w:r>
      <w:r>
        <w:rPr>
          <w:b w:val="0"/>
          <w:bCs w:val="0"/>
        </w:rPr>
      </w:r>
    </w:p>
    <w:p>
      <w:pPr>
        <w:spacing w:line="240" w:lineRule="auto" w:before="8"/>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长期借款分类" w:id="259"/>
      <w:bookmarkEnd w:id="2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5766"/>
        <w:jc w:val="left"/>
      </w:pPr>
      <w:r>
        <w:rPr/>
        <w:t>长期借款分类的说明： 保证借款担保情况详见本财务报表附注十一、</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关联方交易情况</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89"/>
        <w:jc w:val="left"/>
        <w:rPr>
          <w:b w:val="0"/>
          <w:bCs w:val="0"/>
        </w:rPr>
      </w:pPr>
      <w:bookmarkStart w:name="24、预计负债" w:id="260"/>
      <w:bookmarkEnd w:id="260"/>
      <w:r>
        <w:rPr>
          <w:b w:val="0"/>
          <w:bCs w:val="0"/>
        </w:rPr>
      </w:r>
      <w:r>
        <w:rPr>
          <w:rFonts w:ascii="Times New Roman" w:hAnsi="Times New Roman" w:cs="Times New Roman" w:eastAsia="Times New Roman" w:hint="default"/>
        </w:rPr>
        <w:t>24</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对外提供担保</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未决诉讼</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重组义务</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5、递延收益" w:id="261"/>
      <w:bookmarkEnd w:id="261"/>
      <w:r>
        <w:rPr>
          <w:b w:val="0"/>
          <w:bCs w:val="0"/>
        </w:rPr>
      </w:r>
      <w:r>
        <w:rPr>
          <w:rFonts w:ascii="Times New Roman" w:hAnsi="Times New Roman" w:cs="Times New Roman" w:eastAsia="Times New Roman" w:hint="default"/>
        </w:rPr>
        <w:t>25</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4,616,514.08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281,209.08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4,335,305.00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4,616,514.08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281,209.08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4,335,305.00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889"/>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深圳市罗湖 区产业转型 升级专项资 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4,616,514.08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281,209.08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4,335,305.00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center"/>
              <w:rPr>
                <w:rFonts w:ascii="Times New Roman" w:hAnsi="Times New Roman" w:cs="Times New Roman" w:eastAsia="Times New Roman" w:hint="default"/>
                <w:sz w:val="18"/>
                <w:szCs w:val="18"/>
              </w:rPr>
            </w:pPr>
            <w:r>
              <w:rPr>
                <w:rFonts w:ascii="Times New Roman"/>
                <w:sz w:val="18"/>
              </w:rPr>
              <w:t>4,616,514.08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281,209.08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74" w:right="0"/>
              <w:jc w:val="center"/>
              <w:rPr>
                <w:rFonts w:ascii="Times New Roman" w:hAnsi="Times New Roman" w:cs="Times New Roman" w:eastAsia="Times New Roman" w:hint="default"/>
                <w:sz w:val="18"/>
                <w:szCs w:val="18"/>
              </w:rPr>
            </w:pPr>
            <w:r>
              <w:rPr>
                <w:rFonts w:ascii="Times New Roman"/>
                <w:sz w:val="18"/>
              </w:rPr>
              <w:t>4,335,305.00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6、股本" w:id="262"/>
      <w:bookmarkEnd w:id="262"/>
      <w:r>
        <w:rPr>
          <w:b w:val="0"/>
          <w:bCs w:val="0"/>
        </w:rPr>
      </w:r>
      <w:r>
        <w:rPr>
          <w:rFonts w:ascii="Times New Roman" w:hAnsi="Times New Roman" w:cs="Times New Roman" w:eastAsia="Times New Roman" w:hint="default"/>
        </w:rPr>
        <w:t>26</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300,000,000.00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300,000,000.00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300,000,000.00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600,000,000.00</w:t>
            </w:r>
          </w:p>
        </w:tc>
      </w:tr>
    </w:tbl>
    <w:p>
      <w:pPr>
        <w:pStyle w:val="BodyText"/>
        <w:spacing w:line="240" w:lineRule="auto" w:before="51"/>
        <w:ind w:left="154" w:right="889"/>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889"/>
        <w:jc w:val="left"/>
      </w:pPr>
      <w:r>
        <w:rPr/>
        <w:t>（</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49"/>
        </w:rPr>
        <w:t> </w:t>
      </w:r>
      <w:r>
        <w:rPr/>
        <w:t>年</w:t>
      </w:r>
      <w:r>
        <w:rPr>
          <w:spacing w:val="-48"/>
        </w:rPr>
        <w:t> </w:t>
      </w:r>
      <w:r>
        <w:rPr>
          <w:rFonts w:ascii="宋体" w:hAnsi="宋体" w:cs="宋体" w:eastAsia="宋体" w:hint="default"/>
        </w:rPr>
        <w:t>5</w:t>
      </w:r>
      <w:r>
        <w:rPr>
          <w:rFonts w:ascii="宋体" w:hAnsi="宋体" w:cs="宋体" w:eastAsia="宋体" w:hint="default"/>
          <w:spacing w:val="-48"/>
        </w:rPr>
        <w:t> </w:t>
      </w:r>
      <w:r>
        <w:rPr/>
        <w:t>月</w:t>
      </w:r>
      <w:r>
        <w:rPr>
          <w:spacing w:val="-49"/>
        </w:rPr>
        <w:t> </w:t>
      </w:r>
      <w:r>
        <w:rPr>
          <w:rFonts w:ascii="宋体" w:hAnsi="宋体" w:cs="宋体" w:eastAsia="宋体" w:hint="default"/>
        </w:rPr>
        <w:t>12</w:t>
      </w:r>
      <w:r>
        <w:rPr>
          <w:rFonts w:ascii="宋体" w:hAnsi="宋体" w:cs="宋体" w:eastAsia="宋体" w:hint="default"/>
          <w:spacing w:val="-49"/>
        </w:rPr>
        <w:t> </w:t>
      </w:r>
      <w:r>
        <w:rPr/>
        <w:t>日，根据股东大会决议，公司以</w:t>
      </w:r>
      <w:r>
        <w:rPr>
          <w:spacing w:val="-49"/>
        </w:rPr>
        <w:t> </w:t>
      </w:r>
      <w:r>
        <w:rPr>
          <w:rFonts w:ascii="宋体" w:hAnsi="宋体" w:cs="宋体" w:eastAsia="宋体" w:hint="default"/>
        </w:rPr>
        <w:t>2016</w:t>
      </w:r>
      <w:r>
        <w:rPr>
          <w:rFonts w:ascii="宋体" w:hAnsi="宋体" w:cs="宋体" w:eastAsia="宋体" w:hint="default"/>
          <w:spacing w:val="-48"/>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t>日股份总数</w:t>
      </w:r>
      <w:r>
        <w:rPr>
          <w:spacing w:val="-49"/>
        </w:rPr>
        <w:t> </w:t>
      </w:r>
      <w:r>
        <w:rPr>
          <w:rFonts w:ascii="宋体" w:hAnsi="宋体" w:cs="宋体" w:eastAsia="宋体" w:hint="default"/>
        </w:rPr>
        <w:t>30,000.00</w:t>
      </w:r>
      <w:r>
        <w:rPr>
          <w:rFonts w:ascii="宋体" w:hAnsi="宋体" w:cs="宋体" w:eastAsia="宋体" w:hint="default"/>
          <w:spacing w:val="-49"/>
        </w:rPr>
        <w:t> </w:t>
      </w:r>
      <w:r>
        <w:rPr/>
        <w:t>万股为基数，以资本公积金向</w:t>
      </w:r>
    </w:p>
    <w:p>
      <w:pPr>
        <w:pStyle w:val="BodyText"/>
        <w:spacing w:line="240" w:lineRule="auto" w:before="77"/>
        <w:ind w:left="154" w:right="889"/>
        <w:jc w:val="left"/>
      </w:pPr>
      <w:r>
        <w:rPr/>
        <w:t>每位股东每</w:t>
      </w:r>
      <w:r>
        <w:rPr>
          <w:spacing w:val="-46"/>
        </w:rPr>
        <w:t> </w:t>
      </w:r>
      <w:r>
        <w:rPr>
          <w:rFonts w:ascii="宋体" w:hAnsi="宋体" w:cs="宋体" w:eastAsia="宋体" w:hint="default"/>
        </w:rPr>
        <w:t>10</w:t>
      </w:r>
      <w:r>
        <w:rPr>
          <w:rFonts w:ascii="宋体" w:hAnsi="宋体" w:cs="宋体" w:eastAsia="宋体" w:hint="default"/>
          <w:spacing w:val="-45"/>
        </w:rPr>
        <w:t> </w:t>
      </w:r>
      <w:r>
        <w:rPr/>
        <w:t>股转增</w:t>
      </w:r>
      <w:r>
        <w:rPr>
          <w:spacing w:val="-46"/>
        </w:rPr>
        <w:t> </w:t>
      </w:r>
      <w:r>
        <w:rPr>
          <w:rFonts w:ascii="宋体" w:hAnsi="宋体" w:cs="宋体" w:eastAsia="宋体" w:hint="default"/>
        </w:rPr>
        <w:t>10</w:t>
      </w:r>
      <w:r>
        <w:rPr>
          <w:rFonts w:ascii="宋体" w:hAnsi="宋体" w:cs="宋体" w:eastAsia="宋体" w:hint="default"/>
          <w:spacing w:val="-46"/>
        </w:rPr>
        <w:t> </w:t>
      </w:r>
      <w:r>
        <w:rPr/>
        <w:t>股，共计转增</w:t>
      </w:r>
      <w:r>
        <w:rPr>
          <w:spacing w:val="-46"/>
        </w:rPr>
        <w:t> </w:t>
      </w:r>
      <w:r>
        <w:rPr>
          <w:rFonts w:ascii="宋体" w:hAnsi="宋体" w:cs="宋体" w:eastAsia="宋体" w:hint="default"/>
        </w:rPr>
        <w:t>30,000.00</w:t>
      </w:r>
      <w:r>
        <w:rPr>
          <w:rFonts w:ascii="宋体" w:hAnsi="宋体" w:cs="宋体" w:eastAsia="宋体" w:hint="default"/>
          <w:spacing w:val="-46"/>
        </w:rPr>
        <w:t> </w:t>
      </w:r>
      <w:r>
        <w:rPr/>
        <w:t>万股，变更后的注册资本为</w:t>
      </w:r>
      <w:r>
        <w:rPr>
          <w:spacing w:val="-46"/>
        </w:rPr>
        <w:t> </w:t>
      </w:r>
      <w:r>
        <w:rPr>
          <w:rFonts w:ascii="宋体" w:hAnsi="宋体" w:cs="宋体" w:eastAsia="宋体" w:hint="default"/>
        </w:rPr>
        <w:t>60,000.00</w:t>
      </w:r>
      <w:r>
        <w:rPr>
          <w:rFonts w:ascii="宋体" w:hAnsi="宋体" w:cs="宋体" w:eastAsia="宋体" w:hint="default"/>
          <w:spacing w:val="-46"/>
        </w:rPr>
        <w:t> </w:t>
      </w:r>
      <w:r>
        <w:rPr/>
        <w:t>万元。</w:t>
      </w:r>
    </w:p>
    <w:p>
      <w:pPr>
        <w:pStyle w:val="BodyText"/>
        <w:spacing w:line="240" w:lineRule="auto" w:before="116"/>
        <w:ind w:right="889"/>
        <w:jc w:val="left"/>
      </w:pPr>
      <w:r>
        <w:rPr/>
        <w:t>（</w:t>
      </w:r>
      <w:r>
        <w:rPr>
          <w:rFonts w:ascii="宋体" w:hAnsi="宋体" w:cs="宋体" w:eastAsia="宋体" w:hint="default"/>
        </w:rPr>
        <w:t>2</w:t>
      </w:r>
      <w:r>
        <w:rPr/>
        <w:t>）其他说明</w:t>
      </w:r>
    </w:p>
    <w:p>
      <w:pPr>
        <w:pStyle w:val="BodyText"/>
        <w:spacing w:line="240" w:lineRule="auto" w:before="116"/>
        <w:ind w:right="889"/>
        <w:jc w:val="left"/>
      </w:pP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3</w:t>
      </w:r>
      <w:r>
        <w:rPr>
          <w:rFonts w:ascii="宋体" w:hAnsi="宋体" w:cs="宋体" w:eastAsia="宋体" w:hint="default"/>
          <w:spacing w:val="-43"/>
        </w:rPr>
        <w:t> </w:t>
      </w:r>
      <w:r>
        <w:rPr/>
        <w:t>月</w:t>
      </w:r>
      <w:r>
        <w:rPr>
          <w:spacing w:val="-44"/>
        </w:rPr>
        <w:t> </w:t>
      </w:r>
      <w:r>
        <w:rPr>
          <w:rFonts w:ascii="宋体" w:hAnsi="宋体" w:cs="宋体" w:eastAsia="宋体" w:hint="default"/>
        </w:rPr>
        <w:t>13</w:t>
      </w:r>
      <w:r>
        <w:rPr>
          <w:rFonts w:ascii="宋体" w:hAnsi="宋体" w:cs="宋体" w:eastAsia="宋体" w:hint="default"/>
          <w:spacing w:val="-43"/>
        </w:rPr>
        <w:t> </w:t>
      </w:r>
      <w:r>
        <w:rPr>
          <w:spacing w:val="-3"/>
        </w:rPr>
        <w:t>日，股东庄小红将其持有的限售流通股份</w:t>
      </w:r>
      <w:r>
        <w:rPr>
          <w:spacing w:val="-44"/>
        </w:rPr>
        <w:t> </w:t>
      </w:r>
      <w:r>
        <w:rPr>
          <w:rFonts w:ascii="宋体" w:hAnsi="宋体" w:cs="宋体" w:eastAsia="宋体" w:hint="default"/>
        </w:rPr>
        <w:t>51,200,000.00</w:t>
      </w:r>
      <w:r>
        <w:rPr>
          <w:rFonts w:ascii="宋体" w:hAnsi="宋体" w:cs="宋体" w:eastAsia="宋体" w:hint="default"/>
          <w:spacing w:val="-44"/>
        </w:rPr>
        <w:t> </w:t>
      </w:r>
      <w:r>
        <w:rPr/>
        <w:t>股质押给招商证券资产管理有限公司用于办理股票</w:t>
      </w:r>
    </w:p>
    <w:p>
      <w:pPr>
        <w:pStyle w:val="BodyText"/>
        <w:spacing w:line="240" w:lineRule="auto" w:before="78"/>
        <w:ind w:right="889"/>
        <w:jc w:val="left"/>
      </w:pPr>
      <w:r>
        <w:rPr/>
        <w:t>质押式回购交易业务，质押期限自</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6"/>
        </w:rPr>
        <w:t> </w:t>
      </w:r>
      <w:r>
        <w:rPr/>
        <w:t>月</w:t>
      </w:r>
      <w:r>
        <w:rPr>
          <w:spacing w:val="-46"/>
        </w:rPr>
        <w:t> </w:t>
      </w:r>
      <w:r>
        <w:rPr>
          <w:rFonts w:ascii="宋体" w:hAnsi="宋体" w:cs="宋体" w:eastAsia="宋体" w:hint="default"/>
        </w:rPr>
        <w:t>13</w:t>
      </w:r>
      <w:r>
        <w:rPr>
          <w:rFonts w:ascii="宋体" w:hAnsi="宋体" w:cs="宋体" w:eastAsia="宋体" w:hint="default"/>
          <w:spacing w:val="-46"/>
        </w:rPr>
        <w:t> </w:t>
      </w:r>
      <w:r>
        <w:rPr/>
        <w:t>日至</w:t>
      </w:r>
      <w:r>
        <w:rPr>
          <w:spacing w:val="-46"/>
        </w:rPr>
        <w:t> </w:t>
      </w:r>
      <w:r>
        <w:rPr>
          <w:rFonts w:ascii="宋体" w:hAnsi="宋体" w:cs="宋体" w:eastAsia="宋体" w:hint="default"/>
        </w:rPr>
        <w:t>2020</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12</w:t>
      </w:r>
      <w:r>
        <w:rPr>
          <w:rFonts w:ascii="宋体" w:hAnsi="宋体" w:cs="宋体" w:eastAsia="宋体" w:hint="default"/>
          <w:spacing w:val="-46"/>
        </w:rPr>
        <w:t> </w:t>
      </w:r>
      <w:r>
        <w:rPr/>
        <w:t>日止。</w:t>
      </w:r>
    </w:p>
    <w:p>
      <w:pPr>
        <w:pStyle w:val="BodyText"/>
        <w:spacing w:line="240" w:lineRule="auto" w:before="115"/>
        <w:ind w:right="889"/>
        <w:jc w:val="left"/>
      </w:pP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3</w:t>
      </w:r>
      <w:r>
        <w:rPr>
          <w:rFonts w:ascii="宋体" w:hAnsi="宋体" w:cs="宋体" w:eastAsia="宋体" w:hint="default"/>
          <w:spacing w:val="-43"/>
        </w:rPr>
        <w:t> </w:t>
      </w:r>
      <w:r>
        <w:rPr/>
        <w:t>月</w:t>
      </w:r>
      <w:r>
        <w:rPr>
          <w:spacing w:val="-44"/>
        </w:rPr>
        <w:t> </w:t>
      </w:r>
      <w:r>
        <w:rPr>
          <w:rFonts w:ascii="宋体" w:hAnsi="宋体" w:cs="宋体" w:eastAsia="宋体" w:hint="default"/>
        </w:rPr>
        <w:t>16</w:t>
      </w:r>
      <w:r>
        <w:rPr>
          <w:rFonts w:ascii="宋体" w:hAnsi="宋体" w:cs="宋体" w:eastAsia="宋体" w:hint="default"/>
          <w:spacing w:val="-43"/>
        </w:rPr>
        <w:t> </w:t>
      </w:r>
      <w:r>
        <w:rPr>
          <w:spacing w:val="-3"/>
        </w:rPr>
        <w:t>日，股东庄展诺将其持有的限售流通股份</w:t>
      </w:r>
      <w:r>
        <w:rPr>
          <w:spacing w:val="-44"/>
        </w:rPr>
        <w:t> </w:t>
      </w:r>
      <w:r>
        <w:rPr>
          <w:rFonts w:ascii="宋体" w:hAnsi="宋体" w:cs="宋体" w:eastAsia="宋体" w:hint="default"/>
        </w:rPr>
        <w:t>24,000,000.00</w:t>
      </w:r>
      <w:r>
        <w:rPr>
          <w:rFonts w:ascii="宋体" w:hAnsi="宋体" w:cs="宋体" w:eastAsia="宋体" w:hint="default"/>
          <w:spacing w:val="-44"/>
        </w:rPr>
        <w:t> </w:t>
      </w:r>
      <w:r>
        <w:rPr/>
        <w:t>股质押给华西证券股份有限公司用于办理股票质押</w:t>
      </w:r>
    </w:p>
    <w:p>
      <w:pPr>
        <w:pStyle w:val="BodyText"/>
        <w:spacing w:line="240" w:lineRule="auto" w:before="77"/>
        <w:ind w:right="889"/>
        <w:jc w:val="left"/>
      </w:pPr>
      <w:r>
        <w:rPr/>
        <w:t>式回购交易业务，质押期限自</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6"/>
        </w:rPr>
        <w:t> </w:t>
      </w:r>
      <w:r>
        <w:rPr/>
        <w:t>月</w:t>
      </w:r>
      <w:r>
        <w:rPr>
          <w:spacing w:val="-45"/>
        </w:rPr>
        <w:t> </w:t>
      </w:r>
      <w:r>
        <w:rPr>
          <w:rFonts w:ascii="宋体" w:hAnsi="宋体" w:cs="宋体" w:eastAsia="宋体" w:hint="default"/>
        </w:rPr>
        <w:t>16</w:t>
      </w:r>
      <w:r>
        <w:rPr>
          <w:rFonts w:ascii="宋体" w:hAnsi="宋体" w:cs="宋体" w:eastAsia="宋体" w:hint="default"/>
          <w:spacing w:val="-46"/>
        </w:rPr>
        <w:t> </w:t>
      </w:r>
      <w:r>
        <w:rPr/>
        <w:t>日至</w:t>
      </w:r>
      <w:r>
        <w:rPr>
          <w:spacing w:val="-46"/>
        </w:rPr>
        <w:t> </w:t>
      </w:r>
      <w:r>
        <w:rPr>
          <w:rFonts w:ascii="宋体" w:hAnsi="宋体" w:cs="宋体" w:eastAsia="宋体" w:hint="default"/>
        </w:rPr>
        <w:t>2020</w:t>
      </w:r>
      <w:r>
        <w:rPr>
          <w:rFonts w:ascii="宋体" w:hAnsi="宋体" w:cs="宋体" w:eastAsia="宋体" w:hint="default"/>
          <w:spacing w:val="-45"/>
        </w:rPr>
        <w:t> </w:t>
      </w:r>
      <w:r>
        <w:rPr/>
        <w:t>年</w:t>
      </w:r>
      <w:r>
        <w:rPr>
          <w:spacing w:val="-46"/>
        </w:rPr>
        <w:t> </w:t>
      </w:r>
      <w:r>
        <w:rPr>
          <w:rFonts w:ascii="宋体" w:hAnsi="宋体" w:cs="宋体" w:eastAsia="宋体" w:hint="default"/>
        </w:rPr>
        <w:t>3</w:t>
      </w:r>
      <w:r>
        <w:rPr>
          <w:rFonts w:ascii="宋体" w:hAnsi="宋体" w:cs="宋体" w:eastAsia="宋体" w:hint="default"/>
          <w:spacing w:val="-46"/>
        </w:rPr>
        <w:t> </w:t>
      </w:r>
      <w:r>
        <w:rPr/>
        <w:t>月</w:t>
      </w:r>
      <w:r>
        <w:rPr>
          <w:spacing w:val="-46"/>
        </w:rPr>
        <w:t> </w:t>
      </w:r>
      <w:r>
        <w:rPr>
          <w:rFonts w:ascii="宋体" w:hAnsi="宋体" w:cs="宋体" w:eastAsia="宋体" w:hint="default"/>
        </w:rPr>
        <w:t>15</w:t>
      </w:r>
      <w:r>
        <w:rPr>
          <w:rFonts w:ascii="宋体" w:hAnsi="宋体" w:cs="宋体" w:eastAsia="宋体" w:hint="default"/>
          <w:spacing w:val="-46"/>
        </w:rPr>
        <w:t> </w:t>
      </w:r>
      <w:r>
        <w:rPr/>
        <w:t>日止。</w:t>
      </w:r>
    </w:p>
    <w:p>
      <w:pPr>
        <w:pStyle w:val="BodyText"/>
        <w:spacing w:line="240" w:lineRule="auto" w:before="115"/>
        <w:ind w:right="889"/>
        <w:jc w:val="left"/>
      </w:pP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3</w:t>
      </w:r>
      <w:r>
        <w:rPr>
          <w:rFonts w:ascii="宋体" w:hAnsi="宋体" w:cs="宋体" w:eastAsia="宋体" w:hint="default"/>
          <w:spacing w:val="-43"/>
        </w:rPr>
        <w:t> </w:t>
      </w:r>
      <w:r>
        <w:rPr/>
        <w:t>月</w:t>
      </w:r>
      <w:r>
        <w:rPr>
          <w:spacing w:val="-44"/>
        </w:rPr>
        <w:t> </w:t>
      </w:r>
      <w:r>
        <w:rPr>
          <w:rFonts w:ascii="宋体" w:hAnsi="宋体" w:cs="宋体" w:eastAsia="宋体" w:hint="default"/>
        </w:rPr>
        <w:t>20</w:t>
      </w:r>
      <w:r>
        <w:rPr>
          <w:rFonts w:ascii="宋体" w:hAnsi="宋体" w:cs="宋体" w:eastAsia="宋体" w:hint="default"/>
          <w:spacing w:val="-43"/>
        </w:rPr>
        <w:t> </w:t>
      </w:r>
      <w:r>
        <w:rPr>
          <w:spacing w:val="-3"/>
        </w:rPr>
        <w:t>日，股东庄展诺将其持有的限售流通股份</w:t>
      </w:r>
      <w:r>
        <w:rPr>
          <w:spacing w:val="-44"/>
        </w:rPr>
        <w:t> </w:t>
      </w:r>
      <w:r>
        <w:rPr>
          <w:rFonts w:ascii="宋体" w:hAnsi="宋体" w:cs="宋体" w:eastAsia="宋体" w:hint="default"/>
        </w:rPr>
        <w:t>36,000,000.00</w:t>
      </w:r>
      <w:r>
        <w:rPr>
          <w:rFonts w:ascii="宋体" w:hAnsi="宋体" w:cs="宋体" w:eastAsia="宋体" w:hint="default"/>
          <w:spacing w:val="-44"/>
        </w:rPr>
        <w:t> </w:t>
      </w:r>
      <w:r>
        <w:rPr/>
        <w:t>股质押给华西证券股份有限公司用于办理股票质押</w:t>
      </w:r>
    </w:p>
    <w:p>
      <w:pPr>
        <w:pStyle w:val="BodyText"/>
        <w:spacing w:line="240" w:lineRule="auto" w:before="77"/>
        <w:ind w:right="889"/>
        <w:jc w:val="left"/>
      </w:pPr>
      <w:r>
        <w:rPr/>
        <w:t>式回购交易业务，质押期限自</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6"/>
        </w:rPr>
        <w:t> </w:t>
      </w:r>
      <w:r>
        <w:rPr/>
        <w:t>月</w:t>
      </w:r>
      <w:r>
        <w:rPr>
          <w:spacing w:val="-45"/>
        </w:rPr>
        <w:t> </w:t>
      </w:r>
      <w:r>
        <w:rPr>
          <w:rFonts w:ascii="宋体" w:hAnsi="宋体" w:cs="宋体" w:eastAsia="宋体" w:hint="default"/>
        </w:rPr>
        <w:t>20</w:t>
      </w:r>
      <w:r>
        <w:rPr>
          <w:rFonts w:ascii="宋体" w:hAnsi="宋体" w:cs="宋体" w:eastAsia="宋体" w:hint="default"/>
          <w:spacing w:val="-46"/>
        </w:rPr>
        <w:t> </w:t>
      </w:r>
      <w:r>
        <w:rPr/>
        <w:t>日至</w:t>
      </w:r>
      <w:r>
        <w:rPr>
          <w:spacing w:val="-46"/>
        </w:rPr>
        <w:t> </w:t>
      </w:r>
      <w:r>
        <w:rPr>
          <w:rFonts w:ascii="宋体" w:hAnsi="宋体" w:cs="宋体" w:eastAsia="宋体" w:hint="default"/>
        </w:rPr>
        <w:t>2020</w:t>
      </w:r>
      <w:r>
        <w:rPr>
          <w:rFonts w:ascii="宋体" w:hAnsi="宋体" w:cs="宋体" w:eastAsia="宋体" w:hint="default"/>
          <w:spacing w:val="-45"/>
        </w:rPr>
        <w:t> </w:t>
      </w:r>
      <w:r>
        <w:rPr/>
        <w:t>年</w:t>
      </w:r>
      <w:r>
        <w:rPr>
          <w:spacing w:val="-46"/>
        </w:rPr>
        <w:t> </w:t>
      </w:r>
      <w:r>
        <w:rPr>
          <w:rFonts w:ascii="宋体" w:hAnsi="宋体" w:cs="宋体" w:eastAsia="宋体" w:hint="default"/>
        </w:rPr>
        <w:t>3</w:t>
      </w:r>
      <w:r>
        <w:rPr>
          <w:rFonts w:ascii="宋体" w:hAnsi="宋体" w:cs="宋体" w:eastAsia="宋体" w:hint="default"/>
          <w:spacing w:val="-46"/>
        </w:rPr>
        <w:t> </w:t>
      </w:r>
      <w:r>
        <w:rPr/>
        <w:t>月</w:t>
      </w:r>
      <w:r>
        <w:rPr>
          <w:spacing w:val="-46"/>
        </w:rPr>
        <w:t> </w:t>
      </w:r>
      <w:r>
        <w:rPr>
          <w:rFonts w:ascii="宋体" w:hAnsi="宋体" w:cs="宋体" w:eastAsia="宋体" w:hint="default"/>
        </w:rPr>
        <w:t>19</w:t>
      </w:r>
      <w:r>
        <w:rPr>
          <w:rFonts w:ascii="宋体" w:hAnsi="宋体" w:cs="宋体" w:eastAsia="宋体" w:hint="default"/>
          <w:spacing w:val="-46"/>
        </w:rPr>
        <w:t> </w:t>
      </w:r>
      <w:r>
        <w:rPr/>
        <w:t>日止。</w:t>
      </w:r>
    </w:p>
    <w:p>
      <w:pPr>
        <w:pStyle w:val="BodyText"/>
        <w:spacing w:line="240" w:lineRule="auto" w:before="116"/>
        <w:ind w:right="889"/>
        <w:jc w:val="left"/>
      </w:pP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5</w:t>
      </w:r>
      <w:r>
        <w:rPr>
          <w:rFonts w:ascii="宋体" w:hAnsi="宋体" w:cs="宋体" w:eastAsia="宋体" w:hint="default"/>
          <w:spacing w:val="-43"/>
        </w:rPr>
        <w:t> </w:t>
      </w:r>
      <w:r>
        <w:rPr/>
        <w:t>月</w:t>
      </w:r>
      <w:r>
        <w:rPr>
          <w:spacing w:val="-44"/>
        </w:rPr>
        <w:t> </w:t>
      </w:r>
      <w:r>
        <w:rPr>
          <w:rFonts w:ascii="宋体" w:hAnsi="宋体" w:cs="宋体" w:eastAsia="宋体" w:hint="default"/>
        </w:rPr>
        <w:t>8</w:t>
      </w:r>
      <w:r>
        <w:rPr>
          <w:rFonts w:ascii="宋体" w:hAnsi="宋体" w:cs="宋体" w:eastAsia="宋体" w:hint="default"/>
          <w:spacing w:val="-43"/>
        </w:rPr>
        <w:t> </w:t>
      </w:r>
      <w:r>
        <w:rPr>
          <w:spacing w:val="-3"/>
        </w:rPr>
        <w:t>日，股东陈一将其持有的限售流通股份</w:t>
      </w:r>
      <w:r>
        <w:rPr>
          <w:spacing w:val="-44"/>
        </w:rPr>
        <w:t> </w:t>
      </w:r>
      <w:r>
        <w:rPr>
          <w:rFonts w:ascii="宋体" w:hAnsi="宋体" w:cs="宋体" w:eastAsia="宋体" w:hint="default"/>
        </w:rPr>
        <w:t>2,040,000.00</w:t>
      </w:r>
      <w:r>
        <w:rPr>
          <w:rFonts w:ascii="宋体" w:hAnsi="宋体" w:cs="宋体" w:eastAsia="宋体" w:hint="default"/>
          <w:spacing w:val="-44"/>
        </w:rPr>
        <w:t> </w:t>
      </w:r>
      <w:r>
        <w:rPr/>
        <w:t>股质押给招商证券股份有限公司用于办理股票质押式回</w:t>
      </w:r>
    </w:p>
    <w:p>
      <w:pPr>
        <w:pStyle w:val="BodyText"/>
        <w:spacing w:line="240" w:lineRule="auto" w:before="77"/>
        <w:ind w:right="889"/>
        <w:jc w:val="left"/>
      </w:pPr>
      <w:r>
        <w:rPr/>
        <w:t>购交易业务，质押期限自</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5</w:t>
      </w:r>
      <w:r>
        <w:rPr>
          <w:rFonts w:ascii="宋体" w:hAnsi="宋体" w:cs="宋体" w:eastAsia="宋体" w:hint="default"/>
          <w:spacing w:val="-45"/>
        </w:rPr>
        <w:t> </w:t>
      </w:r>
      <w:r>
        <w:rPr/>
        <w:t>月</w:t>
      </w:r>
      <w:r>
        <w:rPr>
          <w:spacing w:val="-46"/>
        </w:rPr>
        <w:t> </w:t>
      </w:r>
      <w:r>
        <w:rPr>
          <w:rFonts w:ascii="宋体" w:hAnsi="宋体" w:cs="宋体" w:eastAsia="宋体" w:hint="default"/>
        </w:rPr>
        <w:t>8</w:t>
      </w:r>
      <w:r>
        <w:rPr>
          <w:rFonts w:ascii="宋体" w:hAnsi="宋体" w:cs="宋体" w:eastAsia="宋体" w:hint="default"/>
          <w:spacing w:val="-46"/>
        </w:rPr>
        <w:t> </w:t>
      </w:r>
      <w:r>
        <w:rPr/>
        <w:t>日至</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5"/>
        </w:rPr>
        <w:t> </w:t>
      </w:r>
      <w:r>
        <w:rPr>
          <w:rFonts w:ascii="宋体" w:hAnsi="宋体" w:cs="宋体" w:eastAsia="宋体" w:hint="default"/>
        </w:rPr>
        <w:t>5</w:t>
      </w:r>
      <w:r>
        <w:rPr>
          <w:rFonts w:ascii="宋体" w:hAnsi="宋体" w:cs="宋体" w:eastAsia="宋体" w:hint="default"/>
          <w:spacing w:val="-46"/>
        </w:rPr>
        <w:t> </w:t>
      </w:r>
      <w:r>
        <w:rPr/>
        <w:t>月</w:t>
      </w:r>
      <w:r>
        <w:rPr>
          <w:spacing w:val="-45"/>
        </w:rPr>
        <w:t> </w:t>
      </w:r>
      <w:r>
        <w:rPr>
          <w:rFonts w:ascii="宋体" w:hAnsi="宋体" w:cs="宋体" w:eastAsia="宋体" w:hint="default"/>
        </w:rPr>
        <w:t>7</w:t>
      </w:r>
      <w:r>
        <w:rPr>
          <w:rFonts w:ascii="宋体" w:hAnsi="宋体" w:cs="宋体" w:eastAsia="宋体" w:hint="default"/>
          <w:spacing w:val="-46"/>
        </w:rPr>
        <w:t> </w:t>
      </w:r>
      <w:r>
        <w:rPr/>
        <w:t>日止。</w:t>
      </w:r>
    </w:p>
    <w:p>
      <w:pPr>
        <w:pStyle w:val="BodyText"/>
        <w:spacing w:line="240" w:lineRule="auto" w:before="115"/>
        <w:ind w:right="889"/>
        <w:jc w:val="left"/>
      </w:pP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8</w:t>
      </w:r>
      <w:r>
        <w:rPr>
          <w:rFonts w:ascii="宋体" w:hAnsi="宋体" w:cs="宋体" w:eastAsia="宋体" w:hint="default"/>
          <w:spacing w:val="-43"/>
        </w:rPr>
        <w:t> </w:t>
      </w:r>
      <w:r>
        <w:rPr/>
        <w:t>月</w:t>
      </w:r>
      <w:r>
        <w:rPr>
          <w:spacing w:val="-44"/>
        </w:rPr>
        <w:t> </w:t>
      </w:r>
      <w:r>
        <w:rPr>
          <w:rFonts w:ascii="宋体" w:hAnsi="宋体" w:cs="宋体" w:eastAsia="宋体" w:hint="default"/>
        </w:rPr>
        <w:t>29</w:t>
      </w:r>
      <w:r>
        <w:rPr>
          <w:rFonts w:ascii="宋体" w:hAnsi="宋体" w:cs="宋体" w:eastAsia="宋体" w:hint="default"/>
          <w:spacing w:val="-43"/>
        </w:rPr>
        <w:t> </w:t>
      </w:r>
      <w:r>
        <w:rPr>
          <w:spacing w:val="-3"/>
        </w:rPr>
        <w:t>日，股东庄小红将其持有的限售流通股份</w:t>
      </w:r>
      <w:r>
        <w:rPr>
          <w:spacing w:val="-44"/>
        </w:rPr>
        <w:t> </w:t>
      </w:r>
      <w:r>
        <w:rPr>
          <w:rFonts w:ascii="宋体" w:hAnsi="宋体" w:cs="宋体" w:eastAsia="宋体" w:hint="default"/>
        </w:rPr>
        <w:t>24,000,000.00</w:t>
      </w:r>
      <w:r>
        <w:rPr>
          <w:rFonts w:ascii="宋体" w:hAnsi="宋体" w:cs="宋体" w:eastAsia="宋体" w:hint="default"/>
          <w:spacing w:val="-44"/>
        </w:rPr>
        <w:t> </w:t>
      </w:r>
      <w:r>
        <w:rPr/>
        <w:t>股质押给万和证券股份有限公司用于办理股票质押</w:t>
      </w:r>
    </w:p>
    <w:p>
      <w:pPr>
        <w:pStyle w:val="BodyText"/>
        <w:spacing w:line="240" w:lineRule="auto" w:before="77"/>
        <w:ind w:right="889"/>
        <w:jc w:val="left"/>
      </w:pPr>
      <w:r>
        <w:rPr/>
        <w:t>式回购交易业务，质押期限自</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8</w:t>
      </w:r>
      <w:r>
        <w:rPr>
          <w:rFonts w:ascii="宋体" w:hAnsi="宋体" w:cs="宋体" w:eastAsia="宋体" w:hint="default"/>
          <w:spacing w:val="-46"/>
        </w:rPr>
        <w:t> </w:t>
      </w:r>
      <w:r>
        <w:rPr/>
        <w:t>月</w:t>
      </w:r>
      <w:r>
        <w:rPr>
          <w:spacing w:val="-45"/>
        </w:rPr>
        <w:t> </w:t>
      </w:r>
      <w:r>
        <w:rPr>
          <w:rFonts w:ascii="宋体" w:hAnsi="宋体" w:cs="宋体" w:eastAsia="宋体" w:hint="default"/>
        </w:rPr>
        <w:t>29</w:t>
      </w:r>
      <w:r>
        <w:rPr>
          <w:rFonts w:ascii="宋体" w:hAnsi="宋体" w:cs="宋体" w:eastAsia="宋体" w:hint="default"/>
          <w:spacing w:val="-46"/>
        </w:rPr>
        <w:t> </w:t>
      </w:r>
      <w:r>
        <w:rPr/>
        <w:t>日至</w:t>
      </w:r>
      <w:r>
        <w:rPr>
          <w:spacing w:val="-46"/>
        </w:rPr>
        <w:t> </w:t>
      </w:r>
      <w:r>
        <w:rPr>
          <w:rFonts w:ascii="宋体" w:hAnsi="宋体" w:cs="宋体" w:eastAsia="宋体" w:hint="default"/>
        </w:rPr>
        <w:t>2020</w:t>
      </w:r>
      <w:r>
        <w:rPr>
          <w:rFonts w:ascii="宋体" w:hAnsi="宋体" w:cs="宋体" w:eastAsia="宋体" w:hint="default"/>
          <w:spacing w:val="-45"/>
        </w:rPr>
        <w:t> </w:t>
      </w:r>
      <w:r>
        <w:rPr/>
        <w:t>年</w:t>
      </w:r>
      <w:r>
        <w:rPr>
          <w:spacing w:val="-46"/>
        </w:rPr>
        <w:t> </w:t>
      </w:r>
      <w:r>
        <w:rPr>
          <w:rFonts w:ascii="宋体" w:hAnsi="宋体" w:cs="宋体" w:eastAsia="宋体" w:hint="default"/>
        </w:rPr>
        <w:t>8</w:t>
      </w:r>
      <w:r>
        <w:rPr>
          <w:rFonts w:ascii="宋体" w:hAnsi="宋体" w:cs="宋体" w:eastAsia="宋体" w:hint="default"/>
          <w:spacing w:val="-46"/>
        </w:rPr>
        <w:t> </w:t>
      </w:r>
      <w:r>
        <w:rPr/>
        <w:t>月</w:t>
      </w:r>
      <w:r>
        <w:rPr>
          <w:spacing w:val="-46"/>
        </w:rPr>
        <w:t> </w:t>
      </w:r>
      <w:r>
        <w:rPr>
          <w:rFonts w:ascii="宋体" w:hAnsi="宋体" w:cs="宋体" w:eastAsia="宋体" w:hint="default"/>
        </w:rPr>
        <w:t>28</w:t>
      </w:r>
      <w:r>
        <w:rPr>
          <w:rFonts w:ascii="宋体" w:hAnsi="宋体" w:cs="宋体" w:eastAsia="宋体" w:hint="default"/>
          <w:spacing w:val="-46"/>
        </w:rPr>
        <w:t> </w:t>
      </w:r>
      <w:r>
        <w:rPr/>
        <w:t>日止。</w:t>
      </w:r>
    </w:p>
    <w:p>
      <w:pPr>
        <w:pStyle w:val="BodyText"/>
        <w:spacing w:line="240" w:lineRule="auto" w:before="115"/>
        <w:ind w:right="889"/>
        <w:jc w:val="left"/>
      </w:pP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9</w:t>
      </w:r>
      <w:r>
        <w:rPr>
          <w:rFonts w:ascii="宋体" w:hAnsi="宋体" w:cs="宋体" w:eastAsia="宋体" w:hint="default"/>
          <w:spacing w:val="-43"/>
        </w:rPr>
        <w:t> </w:t>
      </w:r>
      <w:r>
        <w:rPr/>
        <w:t>月</w:t>
      </w:r>
      <w:r>
        <w:rPr>
          <w:spacing w:val="-44"/>
        </w:rPr>
        <w:t> </w:t>
      </w:r>
      <w:r>
        <w:rPr>
          <w:rFonts w:ascii="宋体" w:hAnsi="宋体" w:cs="宋体" w:eastAsia="宋体" w:hint="default"/>
        </w:rPr>
        <w:t>11</w:t>
      </w:r>
      <w:r>
        <w:rPr>
          <w:rFonts w:ascii="宋体" w:hAnsi="宋体" w:cs="宋体" w:eastAsia="宋体" w:hint="default"/>
          <w:spacing w:val="-43"/>
        </w:rPr>
        <w:t> </w:t>
      </w:r>
      <w:r>
        <w:rPr>
          <w:spacing w:val="-3"/>
        </w:rPr>
        <w:t>日，股东庄小红将其持有的限售流通股份</w:t>
      </w:r>
      <w:r>
        <w:rPr>
          <w:spacing w:val="-44"/>
        </w:rPr>
        <w:t> </w:t>
      </w:r>
      <w:r>
        <w:rPr>
          <w:rFonts w:ascii="宋体" w:hAnsi="宋体" w:cs="宋体" w:eastAsia="宋体" w:hint="default"/>
        </w:rPr>
        <w:t>52,000,000.00</w:t>
      </w:r>
      <w:r>
        <w:rPr>
          <w:rFonts w:ascii="宋体" w:hAnsi="宋体" w:cs="宋体" w:eastAsia="宋体" w:hint="default"/>
          <w:spacing w:val="-44"/>
        </w:rPr>
        <w:t> </w:t>
      </w:r>
      <w:r>
        <w:rPr/>
        <w:t>股质押给申万宏源证券股份有限公司用于办理股票</w:t>
      </w:r>
    </w:p>
    <w:p>
      <w:pPr>
        <w:pStyle w:val="BodyText"/>
        <w:spacing w:line="240" w:lineRule="auto" w:before="77"/>
        <w:ind w:right="889"/>
        <w:jc w:val="left"/>
      </w:pPr>
      <w:r>
        <w:rPr/>
        <w:t>质押式回购交易业务，质押期限自</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9</w:t>
      </w:r>
      <w:r>
        <w:rPr>
          <w:rFonts w:ascii="宋体" w:hAnsi="宋体" w:cs="宋体" w:eastAsia="宋体" w:hint="default"/>
          <w:spacing w:val="-46"/>
        </w:rPr>
        <w:t> </w:t>
      </w:r>
      <w:r>
        <w:rPr/>
        <w:t>月</w:t>
      </w:r>
      <w:r>
        <w:rPr>
          <w:spacing w:val="-46"/>
        </w:rPr>
        <w:t> </w:t>
      </w:r>
      <w:r>
        <w:rPr>
          <w:rFonts w:ascii="宋体" w:hAnsi="宋体" w:cs="宋体" w:eastAsia="宋体" w:hint="default"/>
        </w:rPr>
        <w:t>11</w:t>
      </w:r>
      <w:r>
        <w:rPr>
          <w:rFonts w:ascii="宋体" w:hAnsi="宋体" w:cs="宋体" w:eastAsia="宋体" w:hint="default"/>
          <w:spacing w:val="-46"/>
        </w:rPr>
        <w:t> </w:t>
      </w:r>
      <w:r>
        <w:rPr/>
        <w:t>日至</w:t>
      </w:r>
      <w:r>
        <w:rPr>
          <w:spacing w:val="-46"/>
        </w:rPr>
        <w:t> </w:t>
      </w:r>
      <w:r>
        <w:rPr>
          <w:rFonts w:ascii="宋体" w:hAnsi="宋体" w:cs="宋体" w:eastAsia="宋体" w:hint="default"/>
        </w:rPr>
        <w:t>2020</w:t>
      </w:r>
      <w:r>
        <w:rPr>
          <w:rFonts w:ascii="宋体" w:hAnsi="宋体" w:cs="宋体" w:eastAsia="宋体" w:hint="default"/>
          <w:spacing w:val="-46"/>
        </w:rPr>
        <w:t> </w:t>
      </w:r>
      <w:r>
        <w:rPr/>
        <w:t>年</w:t>
      </w:r>
      <w:r>
        <w:rPr>
          <w:spacing w:val="-46"/>
        </w:rPr>
        <w:t> </w:t>
      </w:r>
      <w:r>
        <w:rPr>
          <w:rFonts w:ascii="宋体" w:hAnsi="宋体" w:cs="宋体" w:eastAsia="宋体" w:hint="default"/>
        </w:rPr>
        <w:t>9</w:t>
      </w:r>
      <w:r>
        <w:rPr>
          <w:rFonts w:ascii="宋体" w:hAnsi="宋体" w:cs="宋体" w:eastAsia="宋体" w:hint="default"/>
          <w:spacing w:val="-45"/>
        </w:rPr>
        <w:t> </w:t>
      </w:r>
      <w:r>
        <w:rPr/>
        <w:t>月</w:t>
      </w:r>
      <w:r>
        <w:rPr>
          <w:spacing w:val="-46"/>
        </w:rPr>
        <w:t> </w:t>
      </w:r>
      <w:r>
        <w:rPr>
          <w:rFonts w:ascii="宋体" w:hAnsi="宋体" w:cs="宋体" w:eastAsia="宋体" w:hint="default"/>
        </w:rPr>
        <w:t>10</w:t>
      </w:r>
      <w:r>
        <w:rPr>
          <w:rFonts w:ascii="宋体" w:hAnsi="宋体" w:cs="宋体" w:eastAsia="宋体" w:hint="default"/>
          <w:spacing w:val="-46"/>
        </w:rPr>
        <w:t> </w:t>
      </w:r>
      <w:r>
        <w:rPr/>
        <w:t>日止。</w:t>
      </w:r>
    </w:p>
    <w:p>
      <w:pPr>
        <w:pStyle w:val="BodyText"/>
        <w:spacing w:line="240" w:lineRule="auto" w:before="116"/>
        <w:ind w:right="889"/>
        <w:jc w:val="left"/>
      </w:pP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11</w:t>
      </w:r>
      <w:r>
        <w:rPr>
          <w:rFonts w:ascii="宋体" w:hAnsi="宋体" w:cs="宋体" w:eastAsia="宋体" w:hint="default"/>
          <w:spacing w:val="-43"/>
        </w:rPr>
        <w:t> </w:t>
      </w:r>
      <w:r>
        <w:rPr/>
        <w:t>月</w:t>
      </w:r>
      <w:r>
        <w:rPr>
          <w:spacing w:val="-44"/>
        </w:rPr>
        <w:t> </w:t>
      </w:r>
      <w:r>
        <w:rPr>
          <w:rFonts w:ascii="宋体" w:hAnsi="宋体" w:cs="宋体" w:eastAsia="宋体" w:hint="default"/>
        </w:rPr>
        <w:t>22</w:t>
      </w:r>
      <w:r>
        <w:rPr>
          <w:rFonts w:ascii="宋体" w:hAnsi="宋体" w:cs="宋体" w:eastAsia="宋体" w:hint="default"/>
          <w:spacing w:val="-44"/>
        </w:rPr>
        <w:t> </w:t>
      </w:r>
      <w:r>
        <w:rPr>
          <w:spacing w:val="-3"/>
        </w:rPr>
        <w:t>日，股东陈一将其持有的限售流通股份</w:t>
      </w:r>
      <w:r>
        <w:rPr>
          <w:spacing w:val="-44"/>
        </w:rPr>
        <w:t> </w:t>
      </w:r>
      <w:r>
        <w:rPr>
          <w:rFonts w:ascii="宋体" w:hAnsi="宋体" w:cs="宋体" w:eastAsia="宋体" w:hint="default"/>
        </w:rPr>
        <w:t>2,690,000.00</w:t>
      </w:r>
      <w:r>
        <w:rPr>
          <w:rFonts w:ascii="宋体" w:hAnsi="宋体" w:cs="宋体" w:eastAsia="宋体" w:hint="default"/>
          <w:spacing w:val="-44"/>
        </w:rPr>
        <w:t> </w:t>
      </w:r>
      <w:r>
        <w:rPr/>
        <w:t>股质押给招商证券股份有限公司用于办理股票质押式</w:t>
      </w:r>
    </w:p>
    <w:p>
      <w:pPr>
        <w:pStyle w:val="BodyText"/>
        <w:spacing w:line="240" w:lineRule="auto" w:before="77"/>
        <w:ind w:left="154" w:right="889"/>
        <w:jc w:val="left"/>
      </w:pPr>
      <w:r>
        <w:rPr/>
        <w:t>回购交易业务，质押期限自</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11</w:t>
      </w:r>
      <w:r>
        <w:rPr>
          <w:rFonts w:ascii="宋体" w:hAnsi="宋体" w:cs="宋体" w:eastAsia="宋体" w:hint="default"/>
          <w:spacing w:val="-45"/>
        </w:rPr>
        <w:t> </w:t>
      </w:r>
      <w:r>
        <w:rPr/>
        <w:t>月</w:t>
      </w:r>
      <w:r>
        <w:rPr>
          <w:spacing w:val="-46"/>
        </w:rPr>
        <w:t> </w:t>
      </w:r>
      <w:r>
        <w:rPr>
          <w:rFonts w:ascii="宋体" w:hAnsi="宋体" w:cs="宋体" w:eastAsia="宋体" w:hint="default"/>
        </w:rPr>
        <w:t>22</w:t>
      </w:r>
      <w:r>
        <w:rPr>
          <w:rFonts w:ascii="宋体" w:hAnsi="宋体" w:cs="宋体" w:eastAsia="宋体" w:hint="default"/>
          <w:spacing w:val="-45"/>
        </w:rPr>
        <w:t> </w:t>
      </w:r>
      <w:r>
        <w:rPr/>
        <w:t>日至</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6"/>
        </w:rPr>
        <w:t> </w:t>
      </w:r>
      <w:r>
        <w:rPr>
          <w:rFonts w:ascii="宋体" w:hAnsi="宋体" w:cs="宋体" w:eastAsia="宋体" w:hint="default"/>
        </w:rPr>
        <w:t>11</w:t>
      </w:r>
      <w:r>
        <w:rPr>
          <w:rFonts w:ascii="宋体" w:hAnsi="宋体" w:cs="宋体" w:eastAsia="宋体" w:hint="default"/>
          <w:spacing w:val="-46"/>
        </w:rPr>
        <w:t> </w:t>
      </w:r>
      <w:r>
        <w:rPr/>
        <w:t>月</w:t>
      </w:r>
      <w:r>
        <w:rPr>
          <w:spacing w:val="-46"/>
        </w:rPr>
        <w:t> </w:t>
      </w:r>
      <w:r>
        <w:rPr>
          <w:rFonts w:ascii="宋体" w:hAnsi="宋体" w:cs="宋体" w:eastAsia="宋体" w:hint="default"/>
        </w:rPr>
        <w:t>21</w:t>
      </w:r>
      <w:r>
        <w:rPr>
          <w:rFonts w:ascii="宋体" w:hAnsi="宋体" w:cs="宋体" w:eastAsia="宋体" w:hint="default"/>
          <w:spacing w:val="-46"/>
        </w:rPr>
        <w:t> </w:t>
      </w:r>
      <w:r>
        <w:rPr/>
        <w:t>日止。</w:t>
      </w:r>
    </w:p>
    <w:p>
      <w:pPr>
        <w:pStyle w:val="BodyText"/>
        <w:spacing w:line="240" w:lineRule="auto" w:before="115"/>
        <w:ind w:left="154" w:right="889"/>
        <w:jc w:val="left"/>
      </w:pP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4"/>
        </w:rPr>
        <w:t> </w:t>
      </w:r>
      <w:r>
        <w:rPr>
          <w:rFonts w:ascii="宋体" w:hAnsi="宋体" w:cs="宋体" w:eastAsia="宋体" w:hint="default"/>
        </w:rPr>
        <w:t>14</w:t>
      </w:r>
      <w:r>
        <w:rPr>
          <w:rFonts w:ascii="宋体" w:hAnsi="宋体" w:cs="宋体" w:eastAsia="宋体" w:hint="default"/>
          <w:spacing w:val="-44"/>
        </w:rPr>
        <w:t> </w:t>
      </w:r>
      <w:r>
        <w:rPr>
          <w:spacing w:val="-3"/>
        </w:rPr>
        <w:t>日，股东陈一将其持有的限售流通股份</w:t>
      </w:r>
      <w:r>
        <w:rPr>
          <w:spacing w:val="-44"/>
        </w:rPr>
        <w:t> </w:t>
      </w:r>
      <w:r>
        <w:rPr>
          <w:rFonts w:ascii="宋体" w:hAnsi="宋体" w:cs="宋体" w:eastAsia="宋体" w:hint="default"/>
        </w:rPr>
        <w:t>2,690,000.00</w:t>
      </w:r>
      <w:r>
        <w:rPr>
          <w:rFonts w:ascii="宋体" w:hAnsi="宋体" w:cs="宋体" w:eastAsia="宋体" w:hint="default"/>
          <w:spacing w:val="-44"/>
        </w:rPr>
        <w:t> </w:t>
      </w:r>
      <w:r>
        <w:rPr/>
        <w:t>股质押给招商证券股份有限公司用于办理股票质押式</w:t>
      </w:r>
    </w:p>
    <w:p>
      <w:pPr>
        <w:pStyle w:val="BodyText"/>
        <w:spacing w:line="240" w:lineRule="auto" w:before="77"/>
        <w:ind w:left="154" w:right="889"/>
        <w:jc w:val="left"/>
      </w:pPr>
      <w:r>
        <w:rPr/>
        <w:t>回购交易业务，质押期限自</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14</w:t>
      </w:r>
      <w:r>
        <w:rPr>
          <w:rFonts w:ascii="宋体" w:hAnsi="宋体" w:cs="宋体" w:eastAsia="宋体" w:hint="default"/>
          <w:spacing w:val="-45"/>
        </w:rPr>
        <w:t> </w:t>
      </w:r>
      <w:r>
        <w:rPr/>
        <w:t>日至</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13</w:t>
      </w:r>
      <w:r>
        <w:rPr>
          <w:rFonts w:ascii="宋体" w:hAnsi="宋体" w:cs="宋体" w:eastAsia="宋体" w:hint="default"/>
          <w:spacing w:val="-46"/>
        </w:rPr>
        <w:t> </w:t>
      </w:r>
      <w:r>
        <w:rPr/>
        <w:t>日止。</w:t>
      </w:r>
    </w:p>
    <w:p>
      <w:pPr>
        <w:pStyle w:val="BodyText"/>
        <w:spacing w:line="240" w:lineRule="auto" w:before="115"/>
        <w:ind w:left="154" w:right="889"/>
        <w:jc w:val="left"/>
      </w:pP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4"/>
        </w:rPr>
        <w:t> </w:t>
      </w:r>
      <w:r>
        <w:rPr>
          <w:rFonts w:ascii="宋体" w:hAnsi="宋体" w:cs="宋体" w:eastAsia="宋体" w:hint="default"/>
        </w:rPr>
        <w:t>22</w:t>
      </w:r>
      <w:r>
        <w:rPr>
          <w:rFonts w:ascii="宋体" w:hAnsi="宋体" w:cs="宋体" w:eastAsia="宋体" w:hint="default"/>
          <w:spacing w:val="-44"/>
        </w:rPr>
        <w:t> </w:t>
      </w:r>
      <w:r>
        <w:rPr>
          <w:spacing w:val="-3"/>
        </w:rPr>
        <w:t>日，股东庄小红将其持有的限售流通股份</w:t>
      </w:r>
      <w:r>
        <w:rPr>
          <w:spacing w:val="-44"/>
        </w:rPr>
        <w:t> </w:t>
      </w:r>
      <w:r>
        <w:rPr>
          <w:rFonts w:ascii="宋体" w:hAnsi="宋体" w:cs="宋体" w:eastAsia="宋体" w:hint="default"/>
        </w:rPr>
        <w:t>3,000,000.00</w:t>
      </w:r>
      <w:r>
        <w:rPr>
          <w:rFonts w:ascii="宋体" w:hAnsi="宋体" w:cs="宋体" w:eastAsia="宋体" w:hint="default"/>
          <w:spacing w:val="-44"/>
        </w:rPr>
        <w:t> </w:t>
      </w:r>
      <w:r>
        <w:rPr/>
        <w:t>股质押给招商证券资产管理有限公司用于办理补充</w:t>
      </w:r>
    </w:p>
    <w:p>
      <w:pPr>
        <w:pStyle w:val="BodyText"/>
        <w:spacing w:line="240" w:lineRule="auto" w:before="77"/>
        <w:ind w:left="154" w:right="889"/>
        <w:jc w:val="left"/>
      </w:pPr>
      <w:r>
        <w:rPr/>
        <w:t>质押，质押期限自</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22</w:t>
      </w:r>
      <w:r>
        <w:rPr>
          <w:rFonts w:ascii="宋体" w:hAnsi="宋体" w:cs="宋体" w:eastAsia="宋体" w:hint="default"/>
          <w:spacing w:val="-46"/>
        </w:rPr>
        <w:t> </w:t>
      </w:r>
      <w:r>
        <w:rPr/>
        <w:t>日至</w:t>
      </w:r>
      <w:r>
        <w:rPr>
          <w:spacing w:val="-46"/>
        </w:rPr>
        <w:t> </w:t>
      </w:r>
      <w:r>
        <w:rPr>
          <w:rFonts w:ascii="宋体" w:hAnsi="宋体" w:cs="宋体" w:eastAsia="宋体" w:hint="default"/>
        </w:rPr>
        <w:t>2020</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12</w:t>
      </w:r>
      <w:r>
        <w:rPr>
          <w:rFonts w:ascii="宋体" w:hAnsi="宋体" w:cs="宋体" w:eastAsia="宋体" w:hint="default"/>
          <w:spacing w:val="-46"/>
        </w:rPr>
        <w:t> </w:t>
      </w:r>
      <w:r>
        <w:rPr/>
        <w:t>日止。</w:t>
      </w:r>
    </w:p>
    <w:p>
      <w:pPr>
        <w:pStyle w:val="BodyText"/>
        <w:spacing w:line="240" w:lineRule="auto" w:before="116"/>
        <w:ind w:left="154" w:right="889"/>
        <w:jc w:val="left"/>
      </w:pP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4"/>
        </w:rPr>
        <w:t> </w:t>
      </w:r>
      <w:r>
        <w:rPr>
          <w:rFonts w:ascii="宋体" w:hAnsi="宋体" w:cs="宋体" w:eastAsia="宋体" w:hint="default"/>
        </w:rPr>
        <w:t>25</w:t>
      </w:r>
      <w:r>
        <w:rPr>
          <w:rFonts w:ascii="宋体" w:hAnsi="宋体" w:cs="宋体" w:eastAsia="宋体" w:hint="default"/>
          <w:spacing w:val="-44"/>
        </w:rPr>
        <w:t> </w:t>
      </w:r>
      <w:r>
        <w:rPr>
          <w:spacing w:val="-3"/>
        </w:rPr>
        <w:t>日，股东庄小红将其持有的限售流通股份</w:t>
      </w:r>
      <w:r>
        <w:rPr>
          <w:spacing w:val="-44"/>
        </w:rPr>
        <w:t> </w:t>
      </w:r>
      <w:r>
        <w:rPr>
          <w:rFonts w:ascii="宋体" w:hAnsi="宋体" w:cs="宋体" w:eastAsia="宋体" w:hint="default"/>
        </w:rPr>
        <w:t>5,000,000.00</w:t>
      </w:r>
      <w:r>
        <w:rPr>
          <w:rFonts w:ascii="宋体" w:hAnsi="宋体" w:cs="宋体" w:eastAsia="宋体" w:hint="default"/>
          <w:spacing w:val="-44"/>
        </w:rPr>
        <w:t> </w:t>
      </w:r>
      <w:r>
        <w:rPr/>
        <w:t>股质押给招商证券资产管理有限公司用于办理补充</w:t>
      </w:r>
    </w:p>
    <w:p>
      <w:pPr>
        <w:pStyle w:val="BodyText"/>
        <w:spacing w:line="240" w:lineRule="auto" w:before="77"/>
        <w:ind w:left="154" w:right="889"/>
        <w:jc w:val="left"/>
      </w:pPr>
      <w:r>
        <w:rPr/>
        <w:t>质押，质押期限自</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25</w:t>
      </w:r>
      <w:r>
        <w:rPr>
          <w:rFonts w:ascii="宋体" w:hAnsi="宋体" w:cs="宋体" w:eastAsia="宋体" w:hint="default"/>
          <w:spacing w:val="-46"/>
        </w:rPr>
        <w:t> </w:t>
      </w:r>
      <w:r>
        <w:rPr/>
        <w:t>日至</w:t>
      </w:r>
      <w:r>
        <w:rPr>
          <w:spacing w:val="-46"/>
        </w:rPr>
        <w:t> </w:t>
      </w:r>
      <w:r>
        <w:rPr>
          <w:rFonts w:ascii="宋体" w:hAnsi="宋体" w:cs="宋体" w:eastAsia="宋体" w:hint="default"/>
        </w:rPr>
        <w:t>2020</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w:t>
      </w:r>
      <w:r>
        <w:rPr>
          <w:spacing w:val="-46"/>
        </w:rPr>
        <w:t> </w:t>
      </w:r>
      <w:r>
        <w:rPr>
          <w:rFonts w:ascii="宋体" w:hAnsi="宋体" w:cs="宋体" w:eastAsia="宋体" w:hint="default"/>
        </w:rPr>
        <w:t>12</w:t>
      </w:r>
      <w:r>
        <w:rPr>
          <w:rFonts w:ascii="宋体" w:hAnsi="宋体" w:cs="宋体" w:eastAsia="宋体" w:hint="default"/>
          <w:spacing w:val="-46"/>
        </w:rPr>
        <w:t> </w:t>
      </w:r>
      <w:r>
        <w:rPr/>
        <w:t>日止。</w:t>
      </w:r>
    </w:p>
    <w:p>
      <w:pPr>
        <w:pStyle w:val="BodyText"/>
        <w:spacing w:line="240" w:lineRule="auto" w:before="115"/>
        <w:ind w:left="154" w:right="889"/>
        <w:jc w:val="left"/>
      </w:pPr>
      <w:r>
        <w:rPr>
          <w:rFonts w:ascii="宋体" w:hAnsi="宋体" w:cs="宋体" w:eastAsia="宋体" w:hint="default"/>
        </w:rPr>
        <w:t>2017</w:t>
      </w:r>
      <w:r>
        <w:rPr>
          <w:rFonts w:ascii="宋体" w:hAnsi="宋体" w:cs="宋体" w:eastAsia="宋体" w:hint="default"/>
          <w:spacing w:val="-51"/>
        </w:rPr>
        <w:t> </w:t>
      </w:r>
      <w:r>
        <w:rPr/>
        <w:t>年</w:t>
      </w:r>
      <w:r>
        <w:rPr>
          <w:spacing w:val="-50"/>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26</w:t>
      </w:r>
      <w:r>
        <w:rPr>
          <w:rFonts w:ascii="宋体" w:hAnsi="宋体" w:cs="宋体" w:eastAsia="宋体" w:hint="default"/>
          <w:spacing w:val="-51"/>
        </w:rPr>
        <w:t> </w:t>
      </w:r>
      <w:r>
        <w:rPr/>
        <w:t>日</w:t>
      </w:r>
      <w:r>
        <w:rPr>
          <w:spacing w:val="-90"/>
        </w:rPr>
        <w:t>，</w:t>
      </w:r>
      <w:r>
        <w:rPr/>
        <w:t>股东庄展诺将其持有的限售流通股份</w:t>
      </w:r>
      <w:r>
        <w:rPr>
          <w:spacing w:val="-50"/>
        </w:rPr>
        <w:t> </w:t>
      </w:r>
      <w:r>
        <w:rPr>
          <w:rFonts w:ascii="宋体" w:hAnsi="宋体" w:cs="宋体" w:eastAsia="宋体" w:hint="default"/>
        </w:rPr>
        <w:t>9,000,000.00</w:t>
      </w:r>
      <w:r>
        <w:rPr>
          <w:rFonts w:ascii="宋体" w:hAnsi="宋体" w:cs="宋体" w:eastAsia="宋体" w:hint="default"/>
          <w:spacing w:val="-51"/>
        </w:rPr>
        <w:t> </w:t>
      </w:r>
      <w:r>
        <w:rPr/>
        <w:t>股质押给华西证券股份有限公司用于办理补充质押，</w:t>
      </w:r>
    </w:p>
    <w:p>
      <w:pPr>
        <w:pStyle w:val="BodyText"/>
        <w:spacing w:line="240" w:lineRule="auto" w:before="77"/>
        <w:ind w:left="154" w:right="889"/>
        <w:jc w:val="left"/>
      </w:pPr>
      <w:r>
        <w:rPr/>
        <w:t>质押期限自</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26</w:t>
      </w:r>
      <w:r>
        <w:rPr>
          <w:rFonts w:ascii="宋体" w:hAnsi="宋体" w:cs="宋体" w:eastAsia="宋体" w:hint="default"/>
          <w:spacing w:val="-46"/>
        </w:rPr>
        <w:t> </w:t>
      </w:r>
      <w:r>
        <w:rPr/>
        <w:t>日至</w:t>
      </w:r>
      <w:r>
        <w:rPr>
          <w:spacing w:val="-46"/>
        </w:rPr>
        <w:t> </w:t>
      </w:r>
      <w:r>
        <w:rPr>
          <w:rFonts w:ascii="宋体" w:hAnsi="宋体" w:cs="宋体" w:eastAsia="宋体" w:hint="default"/>
        </w:rPr>
        <w:t>2020</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6"/>
        </w:rPr>
        <w:t> </w:t>
      </w:r>
      <w:r>
        <w:rPr/>
        <w:t>月</w:t>
      </w:r>
      <w:r>
        <w:rPr>
          <w:spacing w:val="-45"/>
        </w:rPr>
        <w:t> </w:t>
      </w:r>
      <w:r>
        <w:rPr>
          <w:rFonts w:ascii="宋体" w:hAnsi="宋体" w:cs="宋体" w:eastAsia="宋体" w:hint="default"/>
        </w:rPr>
        <w:t>15</w:t>
      </w:r>
      <w:r>
        <w:rPr>
          <w:rFonts w:ascii="宋体" w:hAnsi="宋体" w:cs="宋体" w:eastAsia="宋体" w:hint="default"/>
          <w:spacing w:val="-46"/>
        </w:rPr>
        <w:t> </w:t>
      </w:r>
      <w:r>
        <w:rPr/>
        <w:t>日止。</w:t>
      </w:r>
    </w:p>
    <w:p>
      <w:pPr>
        <w:pStyle w:val="BodyText"/>
        <w:spacing w:line="240" w:lineRule="auto" w:before="115"/>
        <w:ind w:left="154" w:right="889"/>
        <w:jc w:val="left"/>
      </w:pP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4"/>
        </w:rPr>
        <w:t> </w:t>
      </w:r>
      <w:r>
        <w:rPr>
          <w:rFonts w:ascii="宋体" w:hAnsi="宋体" w:cs="宋体" w:eastAsia="宋体" w:hint="default"/>
        </w:rPr>
        <w:t>26</w:t>
      </w:r>
      <w:r>
        <w:rPr>
          <w:rFonts w:ascii="宋体" w:hAnsi="宋体" w:cs="宋体" w:eastAsia="宋体" w:hint="default"/>
          <w:spacing w:val="-44"/>
        </w:rPr>
        <w:t> </w:t>
      </w:r>
      <w:r>
        <w:rPr>
          <w:spacing w:val="-3"/>
        </w:rPr>
        <w:t>日，股东邓会生将其持有的限售流通股份</w:t>
      </w:r>
      <w:r>
        <w:rPr>
          <w:spacing w:val="-44"/>
        </w:rPr>
        <w:t> </w:t>
      </w:r>
      <w:r>
        <w:rPr>
          <w:rFonts w:ascii="宋体" w:hAnsi="宋体" w:cs="宋体" w:eastAsia="宋体" w:hint="default"/>
        </w:rPr>
        <w:t>9,450,000.00</w:t>
      </w:r>
      <w:r>
        <w:rPr>
          <w:rFonts w:ascii="宋体" w:hAnsi="宋体" w:cs="宋体" w:eastAsia="宋体" w:hint="default"/>
          <w:spacing w:val="-44"/>
        </w:rPr>
        <w:t> </w:t>
      </w:r>
      <w:r>
        <w:rPr/>
        <w:t>股质押给万和证券股份有限公司用于办理股票质押</w:t>
      </w:r>
    </w:p>
    <w:p>
      <w:pPr>
        <w:pStyle w:val="BodyText"/>
        <w:spacing w:line="240" w:lineRule="auto" w:before="77"/>
        <w:ind w:left="154" w:right="889"/>
        <w:jc w:val="left"/>
      </w:pPr>
      <w:r>
        <w:rPr/>
        <w:t>式回购交易业务，质押期限自</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26</w:t>
      </w:r>
      <w:r>
        <w:rPr>
          <w:rFonts w:ascii="宋体" w:hAnsi="宋体" w:cs="宋体" w:eastAsia="宋体" w:hint="default"/>
          <w:spacing w:val="-46"/>
        </w:rPr>
        <w:t> </w:t>
      </w:r>
      <w:r>
        <w:rPr/>
        <w:t>日至</w:t>
      </w:r>
      <w:r>
        <w:rPr>
          <w:spacing w:val="-46"/>
        </w:rPr>
        <w:t> </w:t>
      </w:r>
      <w:r>
        <w:rPr>
          <w:rFonts w:ascii="宋体" w:hAnsi="宋体" w:cs="宋体" w:eastAsia="宋体" w:hint="default"/>
        </w:rPr>
        <w:t>2019</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5"/>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Heading3"/>
        <w:spacing w:line="240" w:lineRule="auto"/>
        <w:ind w:left="154" w:right="889"/>
        <w:jc w:val="left"/>
        <w:rPr>
          <w:b w:val="0"/>
          <w:bCs w:val="0"/>
        </w:rPr>
      </w:pPr>
      <w:bookmarkStart w:name="27、资本公积" w:id="263"/>
      <w:bookmarkEnd w:id="263"/>
      <w:r>
        <w:rPr>
          <w:b w:val="0"/>
          <w:bCs w:val="0"/>
        </w:rPr>
      </w:r>
      <w:r>
        <w:rPr>
          <w:rFonts w:ascii="Times New Roman" w:hAnsi="Times New Roman" w:cs="Times New Roman" w:eastAsia="Times New Roman" w:hint="default"/>
        </w:rPr>
        <w:t>27</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960,660,373.06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660,660,373.06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960,660,373.06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660,660,373.06</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8、其他综合收益" w:id="264"/>
      <w:bookmarkEnd w:id="264"/>
      <w:r>
        <w:rPr>
          <w:b w:val="0"/>
          <w:bCs w:val="0"/>
        </w:rPr>
      </w:r>
      <w:r>
        <w:rPr>
          <w:rFonts w:ascii="Times New Roman" w:hAnsi="Times New Roman" w:cs="Times New Roman" w:eastAsia="Times New Roman" w:hint="default"/>
        </w:rPr>
        <w:t>28</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397"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 综合收益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其中：重新计算设定受益计划净负 债和净资产的变动</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firstLine="540"/>
              <w:jc w:val="both"/>
              <w:rPr>
                <w:rFonts w:ascii="宋体" w:hAnsi="宋体" w:cs="宋体" w:eastAsia="宋体" w:hint="default"/>
                <w:sz w:val="18"/>
                <w:szCs w:val="18"/>
              </w:rPr>
            </w:pPr>
            <w:r>
              <w:rPr>
                <w:rFonts w:ascii="宋体" w:hAnsi="宋体" w:cs="宋体" w:eastAsia="宋体" w:hint="default"/>
                <w:sz w:val="18"/>
                <w:szCs w:val="18"/>
              </w:rPr>
              <w:t>权益法下在被投资单位不能 重分类进损益的其他综合收益中享 有的份额</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-34,667.90</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70,286.10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35,845.91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34,440.19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1,178.01</w:t>
            </w:r>
          </w:p>
        </w:tc>
      </w:tr>
      <w:tr>
        <w:trPr>
          <w:trHeight w:val="1026"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持有至到期投资重分类为可 供出售金融资产损益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-34,667.90</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70,286.10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35,845.91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34,440.19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1,178.01</w:t>
            </w: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-34,667.90</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70,286.10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35,845.91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34,440.19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1,178.01</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9、盈余公积" w:id="265"/>
      <w:bookmarkEnd w:id="265"/>
      <w:r>
        <w:rPr>
          <w:b w:val="0"/>
          <w:bCs w:val="0"/>
        </w:rPr>
      </w:r>
      <w:r>
        <w:rPr>
          <w:rFonts w:ascii="Times New Roman" w:hAnsi="Times New Roman" w:cs="Times New Roman" w:eastAsia="Times New Roman" w:hint="default"/>
        </w:rPr>
        <w:t>29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67,105,347.56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15,859,477.98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82,964,825.54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67,105,347.56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15,859,477.98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82,964,825.54</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30、未分配利润" w:id="266"/>
      <w:bookmarkEnd w:id="266"/>
      <w:r>
        <w:rPr>
          <w:b w:val="0"/>
          <w:bCs w:val="0"/>
        </w:rPr>
      </w:r>
      <w:r>
        <w:rPr>
          <w:rFonts w:ascii="Times New Roman" w:hAnsi="Times New Roman" w:cs="Times New Roman" w:eastAsia="Times New Roman" w:hint="default"/>
        </w:rPr>
        <w:t>30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65"/>
              <w:jc w:val="right"/>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99"/>
              <w:jc w:val="righ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606,875,083.65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0" w:right="0"/>
              <w:jc w:val="left"/>
              <w:rPr>
                <w:rFonts w:ascii="Times New Roman" w:hAnsi="Times New Roman" w:cs="Times New Roman" w:eastAsia="Times New Roman" w:hint="default"/>
                <w:sz w:val="18"/>
                <w:szCs w:val="18"/>
              </w:rPr>
            </w:pPr>
            <w:r>
              <w:rPr>
                <w:rFonts w:ascii="Times New Roman"/>
                <w:sz w:val="18"/>
              </w:rPr>
              <w:t>466,094,297.58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606,875,083.65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466,094,297.58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160,749,979.46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156,183,203.24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15,859,477.98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15,402,417.17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691,765,585.13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606,875,083.65</w:t>
            </w:r>
          </w:p>
        </w:tc>
      </w:tr>
    </w:tbl>
    <w:p>
      <w:pPr>
        <w:pStyle w:val="BodyText"/>
        <w:spacing w:line="360" w:lineRule="auto" w:before="51"/>
        <w:ind w:left="154" w:right="3643"/>
        <w:jc w:val="left"/>
      </w:pPr>
      <w:r>
        <w:rPr/>
        <w:t>调整期初未分配利润明细： </w:t>
      </w:r>
      <w:r>
        <w:rPr>
          <w:rFonts w:ascii="宋体" w:hAnsi="宋体" w:cs="宋体" w:eastAsia="宋体" w:hint="default"/>
        </w:rPr>
        <w:t>1)</w:t>
      </w:r>
      <w:r>
        <w:rPr/>
        <w:t>、由于《企业会计准则》及其相关新规定进行追溯调整，影响期初未分配利润</w:t>
      </w:r>
      <w:r>
        <w:rPr>
          <w:spacing w:val="-45"/>
        </w:rPr>
        <w:t> </w:t>
      </w:r>
      <w:r>
        <w:rPr>
          <w:rFonts w:ascii="宋体" w:hAnsi="宋体" w:cs="宋体" w:eastAsia="宋体" w:hint="default"/>
        </w:rPr>
        <w:t>0.00</w:t>
      </w:r>
      <w:r>
        <w:rPr>
          <w:rFonts w:ascii="宋体" w:hAnsi="宋体" w:cs="宋体" w:eastAsia="宋体" w:hint="default"/>
          <w:spacing w:val="-46"/>
        </w:rPr>
        <w:t> </w:t>
      </w:r>
      <w:r>
        <w:rPr/>
        <w:t>元。</w:t>
      </w:r>
    </w:p>
    <w:p>
      <w:pPr>
        <w:pStyle w:val="BodyText"/>
        <w:spacing w:line="240" w:lineRule="auto" w:before="26"/>
        <w:ind w:right="889"/>
        <w:jc w:val="left"/>
      </w:pPr>
      <w:r>
        <w:rPr>
          <w:rFonts w:ascii="宋体" w:hAnsi="宋体" w:cs="宋体" w:eastAsia="宋体" w:hint="default"/>
        </w:rPr>
        <w:t>2)</w:t>
      </w:r>
      <w:r>
        <w:rPr/>
        <w:t>、由于会计政策变更，影响期初未分配利润</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pStyle w:val="BodyText"/>
        <w:spacing w:line="240" w:lineRule="auto" w:before="117"/>
        <w:ind w:left="154" w:right="889"/>
        <w:jc w:val="left"/>
      </w:pPr>
      <w:r>
        <w:rPr>
          <w:rFonts w:ascii="宋体" w:hAnsi="宋体" w:cs="宋体" w:eastAsia="宋体" w:hint="default"/>
        </w:rPr>
        <w:t>3)</w:t>
      </w:r>
      <w:r>
        <w:rPr/>
        <w:t>、由于重大会计差错更正，影响期初未分配利润</w:t>
      </w:r>
      <w:r>
        <w:rPr>
          <w:spacing w:val="-45"/>
        </w:rPr>
        <w:t> </w:t>
      </w:r>
      <w:r>
        <w:rPr>
          <w:rFonts w:ascii="宋体" w:hAnsi="宋体" w:cs="宋体" w:eastAsia="宋体" w:hint="default"/>
        </w:rPr>
        <w:t>0.00</w:t>
      </w:r>
      <w:r>
        <w:rPr>
          <w:rFonts w:ascii="宋体" w:hAnsi="宋体" w:cs="宋体" w:eastAsia="宋体" w:hint="default"/>
          <w:spacing w:val="-45"/>
        </w:rPr>
        <w:t> </w:t>
      </w:r>
      <w:r>
        <w:rPr/>
        <w:t>元。</w:t>
      </w:r>
    </w:p>
    <w:p>
      <w:pPr>
        <w:pStyle w:val="BodyText"/>
        <w:spacing w:line="240" w:lineRule="auto" w:before="116"/>
        <w:ind w:left="154" w:right="889"/>
        <w:jc w:val="left"/>
      </w:pPr>
      <w:r>
        <w:rPr>
          <w:rFonts w:ascii="宋体" w:hAnsi="宋体" w:cs="宋体" w:eastAsia="宋体" w:hint="default"/>
        </w:rPr>
        <w:t>4)</w:t>
      </w:r>
      <w:r>
        <w:rPr/>
        <w:t>、由于同一控制导致的合并范围变更，影响期初未分配利润</w:t>
      </w:r>
      <w:r>
        <w:rPr>
          <w:spacing w:val="-45"/>
        </w:rPr>
        <w:t> </w:t>
      </w:r>
      <w:r>
        <w:rPr>
          <w:rFonts w:ascii="宋体" w:hAnsi="宋体" w:cs="宋体" w:eastAsia="宋体" w:hint="default"/>
        </w:rPr>
        <w:t>0.00</w:t>
      </w:r>
      <w:r>
        <w:rPr>
          <w:rFonts w:ascii="宋体" w:hAnsi="宋体" w:cs="宋体" w:eastAsia="宋体" w:hint="default"/>
          <w:spacing w:val="-45"/>
        </w:rPr>
        <w:t> </w:t>
      </w:r>
      <w:r>
        <w:rPr/>
        <w:t>元。</w:t>
      </w:r>
    </w:p>
    <w:p>
      <w:pPr>
        <w:pStyle w:val="BodyText"/>
        <w:spacing w:line="240" w:lineRule="auto" w:before="116"/>
        <w:ind w:left="154" w:right="889"/>
        <w:jc w:val="left"/>
      </w:pPr>
      <w:r>
        <w:rPr>
          <w:rFonts w:ascii="宋体" w:hAnsi="宋体" w:cs="宋体" w:eastAsia="宋体" w:hint="default"/>
        </w:rPr>
        <w:t>5)</w:t>
      </w:r>
      <w:r>
        <w:rPr/>
        <w:t>、其他调整合计影响期初未分配利润</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1"/>
        <w:rPr>
          <w:rFonts w:ascii="宋体" w:hAnsi="宋体" w:cs="宋体" w:eastAsia="宋体" w:hint="default"/>
          <w:sz w:val="26"/>
          <w:szCs w:val="26"/>
        </w:rPr>
      </w:pPr>
    </w:p>
    <w:p>
      <w:pPr>
        <w:pStyle w:val="Heading3"/>
        <w:spacing w:line="240" w:lineRule="auto"/>
        <w:ind w:left="154" w:right="889"/>
        <w:jc w:val="left"/>
        <w:rPr>
          <w:b w:val="0"/>
          <w:bCs w:val="0"/>
        </w:rPr>
      </w:pPr>
      <w:bookmarkStart w:name="31、营业收入和营业成本" w:id="267"/>
      <w:bookmarkEnd w:id="267"/>
      <w:r>
        <w:rPr>
          <w:b w:val="0"/>
          <w:bCs w:val="0"/>
        </w:rPr>
      </w:r>
      <w:r>
        <w:rPr>
          <w:rFonts w:ascii="Times New Roman" w:hAnsi="Times New Roman" w:cs="Times New Roman" w:eastAsia="Times New Roman" w:hint="default"/>
        </w:rPr>
        <w:t>31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3,172,996,288.26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2,708,228,113.56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2,691,714,149.77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2,256,668,919.95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3,172,996,288.26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2,708,228,113.56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2,691,714,149.77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2,256,668,919.95</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32、税金及附加" w:id="268"/>
      <w:bookmarkEnd w:id="268"/>
      <w:r>
        <w:rPr>
          <w:b w:val="0"/>
          <w:bCs w:val="0"/>
        </w:rPr>
      </w:r>
      <w:r>
        <w:rPr>
          <w:rFonts w:ascii="Times New Roman" w:hAnsi="Times New Roman" w:cs="Times New Roman" w:eastAsia="Times New Roman" w:hint="default"/>
        </w:rPr>
        <w:t>32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9,288,294.67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7,141,365.92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6,667,668.24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5,098,030.13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1,219,014.57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692,682.23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402,925.00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322,340.00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1,439,908.16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445,797.72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18,209,706.04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12,119,262.85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6,886,881.56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31,137,073.49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38,796,803.60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89"/>
        <w:jc w:val="left"/>
        <w:rPr>
          <w:b w:val="0"/>
          <w:bCs w:val="0"/>
        </w:rPr>
      </w:pPr>
      <w:bookmarkStart w:name="33、销售费用" w:id="269"/>
      <w:bookmarkEnd w:id="269"/>
      <w:r>
        <w:rPr>
          <w:b w:val="0"/>
          <w:bCs w:val="0"/>
        </w:rPr>
      </w:r>
      <w:r>
        <w:rPr>
          <w:rFonts w:ascii="Times New Roman" w:hAnsi="Times New Roman" w:cs="Times New Roman" w:eastAsia="Times New Roman" w:hint="default"/>
        </w:rPr>
        <w:t>33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17,245,054.00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13,325,282.79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汽车、差旅费及业务费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11,165,203.66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8,990,097.02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1,338,895.91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2,872,135.05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2,761,670.07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1,103,046.55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32,510,823.64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26,290,561.41</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34、管理费用" w:id="270"/>
      <w:bookmarkEnd w:id="270"/>
      <w:r>
        <w:rPr>
          <w:b w:val="0"/>
          <w:bCs w:val="0"/>
        </w:rPr>
      </w:r>
      <w:r>
        <w:rPr>
          <w:rFonts w:ascii="Times New Roman" w:hAnsi="Times New Roman" w:cs="Times New Roman" w:eastAsia="Times New Roman" w:hint="default"/>
        </w:rPr>
        <w:t>34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35,073,065.40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25,276,519.50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业务招待及差旅费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10,687,590.22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12,084,221.90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汽车、维修、劳保费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5,904,581.50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3,625,356.56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办公、通讯及邮费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5,682,089.15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5,395,457.21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折旧及无形资产、长期待摊费用摊销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17,596,428.62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15,729,684.80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会议、协会评审及培训费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2,272,442.04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1,118,940.48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律师、咨询及中介费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5,341,592.73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2,586,090.02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租赁及水电费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9,832,395.96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8,691,070.20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印花税及其他税费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1,128,643.00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4,266,545.77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3,025,034.50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96,656,731.39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78,661,018.17</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35、财务费用" w:id="271"/>
      <w:bookmarkEnd w:id="271"/>
      <w:r>
        <w:rPr>
          <w:b w:val="0"/>
          <w:bCs w:val="0"/>
        </w:rPr>
      </w:r>
      <w:r>
        <w:rPr>
          <w:rFonts w:ascii="Times New Roman" w:hAnsi="Times New Roman" w:cs="Times New Roman" w:eastAsia="Times New Roman" w:hint="default"/>
        </w:rPr>
        <w:t>35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51,382,264.67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30,429,399.13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10,019,988.43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1,687,732.49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1,473,186.27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1,108,256.92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333,219.75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-16,669.28</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43,168,798.91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29,833,254.28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89"/>
        <w:jc w:val="left"/>
        <w:rPr>
          <w:b w:val="0"/>
          <w:bCs w:val="0"/>
        </w:rPr>
      </w:pPr>
      <w:bookmarkStart w:name="36、资产减值损失" w:id="272"/>
      <w:bookmarkEnd w:id="272"/>
      <w:r>
        <w:rPr>
          <w:b w:val="0"/>
          <w:bCs w:val="0"/>
        </w:rPr>
      </w:r>
      <w:r>
        <w:rPr>
          <w:rFonts w:ascii="Times New Roman" w:hAnsi="Times New Roman" w:cs="Times New Roman" w:eastAsia="Times New Roman" w:hint="default"/>
        </w:rPr>
        <w:t>36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62,651,056.34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63,891,369.75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62,651,056.34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63,891,369.75</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37、投资收益" w:id="273"/>
      <w:bookmarkEnd w:id="273"/>
      <w:r>
        <w:rPr>
          <w:b w:val="0"/>
          <w:bCs w:val="0"/>
        </w:rPr>
      </w:r>
      <w:r>
        <w:rPr>
          <w:rFonts w:ascii="Times New Roman" w:hAnsi="Times New Roman" w:cs="Times New Roman" w:eastAsia="Times New Roman" w:hint="default"/>
        </w:rPr>
        <w:t>37</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2,487,883.69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3"/>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-315,457.58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1,812,863.71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462"/>
        <w:gridCol w:w="3191"/>
        <w:gridCol w:w="2918"/>
      </w:tblGrid>
      <w:tr>
        <w:trPr>
          <w:trHeight w:val="40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3,985,289.82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38、资产处置收益" w:id="274"/>
      <w:bookmarkEnd w:id="274"/>
      <w:r>
        <w:rPr>
          <w:b w:val="0"/>
          <w:bCs w:val="0"/>
        </w:rPr>
      </w:r>
      <w:r>
        <w:rPr>
          <w:rFonts w:ascii="Times New Roman" w:hAnsi="Times New Roman" w:cs="Times New Roman" w:eastAsia="Times New Roman" w:hint="default"/>
        </w:rPr>
        <w:t>38</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处置固定资产收益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-14,801.61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-130,287.63</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39、其他收益" w:id="275"/>
      <w:bookmarkEnd w:id="275"/>
      <w:r>
        <w:rPr>
          <w:b w:val="0"/>
          <w:bCs w:val="0"/>
        </w:rPr>
      </w:r>
      <w:r>
        <w:rPr>
          <w:rFonts w:ascii="Times New Roman" w:hAnsi="Times New Roman" w:cs="Times New Roman" w:eastAsia="Times New Roman" w:hint="default"/>
        </w:rPr>
        <w:t>39</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与资产相关政府补助摊销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281,209.08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与收益相关补偿已发生的成本费用或损 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2,743,871.58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3,025,080.66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40、营业外收入" w:id="276"/>
      <w:bookmarkEnd w:id="276"/>
      <w:r>
        <w:rPr>
          <w:b w:val="0"/>
          <w:bCs w:val="0"/>
        </w:rPr>
      </w:r>
      <w:r>
        <w:rPr>
          <w:rFonts w:ascii="Times New Roman" w:hAnsi="Times New Roman" w:cs="Times New Roman" w:eastAsia="Times New Roman" w:hint="default"/>
        </w:rPr>
        <w:t>40</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2"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1,059,395.11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574,421.30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1,930,218.78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574,421.30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574,421.30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3,989,613.89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574,421.30</w:t>
            </w:r>
          </w:p>
        </w:tc>
      </w:tr>
    </w:tbl>
    <w:p>
      <w:pPr>
        <w:pStyle w:val="BodyText"/>
        <w:spacing w:line="240" w:lineRule="auto" w:before="51"/>
        <w:ind w:left="154" w:right="889"/>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深圳市罗湖 区产业转型 升级专项资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197,875.65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31"/>
              <w:jc w:val="right"/>
              <w:rPr>
                <w:rFonts w:ascii="宋体" w:hAnsi="宋体" w:cs="宋体" w:eastAsia="宋体" w:hint="default"/>
                <w:sz w:val="18"/>
                <w:szCs w:val="18"/>
              </w:rPr>
            </w:pPr>
            <w:r>
              <w:rPr>
                <w:rFonts w:ascii="宋体" w:hAnsi="宋体" w:cs="宋体" w:eastAsia="宋体" w:hint="default"/>
                <w:sz w:val="18"/>
                <w:szCs w:val="18"/>
              </w:rPr>
              <w:t>重点纳税企</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业管理团队 奖励金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261,519.46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1,059,395.11</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41、营业外支出" w:id="277"/>
      <w:bookmarkEnd w:id="277"/>
      <w:r>
        <w:rPr>
          <w:b w:val="0"/>
          <w:bCs w:val="0"/>
        </w:rPr>
      </w:r>
      <w:r>
        <w:rPr>
          <w:rFonts w:ascii="Times New Roman" w:hAnsi="Times New Roman" w:cs="Times New Roman" w:eastAsia="Times New Roman" w:hint="default"/>
        </w:rPr>
        <w:t>41</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3,846,800.00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3,846,800.00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诉讼赔偿支出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1,769,032.85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租赁合同提前终止装修费损 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751,423.28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罚款支出、滞纳金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22,424.85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22,424.85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65,706.21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21,812.16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65,706.21</w:t>
            </w: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3,934,931.06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4,652,268.29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3,934,931.06</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42、所得税费用" w:id="278"/>
      <w:bookmarkEnd w:id="278"/>
      <w:r>
        <w:rPr>
          <w:b w:val="0"/>
          <w:bCs w:val="0"/>
        </w:rPr>
      </w:r>
      <w:r>
        <w:rPr>
          <w:rFonts w:ascii="Times New Roman" w:hAnsi="Times New Roman" w:cs="Times New Roman" w:eastAsia="Times New Roman" w:hint="default"/>
        </w:rPr>
        <w:t>42</w:t>
      </w:r>
      <w:r>
        <w:rPr/>
        <w:t>、所得税费用</w:t>
      </w:r>
      <w:r>
        <w:rPr>
          <w:b w:val="0"/>
          <w:bCs w:val="0"/>
        </w:rPr>
      </w:r>
    </w:p>
    <w:p>
      <w:pPr>
        <w:spacing w:line="240" w:lineRule="auto" w:before="8"/>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所得税费用表" w:id="279"/>
      <w:bookmarkEnd w:id="2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42,060,894.62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41,060,393.84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42,060,894.62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41,060,393.84</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会计利润与所得税费用调整过程" w:id="280"/>
      <w:bookmarkEnd w:id="28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202,278,750.04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30,341,812.51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-94,014.65</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归属于合营企业和联营企业的损益</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-373,182.56</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不可抵扣的税项费用的纳税影响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11,071,994.20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未确认递延所得税的税务亏损</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1,114,285.12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42,060,894.62</w:t>
            </w:r>
          </w:p>
        </w:tc>
      </w:tr>
    </w:tbl>
    <w:p>
      <w:pPr>
        <w:spacing w:line="240" w:lineRule="auto" w:before="2"/>
        <w:rPr>
          <w:rFonts w:ascii="宋体" w:hAnsi="宋体" w:cs="宋体" w:eastAsia="宋体" w:hint="default"/>
          <w:sz w:val="19"/>
          <w:szCs w:val="19"/>
        </w:rPr>
      </w:pPr>
    </w:p>
    <w:p>
      <w:pPr>
        <w:spacing w:line="547" w:lineRule="auto" w:before="35"/>
        <w:ind w:left="153" w:right="8856" w:firstLine="0"/>
        <w:jc w:val="left"/>
        <w:rPr>
          <w:rFonts w:ascii="宋体" w:hAnsi="宋体" w:cs="宋体" w:eastAsia="宋体" w:hint="default"/>
          <w:sz w:val="21"/>
          <w:szCs w:val="21"/>
        </w:rPr>
      </w:pPr>
      <w:bookmarkStart w:name="43、其他综合收益" w:id="281"/>
      <w:bookmarkEnd w:id="281"/>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 </w:t>
      </w:r>
      <w:bookmarkStart w:name="44、现金流量表项目" w:id="282"/>
      <w:bookmarkEnd w:id="282"/>
      <w:r>
        <w:rPr>
          <w:rFonts w:ascii="宋体" w:hAnsi="宋体" w:cs="宋体" w:eastAsia="宋体" w:hint="default"/>
          <w:sz w:val="18"/>
          <w:szCs w:val="18"/>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5"/>
        <w:ind w:right="889"/>
        <w:jc w:val="left"/>
        <w:rPr>
          <w:b w:val="0"/>
          <w:bCs w:val="0"/>
        </w:rPr>
      </w:pPr>
      <w:bookmarkStart w:name="（1）收到的其他与经营活动有关的现金" w:id="283"/>
      <w:bookmarkEnd w:id="28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10,019,988.43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1,557,993.87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收现的其他收益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2,743,871.58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收现的营业外收入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574,421.30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2,212,426.33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收现保函、票据及农民工工资保证金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78,876.65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7,242,186.63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13,417,157.96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11,012,606.83</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支付的其他与经营活动有关的现金" w:id="284"/>
      <w:bookmarkEnd w:id="28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保证金、备用金及其他往来款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21,935,160.93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6,913,312.05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43,987,237.37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36,600,860.80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15,265,769.64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12,965,278.62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1,473,186.27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1,091,486.90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3,934,931.06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2,659,319.48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86,596,285.27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60,230,257.85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89"/>
        <w:jc w:val="left"/>
        <w:rPr>
          <w:b w:val="0"/>
          <w:bCs w:val="0"/>
        </w:rPr>
      </w:pPr>
      <w:bookmarkStart w:name="（3）收到的其他与投资活动有关的现金" w:id="285"/>
      <w:bookmarkEnd w:id="285"/>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收回理财产品及收益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481,812,863.71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481,812,863.71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4）支付的其他与投资活动有关的现金" w:id="286"/>
      <w:bookmarkEnd w:id="286"/>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诚意金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5）收到的其他与筹资活动有关的现金" w:id="287"/>
      <w:bookmarkEnd w:id="287"/>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129,738.62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129,738.62</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6）支付的其他与筹资活动有关的现金" w:id="288"/>
      <w:bookmarkEnd w:id="288"/>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上市中介费、手续费、宣传费等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80,136,483.95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可转债中介费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2,216,981.11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7,071,981.11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80,136,483.95</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45、现金流量表补充资料" w:id="289"/>
      <w:bookmarkEnd w:id="289"/>
      <w:r>
        <w:rPr>
          <w:b w:val="0"/>
          <w:bCs w:val="0"/>
        </w:rPr>
      </w:r>
      <w:r>
        <w:rPr>
          <w:rFonts w:ascii="Times New Roman" w:hAnsi="Times New Roman" w:cs="Times New Roman" w:eastAsia="Times New Roman" w:hint="default"/>
        </w:rPr>
        <w:t>45</w:t>
      </w:r>
      <w:r>
        <w:rPr/>
        <w:t>、现金流量表补充资料</w:t>
      </w:r>
      <w:r>
        <w:rPr>
          <w:b w:val="0"/>
          <w:bCs w:val="0"/>
        </w:rPr>
      </w:r>
    </w:p>
    <w:p>
      <w:pPr>
        <w:spacing w:line="240" w:lineRule="auto" w:before="8"/>
        <w:rPr>
          <w:rFonts w:ascii="宋体" w:hAnsi="宋体" w:cs="宋体" w:eastAsia="宋体" w:hint="default"/>
          <w:b/>
          <w:bCs/>
          <w:sz w:val="24"/>
          <w:szCs w:val="24"/>
        </w:rPr>
      </w:pPr>
    </w:p>
    <w:p>
      <w:pPr>
        <w:spacing w:before="0"/>
        <w:ind w:left="153" w:right="889" w:firstLine="0"/>
        <w:jc w:val="left"/>
        <w:rPr>
          <w:rFonts w:ascii="宋体" w:hAnsi="宋体" w:cs="宋体" w:eastAsia="宋体" w:hint="default"/>
          <w:sz w:val="21"/>
          <w:szCs w:val="21"/>
        </w:rPr>
      </w:pPr>
      <w:bookmarkStart w:name="（1）现金流量表补充资料" w:id="290"/>
      <w:bookmarkEnd w:id="2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6"/>
        <w:gridCol w:w="3057"/>
        <w:gridCol w:w="3173"/>
      </w:tblGrid>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9"/>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88" w:right="0"/>
              <w:jc w:val="left"/>
              <w:rPr>
                <w:rFonts w:ascii="Times New Roman" w:hAnsi="Times New Roman" w:cs="Times New Roman" w:eastAsia="Times New Roman" w:hint="default"/>
                <w:sz w:val="18"/>
                <w:szCs w:val="18"/>
              </w:rPr>
            </w:pPr>
            <w:r>
              <w:rPr>
                <w:rFonts w:ascii="Times New Roman"/>
                <w:sz w:val="18"/>
              </w:rPr>
              <w:t>160,217,855.42</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27" w:right="0"/>
              <w:jc w:val="left"/>
              <w:rPr>
                <w:rFonts w:ascii="Times New Roman" w:hAnsi="Times New Roman" w:cs="Times New Roman" w:eastAsia="Times New Roman" w:hint="default"/>
                <w:sz w:val="18"/>
                <w:szCs w:val="18"/>
              </w:rPr>
            </w:pPr>
            <w:r>
              <w:rPr>
                <w:rFonts w:ascii="Times New Roman"/>
                <w:sz w:val="18"/>
              </w:rPr>
              <w:t>155,718,886.74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284.029968pt;width:151.25pt;height:40.9pt;mso-position-horizontal-relative:page;mso-position-vertical-relative:page;z-index:-895840" coordorigin="4467,5681" coordsize="3025,818">
            <v:group style="position:absolute;left:4478;top:5692;width:2;height:393" coordorigin="4478,5692" coordsize="2,393">
              <v:shape style="position:absolute;left:4478;top:5692;width:2;height:393" coordorigin="4478,5692" coordsize="0,393" path="m4478,5692l4478,6084e" filled="false" stroked="true" strokeweight="1.140pt" strokecolor="#ffffff">
                <v:path arrowok="t"/>
              </v:shape>
            </v:group>
            <v:group style="position:absolute;left:4490;top:5692;width:3002;height:393" coordorigin="4490,5692" coordsize="3002,393">
              <v:shape style="position:absolute;left:4490;top:5692;width:3002;height:393" coordorigin="4490,5692" coordsize="3002,393" path="m4490,6084l7491,6084,7491,5692,4490,5692,4490,6084xe" filled="true" fillcolor="#ffffff" stroked="false">
                <v:path arrowok="t"/>
                <v:fill type="solid"/>
              </v:shape>
            </v:group>
            <v:group style="position:absolute;left:4478;top:6094;width:2;height:393" coordorigin="4478,6094" coordsize="2,393">
              <v:shape style="position:absolute;left:4478;top:6094;width:2;height:393" coordorigin="4478,6094" coordsize="0,393" path="m4478,6094l4478,6486e" filled="false" stroked="true" strokeweight="1.140pt" strokecolor="#ffffff">
                <v:path arrowok="t"/>
              </v:shape>
            </v:group>
            <v:group style="position:absolute;left:4490;top:6094;width:3002;height:393" coordorigin="4490,6094" coordsize="3002,393">
              <v:shape style="position:absolute;left:4490;top:6094;width:3002;height:393" coordorigin="4490,6094" coordsize="3002,393" path="m4490,6486l7491,6486,7491,6094,4490,6094,4490,6486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400"/>
        <w:gridCol w:w="16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62,651,056.34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63,891,369.75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13,627,134.68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12,858,827.15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2,277,507.25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1,689,244.66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1,691,786.69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1,922,886.27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14,801.61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130,287.63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51,382,264.67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30,299,760.51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-3,985,289.82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40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40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-47,397,872.48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-11,221,108.46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-670,801,310.84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-436,453,116.81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252,023,494.06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69,283,394.88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-178,298,572.42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-111,879,567.68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1,254,371,054.51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1,266,202,177.80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1,266,202,177.80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528,955,715.20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35" w:right="0"/>
              <w:jc w:val="left"/>
              <w:rPr>
                <w:rFonts w:ascii="Times New Roman" w:hAnsi="Times New Roman" w:cs="Times New Roman" w:eastAsia="Times New Roman" w:hint="default"/>
                <w:sz w:val="18"/>
                <w:szCs w:val="18"/>
              </w:rPr>
            </w:pPr>
            <w:r>
              <w:rPr>
                <w:rFonts w:ascii="Times New Roman"/>
                <w:sz w:val="18"/>
              </w:rPr>
              <w:t>-11,831,123.29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737,246,462.60</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现金和现金等价物的构成" w:id="291"/>
      <w:bookmarkEnd w:id="291"/>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1,254,371,054.51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1,266,202,177.80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230,849.64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459,971.44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1,254,140,204.87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1,265,742,206.36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2"/>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2"/>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1,254,371,054.51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1,266,202,177.80</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46、所有权或使用权受到限制的资产" w:id="292"/>
      <w:bookmarkEnd w:id="292"/>
      <w:r>
        <w:rPr>
          <w:b w:val="0"/>
          <w:bCs w:val="0"/>
        </w:rPr>
      </w:r>
      <w:r>
        <w:rPr>
          <w:rFonts w:ascii="Times New Roman" w:hAnsi="Times New Roman" w:cs="Times New Roman" w:eastAsia="Times New Roman" w:hint="default"/>
        </w:rPr>
        <w:t>46</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25,814,769.95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已背书未终止确认的商业承兑汇票</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26,693,769.95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889"/>
        <w:jc w:val="left"/>
      </w:pPr>
      <w:r>
        <w:rPr/>
        <w:t>其他说明： </w:t>
      </w:r>
      <w:r>
        <w:rPr>
          <w:spacing w:val="-2"/>
        </w:rPr>
        <w:t>期末，所有权受到限制的货币资金主要系因开具保函与银行承兑汇票而支付的保证金，应收票据主要系已背书未终止确认的</w:t>
      </w:r>
      <w:r>
        <w:rPr>
          <w:spacing w:val="-64"/>
        </w:rPr>
        <w:t> </w:t>
      </w:r>
      <w:r>
        <w:rPr>
          <w:spacing w:val="-64"/>
        </w:rPr>
      </w:r>
      <w:r>
        <w:rPr/>
        <w:t>商业承兑汇票。</w:t>
      </w:r>
    </w:p>
    <w:p>
      <w:pPr>
        <w:spacing w:line="240" w:lineRule="auto" w:before="4"/>
        <w:rPr>
          <w:rFonts w:ascii="宋体" w:hAnsi="宋体" w:cs="宋体" w:eastAsia="宋体" w:hint="default"/>
          <w:sz w:val="21"/>
          <w:szCs w:val="21"/>
        </w:rPr>
      </w:pPr>
    </w:p>
    <w:p>
      <w:pPr>
        <w:pStyle w:val="Heading3"/>
        <w:spacing w:line="240" w:lineRule="auto"/>
        <w:ind w:right="889"/>
        <w:jc w:val="left"/>
        <w:rPr>
          <w:b w:val="0"/>
          <w:bCs w:val="0"/>
        </w:rPr>
      </w:pPr>
      <w:bookmarkStart w:name="47、外币货币性项目" w:id="293"/>
      <w:bookmarkEnd w:id="293"/>
      <w:r>
        <w:rPr>
          <w:b w:val="0"/>
          <w:bCs w:val="0"/>
        </w:rPr>
      </w:r>
      <w:r>
        <w:rPr>
          <w:rFonts w:ascii="Times New Roman" w:hAnsi="Times New Roman" w:cs="Times New Roman" w:eastAsia="Times New Roman" w:hint="default"/>
        </w:rPr>
        <w:t>47</w:t>
      </w:r>
      <w:r>
        <w:rPr/>
        <w:t>、外币货币性项目</w:t>
      </w:r>
      <w:r>
        <w:rPr>
          <w:b w:val="0"/>
          <w:bCs w:val="0"/>
        </w:rPr>
      </w:r>
    </w:p>
    <w:p>
      <w:pPr>
        <w:spacing w:line="240" w:lineRule="auto" w:before="8"/>
        <w:rPr>
          <w:rFonts w:ascii="宋体" w:hAnsi="宋体" w:cs="宋体" w:eastAsia="宋体" w:hint="default"/>
          <w:b/>
          <w:bCs/>
          <w:sz w:val="24"/>
          <w:szCs w:val="24"/>
        </w:rPr>
      </w:pPr>
    </w:p>
    <w:p>
      <w:pPr>
        <w:spacing w:before="0"/>
        <w:ind w:left="153" w:right="889" w:firstLine="0"/>
        <w:jc w:val="left"/>
        <w:rPr>
          <w:rFonts w:ascii="宋体" w:hAnsi="宋体" w:cs="宋体" w:eastAsia="宋体" w:hint="default"/>
          <w:sz w:val="21"/>
          <w:szCs w:val="21"/>
        </w:rPr>
      </w:pPr>
      <w:bookmarkStart w:name="（1）外币货币性项目" w:id="294"/>
      <w:bookmarkEnd w:id="2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45,343.27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36,799.27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30,753.15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17,919.58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0.8142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14,590.12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720,055.91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884,372.28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0.8142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720,055.91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59" w:lineRule="auto" w:before="35"/>
        <w:ind w:left="154" w:right="889"/>
        <w:jc w:val="left"/>
        <w:rPr>
          <w:b w:val="0"/>
          <w:bCs w:val="0"/>
        </w:rPr>
      </w:pPr>
      <w:bookmarkStart w:name="（2）境外经营实体说明，包括对于重要的境外经营实体，应披露其境外主要经营地、记账" w:id="295"/>
      <w:bookmarkEnd w:id="295"/>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八、合并范围的变更" w:id="296"/>
      <w:bookmarkEnd w:id="296"/>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其他原因的合并范围变动" w:id="297"/>
      <w:bookmarkEnd w:id="297"/>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73" w:right="3913" w:hanging="420"/>
        <w:jc w:val="left"/>
      </w:pPr>
      <w:r>
        <w:rPr/>
        <w:t>说明其他原因导致的合并范围变动（如，新设子公司、清算子公司等）及其相关情况： </w:t>
      </w:r>
      <w:r>
        <w:rPr>
          <w:rFonts w:ascii="宋体" w:hAnsi="宋体" w:cs="宋体" w:eastAsia="宋体" w:hint="default"/>
        </w:rPr>
        <w:t>1</w:t>
      </w:r>
      <w:r>
        <w:rPr/>
        <w:t>、因其他方式增加子公司的情况说明</w:t>
      </w:r>
    </w:p>
    <w:p>
      <w:pPr>
        <w:pStyle w:val="BodyText"/>
        <w:spacing w:line="240" w:lineRule="auto" w:before="108"/>
        <w:ind w:left="573" w:right="889"/>
        <w:jc w:val="left"/>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w:t>
      </w:r>
      <w:r>
        <w:rPr/>
        <w:t>日，本公司投资设立全资子公司深圳市中装城市建设发展有限公司（以下简称中装城市建设），注册资本</w:t>
      </w:r>
    </w:p>
    <w:p>
      <w:pPr>
        <w:pStyle w:val="BodyText"/>
        <w:spacing w:line="240" w:lineRule="auto" w:before="76"/>
        <w:ind w:left="154" w:right="0"/>
        <w:jc w:val="both"/>
      </w:pPr>
      <w:r>
        <w:rPr>
          <w:rFonts w:ascii="宋体" w:hAnsi="宋体" w:cs="宋体" w:eastAsia="宋体" w:hint="default"/>
        </w:rPr>
        <w:t>10,000.00</w:t>
      </w:r>
      <w:r>
        <w:rPr/>
        <w:t>万元。因此中装城市建设自</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w:t>
      </w:r>
      <w:r>
        <w:rPr/>
        <w:t>日开始纳入合并范围。</w:t>
      </w:r>
    </w:p>
    <w:p>
      <w:pPr>
        <w:spacing w:line="240" w:lineRule="auto" w:before="0"/>
        <w:rPr>
          <w:rFonts w:ascii="宋体" w:hAnsi="宋体" w:cs="宋体" w:eastAsia="宋体" w:hint="default"/>
          <w:sz w:val="15"/>
          <w:szCs w:val="15"/>
        </w:rPr>
      </w:pPr>
    </w:p>
    <w:p>
      <w:pPr>
        <w:pStyle w:val="BodyText"/>
        <w:spacing w:line="240" w:lineRule="auto"/>
        <w:ind w:left="573" w:right="889"/>
        <w:jc w:val="left"/>
      </w:pPr>
      <w:r>
        <w:rPr>
          <w:rFonts w:ascii="宋体" w:hAnsi="宋体" w:cs="宋体" w:eastAsia="宋体" w:hint="default"/>
          <w:spacing w:val="5"/>
        </w:rPr>
        <w:t>2017</w:t>
      </w:r>
      <w:r>
        <w:rPr>
          <w:spacing w:val="5"/>
        </w:rPr>
        <w:t>年</w:t>
      </w:r>
      <w:r>
        <w:rPr>
          <w:rFonts w:ascii="宋体" w:hAnsi="宋体" w:cs="宋体" w:eastAsia="宋体" w:hint="default"/>
          <w:spacing w:val="5"/>
        </w:rPr>
        <w:t>7</w:t>
      </w:r>
      <w:r>
        <w:rPr>
          <w:spacing w:val="5"/>
        </w:rPr>
        <w:t>月</w:t>
      </w:r>
      <w:r>
        <w:rPr>
          <w:rFonts w:ascii="宋体" w:hAnsi="宋体" w:cs="宋体" w:eastAsia="宋体" w:hint="default"/>
          <w:spacing w:val="5"/>
        </w:rPr>
        <w:t>20</w:t>
      </w:r>
      <w:r>
        <w:rPr>
          <w:spacing w:val="5"/>
        </w:rPr>
        <w:t>日，本公司投资设立控股子公司深圳市中装新能源科技有限公司（以下简称中装新能源），注册资本</w:t>
      </w:r>
    </w:p>
    <w:p>
      <w:pPr>
        <w:pStyle w:val="BodyText"/>
        <w:spacing w:line="240" w:lineRule="auto" w:before="76"/>
        <w:ind w:right="0"/>
        <w:jc w:val="both"/>
      </w:pPr>
      <w:r>
        <w:rPr>
          <w:rFonts w:ascii="宋体" w:hAnsi="宋体" w:cs="宋体" w:eastAsia="宋体" w:hint="default"/>
        </w:rPr>
        <w:t>1,000.00</w:t>
      </w:r>
      <w:r>
        <w:rPr/>
        <w:t>万元。因此中装新能源自</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20</w:t>
      </w:r>
      <w:r>
        <w:rPr/>
        <w:t>日开始纳入合并范围</w:t>
      </w:r>
    </w:p>
    <w:p>
      <w:pPr>
        <w:spacing w:line="240" w:lineRule="auto" w:before="0"/>
        <w:rPr>
          <w:rFonts w:ascii="宋体" w:hAnsi="宋体" w:cs="宋体" w:eastAsia="宋体" w:hint="default"/>
          <w:sz w:val="15"/>
          <w:szCs w:val="15"/>
        </w:rPr>
      </w:pPr>
    </w:p>
    <w:p>
      <w:pPr>
        <w:pStyle w:val="BodyText"/>
        <w:spacing w:line="240" w:lineRule="auto"/>
        <w:ind w:left="574" w:right="889"/>
        <w:jc w:val="left"/>
      </w:pPr>
      <w:r>
        <w:rPr>
          <w:rFonts w:ascii="宋体" w:hAnsi="宋体" w:cs="宋体" w:eastAsia="宋体" w:hint="default"/>
        </w:rPr>
        <w:t>2</w:t>
      </w:r>
      <w:r>
        <w:rPr/>
        <w:t>、因其他方式减少子公司的情况说明</w:t>
      </w:r>
    </w:p>
    <w:p>
      <w:pPr>
        <w:spacing w:line="240" w:lineRule="auto" w:before="0"/>
        <w:rPr>
          <w:rFonts w:ascii="宋体" w:hAnsi="宋体" w:cs="宋体" w:eastAsia="宋体" w:hint="default"/>
          <w:sz w:val="15"/>
          <w:szCs w:val="15"/>
        </w:rPr>
      </w:pPr>
    </w:p>
    <w:p>
      <w:pPr>
        <w:pStyle w:val="BodyText"/>
        <w:spacing w:line="316" w:lineRule="auto"/>
        <w:ind w:right="1050"/>
        <w:jc w:val="both"/>
      </w:pPr>
      <w:r>
        <w:rPr/>
        <w:t>公司于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14</w:t>
      </w:r>
      <w:r>
        <w:rPr/>
        <w:t>日经第二届董事会第十一次会议审议通过《关于注销控股子公司深圳市中装光伏建筑科技有限公司的议</w:t>
      </w:r>
      <w:r>
        <w:rPr>
          <w:spacing w:val="-83"/>
        </w:rPr>
        <w:t> </w:t>
      </w:r>
      <w:r>
        <w:rPr>
          <w:spacing w:val="-83"/>
        </w:rPr>
      </w:r>
      <w:r>
        <w:rPr>
          <w:spacing w:val="-2"/>
        </w:rPr>
        <w:t>案》，同意注销中装光伏，并授权中装光伏经营管理层负责办理清算、注销事宜。截至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日，中装光伏已经完成</w:t>
      </w:r>
      <w:r>
        <w:rPr>
          <w:spacing w:val="-61"/>
        </w:rPr>
        <w:t> </w:t>
      </w:r>
      <w:r>
        <w:rPr>
          <w:spacing w:val="-61"/>
        </w:rPr>
      </w:r>
      <w:r>
        <w:rPr>
          <w:spacing w:val="-2"/>
        </w:rPr>
        <w:t>了清算并办理完成了税务注销、银行注销手续，但工商注销手续仍在办理过程中，考虑到除工商注销手续外，其他清算、注</w:t>
      </w:r>
      <w:r>
        <w:rPr>
          <w:spacing w:val="-66"/>
        </w:rPr>
        <w:t> </w:t>
      </w:r>
      <w:r>
        <w:rPr>
          <w:spacing w:val="-66"/>
        </w:rPr>
      </w:r>
      <w:r>
        <w:rPr/>
        <w:t>销程序已完成，且该工商注销程序正在有序进行中且公司管理层不会终止该流程，因此本报告期视同该子公司已注销处理。</w:t>
      </w:r>
    </w:p>
    <w:p>
      <w:pPr>
        <w:spacing w:after="0" w:line="316"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889"/>
        <w:jc w:val="left"/>
        <w:rPr>
          <w:b w:val="0"/>
          <w:bCs w:val="0"/>
        </w:rPr>
      </w:pPr>
      <w:bookmarkStart w:name="九、在其他主体中的权益" w:id="298"/>
      <w:bookmarkEnd w:id="298"/>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89"/>
        <w:jc w:val="left"/>
        <w:rPr>
          <w:b w:val="0"/>
          <w:bCs w:val="0"/>
        </w:rPr>
      </w:pPr>
      <w:bookmarkStart w:name="1、在子公司中的权益" w:id="299"/>
      <w:bookmarkEnd w:id="299"/>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spacing w:before="0"/>
        <w:ind w:left="153" w:right="889" w:firstLine="0"/>
        <w:jc w:val="left"/>
        <w:rPr>
          <w:rFonts w:ascii="宋体" w:hAnsi="宋体" w:cs="宋体" w:eastAsia="宋体" w:hint="default"/>
          <w:sz w:val="21"/>
          <w:szCs w:val="21"/>
        </w:rPr>
      </w:pPr>
      <w:bookmarkStart w:name="（1）企业集团的构成" w:id="300"/>
      <w:bookmarkEnd w:id="3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吉林中装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惠州中装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建筑装饰材料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中装利丰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中装园林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南京卓佰年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中装智能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中装城市建设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对外投资、咨询 顾问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中装新能源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新能源开发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before="35"/>
        <w:ind w:left="154" w:right="889" w:firstLine="0"/>
        <w:jc w:val="left"/>
        <w:rPr>
          <w:rFonts w:ascii="宋体" w:hAnsi="宋体" w:cs="宋体" w:eastAsia="宋体" w:hint="default"/>
          <w:sz w:val="21"/>
          <w:szCs w:val="21"/>
        </w:rPr>
      </w:pPr>
      <w:bookmarkStart w:name="2、在合营安排或联营企业中的权益" w:id="301"/>
      <w:bookmarkEnd w:id="30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重要的合营企业或联营企业" w:id="302"/>
      <w:bookmarkEnd w:id="3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赛格物业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引爆互联网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54" w:right="889"/>
        <w:jc w:val="left"/>
      </w:pPr>
      <w:r>
        <w:rPr/>
        <w:t>在合营企业或联营企业的持股比例不同于表决权比例的说明：</w:t>
      </w:r>
    </w:p>
    <w:p>
      <w:pPr>
        <w:pStyle w:val="BodyText"/>
        <w:spacing w:line="338" w:lineRule="auto" w:before="117"/>
        <w:ind w:left="154" w:right="889"/>
        <w:jc w:val="left"/>
      </w:pPr>
      <w:r>
        <w:rPr/>
        <w:t>持有</w:t>
      </w:r>
      <w:r>
        <w:rPr>
          <w:spacing w:val="-46"/>
        </w:rPr>
        <w:t> </w:t>
      </w:r>
      <w:r>
        <w:rPr>
          <w:rFonts w:ascii="宋体" w:hAnsi="宋体" w:cs="宋体" w:eastAsia="宋体" w:hint="default"/>
        </w:rPr>
        <w:t>20%</w:t>
      </w:r>
      <w:r>
        <w:rPr/>
        <w:t>以下表决权但具有重大影响，或者持有</w:t>
      </w:r>
      <w:r>
        <w:rPr>
          <w:spacing w:val="-46"/>
        </w:rPr>
        <w:t> </w:t>
      </w:r>
      <w:r>
        <w:rPr>
          <w:rFonts w:ascii="宋体" w:hAnsi="宋体" w:cs="宋体" w:eastAsia="宋体" w:hint="default"/>
        </w:rPr>
        <w:t>20%</w:t>
      </w:r>
      <w:r>
        <w:rPr/>
        <w:t>或以上表决权但不具有重大影响的依据： </w:t>
      </w:r>
      <w:r>
        <w:rPr>
          <w:rFonts w:ascii="宋体" w:hAnsi="宋体" w:cs="宋体" w:eastAsia="宋体" w:hint="default"/>
          <w:spacing w:val="-2"/>
        </w:rPr>
        <w:t>2017</w:t>
      </w:r>
      <w:r>
        <w:rPr>
          <w:spacing w:val="-2"/>
        </w:rPr>
        <w:t>年，公司对引爆互联网进行增资，根据《增资扩股协议》，引爆互联网董事会设</w:t>
      </w:r>
      <w:r>
        <w:rPr>
          <w:rFonts w:ascii="宋体" w:hAnsi="宋体" w:cs="宋体" w:eastAsia="宋体" w:hint="default"/>
          <w:spacing w:val="-2"/>
        </w:rPr>
        <w:t>5</w:t>
      </w:r>
      <w:r>
        <w:rPr>
          <w:spacing w:val="-2"/>
        </w:rPr>
        <w:t>名董事，公司委派</w:t>
      </w:r>
      <w:r>
        <w:rPr>
          <w:rFonts w:ascii="宋体" w:hAnsi="宋体" w:cs="宋体" w:eastAsia="宋体" w:hint="default"/>
          <w:spacing w:val="-2"/>
        </w:rPr>
        <w:t>1</w:t>
      </w:r>
      <w:r>
        <w:rPr>
          <w:spacing w:val="-2"/>
        </w:rPr>
        <w:t>名董事，因此公司</w:t>
      </w:r>
      <w:r>
        <w:rPr>
          <w:spacing w:val="-65"/>
        </w:rPr>
        <w:t> </w:t>
      </w:r>
      <w:r>
        <w:rPr>
          <w:spacing w:val="-65"/>
        </w:rPr>
      </w:r>
      <w:r>
        <w:rPr>
          <w:spacing w:val="-2"/>
        </w:rPr>
        <w:t>对引爆互联网的财务和经营政策有参与决策的权力，但并不能够控制或者与其他方一起共同控制这些政策的制定，故判断公</w:t>
      </w:r>
    </w:p>
    <w:p>
      <w:pPr>
        <w:pStyle w:val="BodyText"/>
        <w:spacing w:line="240" w:lineRule="auto" w:before="2"/>
        <w:ind w:left="154" w:right="889"/>
        <w:jc w:val="left"/>
      </w:pPr>
      <w:r>
        <w:rPr/>
        <w:t>司对该被投资单位具有重大影响，以权益法进行后续计量。</w:t>
      </w:r>
    </w:p>
    <w:p>
      <w:pPr>
        <w:spacing w:line="240" w:lineRule="auto" w:before="12"/>
        <w:rPr>
          <w:rFonts w:ascii="宋体" w:hAnsi="宋体" w:cs="宋体" w:eastAsia="宋体" w:hint="default"/>
          <w:sz w:val="26"/>
          <w:szCs w:val="26"/>
        </w:rPr>
      </w:pPr>
    </w:p>
    <w:p>
      <w:pPr>
        <w:pStyle w:val="Heading3"/>
        <w:spacing w:line="240" w:lineRule="auto"/>
        <w:ind w:left="154" w:right="889"/>
        <w:jc w:val="left"/>
        <w:rPr>
          <w:b w:val="0"/>
          <w:bCs w:val="0"/>
        </w:rPr>
      </w:pPr>
      <w:bookmarkStart w:name="（2）重要联营企业的主要财务信息" w:id="303"/>
      <w:bookmarkEnd w:id="303"/>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sz w:val="18"/>
                <w:szCs w:val="18"/>
              </w:rPr>
              <w:t>赛格物业</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引爆互联网</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赛格物业</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引爆互联网</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223,277,699.43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105,034,457.91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18,195,109.15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5,441.75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241,472,808.58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105,039,899.66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95,388,839.54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5,810,428.04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14"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95,388,839.54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5,810,428.04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146,083,969.04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99,229,471.62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36,520,992.26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9,922,947.16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40,454,915.28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9,922,966.89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存在公开报价的联营企 业权益投资的公允价值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99,542,940.84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10,259,667.20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-770,331.06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10,259,667.20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-770,331.06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本年度收到的来自联营 企业的股利</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889"/>
        <w:jc w:val="left"/>
        <w:rPr>
          <w:b w:val="0"/>
          <w:bCs w:val="0"/>
        </w:rPr>
      </w:pPr>
      <w:bookmarkStart w:name="十、与金融工具相关的风险" w:id="304"/>
      <w:bookmarkEnd w:id="304"/>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53" w:firstLine="420"/>
        <w:jc w:val="left"/>
      </w:pPr>
      <w:r>
        <w:rPr/>
        <w:t>本公司的主要金融工具为货币资金、银行借款。金融工具的主要目的在于为本公司的运营融资。本公司具有多种因经 营而直接产生的其他金融资产和负债，如应收账款和应付账款等。</w:t>
      </w:r>
    </w:p>
    <w:p>
      <w:pPr>
        <w:spacing w:line="439" w:lineRule="auto" w:before="137"/>
        <w:ind w:left="576" w:right="4753" w:hanging="3"/>
        <w:jc w:val="left"/>
        <w:rPr>
          <w:rFonts w:ascii="宋体" w:hAnsi="宋体" w:cs="宋体" w:eastAsia="宋体" w:hint="default"/>
          <w:sz w:val="18"/>
          <w:szCs w:val="18"/>
        </w:rPr>
      </w:pPr>
      <w:r>
        <w:rPr>
          <w:rFonts w:ascii="宋体" w:hAnsi="宋体" w:cs="宋体" w:eastAsia="宋体" w:hint="default"/>
          <w:sz w:val="18"/>
          <w:szCs w:val="18"/>
        </w:rPr>
        <w:t>本公司的金融工具导致的主要风险是信用风险、流动风险及市场风险。 </w:t>
      </w:r>
      <w:r>
        <w:rPr>
          <w:rFonts w:ascii="宋体" w:hAnsi="宋体" w:cs="宋体" w:eastAsia="宋体" w:hint="default"/>
          <w:b/>
          <w:bCs/>
          <w:sz w:val="18"/>
          <w:szCs w:val="18"/>
        </w:rPr>
        <w:t>1.</w:t>
      </w:r>
      <w:r>
        <w:rPr>
          <w:rFonts w:ascii="宋体" w:hAnsi="宋体" w:cs="宋体" w:eastAsia="宋体" w:hint="default"/>
          <w:b/>
          <w:bCs/>
          <w:spacing w:val="-2"/>
          <w:sz w:val="18"/>
          <w:szCs w:val="18"/>
        </w:rPr>
        <w:t> </w:t>
      </w:r>
      <w:r>
        <w:rPr>
          <w:rFonts w:ascii="宋体" w:hAnsi="宋体" w:cs="宋体" w:eastAsia="宋体" w:hint="default"/>
          <w:b/>
          <w:bCs/>
          <w:sz w:val="18"/>
          <w:szCs w:val="18"/>
        </w:rPr>
        <w:t>金融工具分类</w:t>
      </w:r>
      <w:r>
        <w:rPr>
          <w:rFonts w:ascii="宋体" w:hAnsi="宋体" w:cs="宋体" w:eastAsia="宋体" w:hint="default"/>
          <w:sz w:val="18"/>
          <w:szCs w:val="18"/>
        </w:rPr>
      </w:r>
    </w:p>
    <w:p>
      <w:pPr>
        <w:spacing w:after="0" w:line="43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240" w:lineRule="auto" w:before="44"/>
        <w:ind w:left="573" w:right="889"/>
        <w:jc w:val="left"/>
      </w:pPr>
      <w:r>
        <w:rPr/>
        <w:t>（</w:t>
      </w:r>
      <w:r>
        <w:rPr>
          <w:rFonts w:ascii="宋体" w:hAnsi="宋体" w:cs="宋体" w:eastAsia="宋体" w:hint="default"/>
        </w:rPr>
        <w:t>1</w:t>
      </w:r>
      <w:r>
        <w:rPr/>
        <w:t>）资产负债表日的各类金融资产的账面价值如下：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44"/>
        <w:ind w:left="996" w:right="3221"/>
        <w:jc w:val="center"/>
        <w:rPr>
          <w:rFonts w:ascii="宋体" w:hAnsi="宋体" w:cs="宋体" w:eastAsia="宋体" w:hint="default"/>
        </w:rPr>
      </w:pPr>
      <w:r>
        <w:rPr/>
        <w:pict>
          <v:shape style="position:absolute;margin-left:56.700001pt;margin-top:-75.562645pt;width:447.5pt;height:157.550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61"/>
                    <w:gridCol w:w="701"/>
                    <w:gridCol w:w="78"/>
                    <w:gridCol w:w="216"/>
                    <w:gridCol w:w="1475"/>
                    <w:gridCol w:w="1351"/>
                    <w:gridCol w:w="216"/>
                    <w:gridCol w:w="1451"/>
                  </w:tblGrid>
                  <w:tr>
                    <w:trPr>
                      <w:trHeight w:val="264" w:hRule="exact"/>
                    </w:trPr>
                    <w:tc>
                      <w:tcPr>
                        <w:tcW w:w="3461" w:type="dxa"/>
                        <w:tcBorders>
                          <w:top w:val="nil" w:sz="6" w:space="0" w:color="auto"/>
                          <w:left w:val="nil" w:sz="6" w:space="0" w:color="auto"/>
                          <w:bottom w:val="single" w:sz="6" w:space="0" w:color="000000"/>
                          <w:right w:val="nil" w:sz="6" w:space="0" w:color="auto"/>
                        </w:tcBorders>
                      </w:tcPr>
                      <w:p>
                        <w:pPr>
                          <w:pStyle w:val="TableParagraph"/>
                          <w:spacing w:line="180" w:lineRule="exact"/>
                          <w:ind w:left="606"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tc>
                    <w:tc>
                      <w:tcPr>
                        <w:tcW w:w="701" w:type="dxa"/>
                        <w:tcBorders>
                          <w:top w:val="nil" w:sz="6" w:space="0" w:color="auto"/>
                          <w:left w:val="nil" w:sz="6" w:space="0" w:color="auto"/>
                          <w:bottom w:val="single" w:sz="6" w:space="0" w:color="000000"/>
                          <w:right w:val="nil" w:sz="6" w:space="0" w:color="auto"/>
                        </w:tcBorders>
                      </w:tcPr>
                      <w:p>
                        <w:pPr/>
                      </w:p>
                    </w:tc>
                    <w:tc>
                      <w:tcPr>
                        <w:tcW w:w="78" w:type="dxa"/>
                        <w:tcBorders>
                          <w:top w:val="nil" w:sz="6" w:space="0" w:color="auto"/>
                          <w:left w:val="nil" w:sz="6" w:space="0" w:color="auto"/>
                          <w:bottom w:val="single" w:sz="6" w:space="0" w:color="000000"/>
                          <w:right w:val="nil" w:sz="6" w:space="0" w:color="auto"/>
                        </w:tcBorders>
                      </w:tcPr>
                      <w:p>
                        <w:pPr/>
                      </w:p>
                    </w:tc>
                    <w:tc>
                      <w:tcPr>
                        <w:tcW w:w="3042" w:type="dxa"/>
                        <w:gridSpan w:val="3"/>
                        <w:tcBorders>
                          <w:top w:val="nil" w:sz="6" w:space="0" w:color="auto"/>
                          <w:left w:val="nil" w:sz="6" w:space="0" w:color="auto"/>
                          <w:bottom w:val="single" w:sz="6" w:space="0" w:color="000000"/>
                          <w:right w:val="nil" w:sz="6" w:space="0" w:color="auto"/>
                        </w:tcBorders>
                      </w:tcPr>
                      <w:p>
                        <w:pPr>
                          <w:pStyle w:val="TableParagraph"/>
                          <w:spacing w:line="180" w:lineRule="exact"/>
                          <w:ind w:right="275"/>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6" w:type="dxa"/>
                        <w:tcBorders>
                          <w:top w:val="nil" w:sz="6" w:space="0" w:color="auto"/>
                          <w:left w:val="nil" w:sz="6" w:space="0" w:color="auto"/>
                          <w:bottom w:val="single" w:sz="6" w:space="0" w:color="000000"/>
                          <w:right w:val="nil" w:sz="6" w:space="0" w:color="auto"/>
                        </w:tcBorders>
                      </w:tcPr>
                      <w:p>
                        <w:pPr/>
                      </w:p>
                    </w:tc>
                    <w:tc>
                      <w:tcPr>
                        <w:tcW w:w="1451" w:type="dxa"/>
                        <w:tcBorders>
                          <w:top w:val="nil" w:sz="6" w:space="0" w:color="auto"/>
                          <w:left w:val="nil" w:sz="6" w:space="0" w:color="auto"/>
                          <w:bottom w:val="single" w:sz="6" w:space="0" w:color="000000"/>
                          <w:right w:val="nil" w:sz="6" w:space="0" w:color="auto"/>
                        </w:tcBorders>
                      </w:tcPr>
                      <w:p>
                        <w:pPr/>
                      </w:p>
                    </w:tc>
                  </w:tr>
                  <w:tr>
                    <w:trPr>
                      <w:trHeight w:val="1272" w:hRule="exact"/>
                    </w:trPr>
                    <w:tc>
                      <w:tcPr>
                        <w:tcW w:w="3461" w:type="dxa"/>
                        <w:tcBorders>
                          <w:top w:val="single" w:sz="6" w:space="0" w:color="000000"/>
                          <w:left w:val="nil" w:sz="6" w:space="0" w:color="auto"/>
                          <w:bottom w:val="single" w:sz="6" w:space="0" w:color="000000"/>
                          <w:right w:val="nil" w:sz="6" w:space="0" w:color="auto"/>
                        </w:tcBorders>
                      </w:tcPr>
                      <w:p>
                        <w:pPr>
                          <w:pStyle w:val="TableParagraph"/>
                          <w:spacing w:line="319" w:lineRule="auto" w:before="10"/>
                          <w:ind w:left="2383" w:right="-6"/>
                          <w:jc w:val="center"/>
                          <w:rPr>
                            <w:rFonts w:ascii="宋体" w:hAnsi="宋体" w:cs="宋体" w:eastAsia="宋体" w:hint="default"/>
                            <w:sz w:val="18"/>
                            <w:szCs w:val="18"/>
                          </w:rPr>
                        </w:pPr>
                        <w:r>
                          <w:rPr>
                            <w:rFonts w:ascii="宋体" w:hAnsi="宋体" w:cs="宋体" w:eastAsia="宋体" w:hint="default"/>
                            <w:b/>
                            <w:bCs/>
                            <w:w w:val="95"/>
                            <w:sz w:val="18"/>
                            <w:szCs w:val="18"/>
                          </w:rPr>
                          <w:t>以公允价值计</w:t>
                        </w:r>
                        <w:r>
                          <w:rPr>
                            <w:rFonts w:ascii="宋体" w:hAnsi="宋体" w:cs="宋体" w:eastAsia="宋体" w:hint="default"/>
                            <w:b/>
                            <w:bCs/>
                            <w:spacing w:val="-34"/>
                            <w:w w:val="95"/>
                            <w:sz w:val="18"/>
                            <w:szCs w:val="18"/>
                          </w:rPr>
                          <w:t> </w:t>
                        </w:r>
                        <w:r>
                          <w:rPr>
                            <w:rFonts w:ascii="宋体" w:hAnsi="宋体" w:cs="宋体" w:eastAsia="宋体" w:hint="default"/>
                            <w:b/>
                            <w:bCs/>
                            <w:spacing w:val="-34"/>
                            <w:w w:val="95"/>
                            <w:sz w:val="18"/>
                            <w:szCs w:val="18"/>
                          </w:rPr>
                        </w:r>
                        <w:r>
                          <w:rPr>
                            <w:rFonts w:ascii="宋体" w:hAnsi="宋体" w:cs="宋体" w:eastAsia="宋体" w:hint="default"/>
                            <w:b/>
                            <w:bCs/>
                            <w:w w:val="95"/>
                            <w:sz w:val="18"/>
                            <w:szCs w:val="18"/>
                          </w:rPr>
                          <w:t>量且其变动计</w:t>
                        </w:r>
                        <w:r>
                          <w:rPr>
                            <w:rFonts w:ascii="宋体" w:hAnsi="宋体" w:cs="宋体" w:eastAsia="宋体" w:hint="default"/>
                            <w:b/>
                            <w:bCs/>
                            <w:spacing w:val="-34"/>
                            <w:w w:val="95"/>
                            <w:sz w:val="18"/>
                            <w:szCs w:val="18"/>
                          </w:rPr>
                          <w:t> </w:t>
                        </w:r>
                        <w:r>
                          <w:rPr>
                            <w:rFonts w:ascii="宋体" w:hAnsi="宋体" w:cs="宋体" w:eastAsia="宋体" w:hint="default"/>
                            <w:b/>
                            <w:bCs/>
                            <w:spacing w:val="-34"/>
                            <w:w w:val="95"/>
                            <w:sz w:val="18"/>
                            <w:szCs w:val="18"/>
                          </w:rPr>
                        </w:r>
                        <w:r>
                          <w:rPr>
                            <w:rFonts w:ascii="宋体" w:hAnsi="宋体" w:cs="宋体" w:eastAsia="宋体" w:hint="default"/>
                            <w:b/>
                            <w:bCs/>
                            <w:w w:val="95"/>
                            <w:sz w:val="18"/>
                            <w:szCs w:val="18"/>
                          </w:rPr>
                          <w:t>入当期损益的</w:t>
                        </w:r>
                        <w:r>
                          <w:rPr>
                            <w:rFonts w:ascii="宋体" w:hAnsi="宋体" w:cs="宋体" w:eastAsia="宋体" w:hint="default"/>
                            <w:b/>
                            <w:bCs/>
                            <w:spacing w:val="-34"/>
                            <w:w w:val="95"/>
                            <w:sz w:val="18"/>
                            <w:szCs w:val="18"/>
                          </w:rPr>
                          <w:t> </w:t>
                        </w:r>
                        <w:r>
                          <w:rPr>
                            <w:rFonts w:ascii="宋体" w:hAnsi="宋体" w:cs="宋体" w:eastAsia="宋体" w:hint="default"/>
                            <w:b/>
                            <w:bCs/>
                            <w:spacing w:val="-34"/>
                            <w:w w:val="95"/>
                            <w:sz w:val="18"/>
                            <w:szCs w:val="18"/>
                          </w:rPr>
                        </w:r>
                        <w:r>
                          <w:rPr>
                            <w:rFonts w:ascii="宋体" w:hAnsi="宋体" w:cs="宋体" w:eastAsia="宋体" w:hint="default"/>
                            <w:b/>
                            <w:bCs/>
                            <w:sz w:val="18"/>
                            <w:szCs w:val="18"/>
                          </w:rPr>
                          <w:t>金融资产</w:t>
                        </w:r>
                        <w:r>
                          <w:rPr>
                            <w:rFonts w:ascii="宋体" w:hAnsi="宋体" w:cs="宋体" w:eastAsia="宋体" w:hint="default"/>
                            <w:sz w:val="18"/>
                            <w:szCs w:val="18"/>
                          </w:rPr>
                        </w:r>
                      </w:p>
                    </w:tc>
                    <w:tc>
                      <w:tcPr>
                        <w:tcW w:w="701" w:type="dxa"/>
                        <w:tcBorders>
                          <w:top w:val="single" w:sz="6" w:space="0" w:color="000000"/>
                          <w:left w:val="nil" w:sz="6" w:space="0" w:color="auto"/>
                          <w:bottom w:val="single" w:sz="6" w:space="0" w:color="000000"/>
                          <w:right w:val="nil" w:sz="6" w:space="0" w:color="auto"/>
                        </w:tcBorders>
                      </w:tcPr>
                      <w:p>
                        <w:pPr>
                          <w:pStyle w:val="TableParagraph"/>
                          <w:spacing w:line="319" w:lineRule="auto" w:before="10"/>
                          <w:ind w:left="169" w:right="-12"/>
                          <w:jc w:val="center"/>
                          <w:rPr>
                            <w:rFonts w:ascii="宋体" w:hAnsi="宋体" w:cs="宋体" w:eastAsia="宋体" w:hint="default"/>
                            <w:sz w:val="18"/>
                            <w:szCs w:val="18"/>
                          </w:rPr>
                        </w:pPr>
                        <w:r>
                          <w:rPr>
                            <w:rFonts w:ascii="宋体" w:hAnsi="宋体" w:cs="宋体" w:eastAsia="宋体" w:hint="default"/>
                            <w:b/>
                            <w:bCs/>
                            <w:sz w:val="18"/>
                            <w:szCs w:val="18"/>
                          </w:rPr>
                          <w:t>持有至</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到期投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w:t>
                        </w:r>
                        <w:r>
                          <w:rPr>
                            <w:rFonts w:ascii="宋体" w:hAnsi="宋体" w:cs="宋体" w:eastAsia="宋体" w:hint="default"/>
                            <w:sz w:val="18"/>
                            <w:szCs w:val="18"/>
                          </w:rPr>
                        </w:r>
                      </w:p>
                    </w:tc>
                    <w:tc>
                      <w:tcPr>
                        <w:tcW w:w="78" w:type="dxa"/>
                        <w:tcBorders>
                          <w:top w:val="single" w:sz="6" w:space="0" w:color="000000"/>
                          <w:left w:val="nil" w:sz="6" w:space="0" w:color="auto"/>
                          <w:bottom w:val="single" w:sz="6" w:space="0" w:color="000000"/>
                          <w:right w:val="nil" w:sz="6" w:space="0" w:color="auto"/>
                        </w:tcBorders>
                      </w:tcPr>
                      <w:p>
                        <w:pPr/>
                      </w:p>
                    </w:tc>
                    <w:tc>
                      <w:tcPr>
                        <w:tcW w:w="216" w:type="dxa"/>
                        <w:tcBorders>
                          <w:top w:val="single" w:sz="6" w:space="0" w:color="000000"/>
                          <w:left w:val="nil" w:sz="6" w:space="0" w:color="auto"/>
                          <w:bottom w:val="single" w:sz="6" w:space="0" w:color="000000"/>
                          <w:right w:val="nil" w:sz="6" w:space="0" w:color="auto"/>
                        </w:tcBorders>
                      </w:tcPr>
                      <w:p>
                        <w:pPr/>
                      </w:p>
                    </w:tc>
                    <w:tc>
                      <w:tcPr>
                        <w:tcW w:w="1475"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b/>
                            <w:bCs/>
                            <w:sz w:val="18"/>
                            <w:szCs w:val="18"/>
                          </w:rPr>
                          <w:t>贷款和应收款项</w:t>
                        </w:r>
                        <w:r>
                          <w:rPr>
                            <w:rFonts w:ascii="宋体" w:hAnsi="宋体" w:cs="宋体" w:eastAsia="宋体" w:hint="default"/>
                            <w:sz w:val="18"/>
                            <w:szCs w:val="18"/>
                          </w:rPr>
                        </w:r>
                      </w:p>
                    </w:tc>
                    <w:tc>
                      <w:tcPr>
                        <w:tcW w:w="1351" w:type="dxa"/>
                        <w:tcBorders>
                          <w:top w:val="single" w:sz="6" w:space="0" w:color="000000"/>
                          <w:left w:val="nil" w:sz="6" w:space="0" w:color="auto"/>
                          <w:bottom w:val="single" w:sz="6" w:space="0" w:color="000000"/>
                          <w:right w:val="nil" w:sz="6" w:space="0" w:color="auto"/>
                        </w:tcBorders>
                      </w:tcPr>
                      <w:p>
                        <w:pPr>
                          <w:pStyle w:val="TableParagraph"/>
                          <w:spacing w:line="316" w:lineRule="auto" w:before="10"/>
                          <w:ind w:left="576" w:right="50" w:hanging="542"/>
                          <w:jc w:val="left"/>
                          <w:rPr>
                            <w:rFonts w:ascii="宋体" w:hAnsi="宋体" w:cs="宋体" w:eastAsia="宋体" w:hint="default"/>
                            <w:sz w:val="18"/>
                            <w:szCs w:val="18"/>
                          </w:rPr>
                        </w:pPr>
                        <w:r>
                          <w:rPr>
                            <w:rFonts w:ascii="宋体" w:hAnsi="宋体" w:cs="宋体" w:eastAsia="宋体" w:hint="default"/>
                            <w:b/>
                            <w:bCs/>
                            <w:sz w:val="18"/>
                            <w:szCs w:val="18"/>
                          </w:rPr>
                          <w:t>可供出售金融资</w:t>
                        </w:r>
                        <w:r>
                          <w:rPr>
                            <w:rFonts w:ascii="宋体" w:hAnsi="宋体" w:cs="宋体" w:eastAsia="宋体" w:hint="default"/>
                            <w:b/>
                            <w:bCs/>
                            <w:w w:val="99"/>
                            <w:sz w:val="18"/>
                            <w:szCs w:val="18"/>
                          </w:rPr>
                          <w:t> </w:t>
                        </w:r>
                        <w:r>
                          <w:rPr>
                            <w:rFonts w:ascii="宋体" w:hAnsi="宋体" w:cs="宋体" w:eastAsia="宋体" w:hint="default"/>
                            <w:b/>
                            <w:bCs/>
                            <w:sz w:val="18"/>
                            <w:szCs w:val="18"/>
                          </w:rPr>
                          <w:t>产</w:t>
                        </w:r>
                        <w:r>
                          <w:rPr>
                            <w:rFonts w:ascii="宋体" w:hAnsi="宋体" w:cs="宋体" w:eastAsia="宋体" w:hint="default"/>
                            <w:sz w:val="18"/>
                            <w:szCs w:val="18"/>
                          </w:rPr>
                        </w:r>
                      </w:p>
                    </w:tc>
                    <w:tc>
                      <w:tcPr>
                        <w:tcW w:w="216"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44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37" w:hRule="exact"/>
                    </w:trPr>
                    <w:tc>
                      <w:tcPr>
                        <w:tcW w:w="346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0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6" w:right="0"/>
                          <w:jc w:val="left"/>
                          <w:rPr>
                            <w:rFonts w:ascii="宋体" w:hAnsi="宋体" w:cs="宋体" w:eastAsia="宋体" w:hint="default"/>
                            <w:sz w:val="18"/>
                            <w:szCs w:val="18"/>
                          </w:rPr>
                        </w:pPr>
                        <w:r>
                          <w:rPr>
                            <w:rFonts w:ascii="宋体"/>
                            <w:sz w:val="18"/>
                          </w:rPr>
                          <w:t>-</w:t>
                        </w:r>
                      </w:p>
                    </w:tc>
                    <w:tc>
                      <w:tcPr>
                        <w:tcW w:w="78" w:type="dxa"/>
                        <w:tcBorders>
                          <w:top w:val="single" w:sz="6" w:space="0" w:color="000000"/>
                          <w:left w:val="nil" w:sz="6" w:space="0" w:color="auto"/>
                          <w:bottom w:val="single" w:sz="6" w:space="0" w:color="000000"/>
                          <w:right w:val="nil" w:sz="6" w:space="0" w:color="auto"/>
                        </w:tcBorders>
                      </w:tcPr>
                      <w:p>
                        <w:pPr/>
                      </w:p>
                    </w:tc>
                    <w:tc>
                      <w:tcPr>
                        <w:tcW w:w="216" w:type="dxa"/>
                        <w:tcBorders>
                          <w:top w:val="single" w:sz="6" w:space="0" w:color="000000"/>
                          <w:left w:val="nil" w:sz="6" w:space="0" w:color="auto"/>
                          <w:bottom w:val="single" w:sz="6" w:space="0" w:color="000000"/>
                          <w:right w:val="nil" w:sz="6" w:space="0" w:color="auto"/>
                        </w:tcBorders>
                      </w:tcPr>
                      <w:p>
                        <w:pPr/>
                      </w:p>
                    </w:tc>
                    <w:tc>
                      <w:tcPr>
                        <w:tcW w:w="1475"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r>
                          <w:rPr>
                            <w:rFonts w:ascii="宋体"/>
                            <w:sz w:val="18"/>
                          </w:rPr>
                          <w:t>1,280,185,824.46</w:t>
                        </w:r>
                      </w:p>
                    </w:tc>
                    <w:tc>
                      <w:tcPr>
                        <w:tcW w:w="13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216"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1,280,185,824.46</w:t>
                        </w:r>
                      </w:p>
                    </w:tc>
                  </w:tr>
                  <w:tr>
                    <w:trPr>
                      <w:trHeight w:val="337" w:hRule="exact"/>
                    </w:trPr>
                    <w:tc>
                      <w:tcPr>
                        <w:tcW w:w="346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0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6" w:right="0"/>
                          <w:jc w:val="left"/>
                          <w:rPr>
                            <w:rFonts w:ascii="宋体" w:hAnsi="宋体" w:cs="宋体" w:eastAsia="宋体" w:hint="default"/>
                            <w:sz w:val="18"/>
                            <w:szCs w:val="18"/>
                          </w:rPr>
                        </w:pPr>
                        <w:r>
                          <w:rPr>
                            <w:rFonts w:ascii="宋体"/>
                            <w:sz w:val="18"/>
                          </w:rPr>
                          <w:t>-</w:t>
                        </w:r>
                      </w:p>
                    </w:tc>
                    <w:tc>
                      <w:tcPr>
                        <w:tcW w:w="78" w:type="dxa"/>
                        <w:tcBorders>
                          <w:top w:val="single" w:sz="6" w:space="0" w:color="000000"/>
                          <w:left w:val="nil" w:sz="6" w:space="0" w:color="auto"/>
                          <w:bottom w:val="single" w:sz="6" w:space="0" w:color="000000"/>
                          <w:right w:val="nil" w:sz="6" w:space="0" w:color="auto"/>
                        </w:tcBorders>
                      </w:tcPr>
                      <w:p>
                        <w:pPr/>
                      </w:p>
                    </w:tc>
                    <w:tc>
                      <w:tcPr>
                        <w:tcW w:w="216" w:type="dxa"/>
                        <w:tcBorders>
                          <w:top w:val="single" w:sz="6" w:space="0" w:color="000000"/>
                          <w:left w:val="nil" w:sz="6" w:space="0" w:color="auto"/>
                          <w:bottom w:val="single" w:sz="6" w:space="0" w:color="000000"/>
                          <w:right w:val="nil" w:sz="6" w:space="0" w:color="auto"/>
                        </w:tcBorders>
                      </w:tcPr>
                      <w:p>
                        <w:pPr/>
                      </w:p>
                    </w:tc>
                    <w:tc>
                      <w:tcPr>
                        <w:tcW w:w="1475"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12,725,874.00</w:t>
                        </w:r>
                      </w:p>
                    </w:tc>
                    <w:tc>
                      <w:tcPr>
                        <w:tcW w:w="13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216"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12,725,874.00</w:t>
                        </w:r>
                      </w:p>
                    </w:tc>
                  </w:tr>
                  <w:tr>
                    <w:trPr>
                      <w:trHeight w:val="337" w:hRule="exact"/>
                    </w:trPr>
                    <w:tc>
                      <w:tcPr>
                        <w:tcW w:w="346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0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6" w:right="0"/>
                          <w:jc w:val="left"/>
                          <w:rPr>
                            <w:rFonts w:ascii="宋体" w:hAnsi="宋体" w:cs="宋体" w:eastAsia="宋体" w:hint="default"/>
                            <w:sz w:val="18"/>
                            <w:szCs w:val="18"/>
                          </w:rPr>
                        </w:pPr>
                        <w:r>
                          <w:rPr>
                            <w:rFonts w:ascii="宋体"/>
                            <w:sz w:val="18"/>
                          </w:rPr>
                          <w:t>-</w:t>
                        </w:r>
                      </w:p>
                    </w:tc>
                    <w:tc>
                      <w:tcPr>
                        <w:tcW w:w="78" w:type="dxa"/>
                        <w:tcBorders>
                          <w:top w:val="single" w:sz="6" w:space="0" w:color="000000"/>
                          <w:left w:val="nil" w:sz="6" w:space="0" w:color="auto"/>
                          <w:bottom w:val="single" w:sz="6" w:space="0" w:color="000000"/>
                          <w:right w:val="nil" w:sz="6" w:space="0" w:color="auto"/>
                        </w:tcBorders>
                      </w:tcPr>
                      <w:p>
                        <w:pPr/>
                      </w:p>
                    </w:tc>
                    <w:tc>
                      <w:tcPr>
                        <w:tcW w:w="216" w:type="dxa"/>
                        <w:tcBorders>
                          <w:top w:val="single" w:sz="6" w:space="0" w:color="000000"/>
                          <w:left w:val="nil" w:sz="6" w:space="0" w:color="auto"/>
                          <w:bottom w:val="single" w:sz="6" w:space="0" w:color="000000"/>
                          <w:right w:val="nil" w:sz="6" w:space="0" w:color="auto"/>
                        </w:tcBorders>
                      </w:tcPr>
                      <w:p>
                        <w:pPr/>
                      </w:p>
                    </w:tc>
                    <w:tc>
                      <w:tcPr>
                        <w:tcW w:w="1475"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r>
                          <w:rPr>
                            <w:rFonts w:ascii="宋体"/>
                            <w:sz w:val="18"/>
                          </w:rPr>
                          <w:t>2,338,030,745.71</w:t>
                        </w:r>
                      </w:p>
                    </w:tc>
                    <w:tc>
                      <w:tcPr>
                        <w:tcW w:w="13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216"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2,338,030,745.71</w:t>
                        </w:r>
                      </w:p>
                    </w:tc>
                  </w:tr>
                  <w:tr>
                    <w:trPr>
                      <w:trHeight w:val="337" w:hRule="exact"/>
                    </w:trPr>
                    <w:tc>
                      <w:tcPr>
                        <w:tcW w:w="346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0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6" w:right="0"/>
                          <w:jc w:val="left"/>
                          <w:rPr>
                            <w:rFonts w:ascii="宋体" w:hAnsi="宋体" w:cs="宋体" w:eastAsia="宋体" w:hint="default"/>
                            <w:sz w:val="18"/>
                            <w:szCs w:val="18"/>
                          </w:rPr>
                        </w:pPr>
                        <w:r>
                          <w:rPr>
                            <w:rFonts w:ascii="宋体"/>
                            <w:sz w:val="18"/>
                          </w:rPr>
                          <w:t>-</w:t>
                        </w:r>
                      </w:p>
                    </w:tc>
                    <w:tc>
                      <w:tcPr>
                        <w:tcW w:w="78" w:type="dxa"/>
                        <w:tcBorders>
                          <w:top w:val="single" w:sz="6" w:space="0" w:color="000000"/>
                          <w:left w:val="nil" w:sz="6" w:space="0" w:color="auto"/>
                          <w:bottom w:val="single" w:sz="6" w:space="0" w:color="000000"/>
                          <w:right w:val="nil" w:sz="6" w:space="0" w:color="auto"/>
                        </w:tcBorders>
                      </w:tcPr>
                      <w:p>
                        <w:pPr/>
                      </w:p>
                    </w:tc>
                    <w:tc>
                      <w:tcPr>
                        <w:tcW w:w="216" w:type="dxa"/>
                        <w:tcBorders>
                          <w:top w:val="single" w:sz="6" w:space="0" w:color="000000"/>
                          <w:left w:val="nil" w:sz="6" w:space="0" w:color="auto"/>
                          <w:bottom w:val="single" w:sz="6" w:space="0" w:color="000000"/>
                          <w:right w:val="nil" w:sz="6" w:space="0" w:color="auto"/>
                        </w:tcBorders>
                      </w:tcPr>
                      <w:p>
                        <w:pPr/>
                      </w:p>
                    </w:tc>
                    <w:tc>
                      <w:tcPr>
                        <w:tcW w:w="1475"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68,597,178.82</w:t>
                        </w:r>
                      </w:p>
                    </w:tc>
                    <w:tc>
                      <w:tcPr>
                        <w:tcW w:w="13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216"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68,597,178.82</w:t>
                        </w:r>
                      </w:p>
                    </w:tc>
                  </w:tr>
                  <w:tr>
                    <w:trPr>
                      <w:trHeight w:val="260" w:hRule="exact"/>
                    </w:trPr>
                    <w:tc>
                      <w:tcPr>
                        <w:tcW w:w="3461"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1"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left="-6" w:right="0"/>
                          <w:jc w:val="left"/>
                          <w:rPr>
                            <w:rFonts w:ascii="宋体" w:hAnsi="宋体" w:cs="宋体" w:eastAsia="宋体" w:hint="default"/>
                            <w:sz w:val="18"/>
                            <w:szCs w:val="18"/>
                          </w:rPr>
                        </w:pPr>
                        <w:r>
                          <w:rPr>
                            <w:rFonts w:ascii="宋体"/>
                            <w:sz w:val="18"/>
                          </w:rPr>
                          <w:t>-</w:t>
                        </w:r>
                      </w:p>
                    </w:tc>
                    <w:tc>
                      <w:tcPr>
                        <w:tcW w:w="78" w:type="dxa"/>
                        <w:tcBorders>
                          <w:top w:val="single" w:sz="6" w:space="0" w:color="000000"/>
                          <w:left w:val="nil" w:sz="6" w:space="0" w:color="auto"/>
                          <w:bottom w:val="single" w:sz="4" w:space="0" w:color="000000"/>
                          <w:right w:val="nil" w:sz="6" w:space="0" w:color="auto"/>
                        </w:tcBorders>
                      </w:tcPr>
                      <w:p>
                        <w:pPr/>
                      </w:p>
                    </w:tc>
                    <w:tc>
                      <w:tcPr>
                        <w:tcW w:w="216" w:type="dxa"/>
                        <w:tcBorders>
                          <w:top w:val="single" w:sz="6" w:space="0" w:color="000000"/>
                          <w:left w:val="nil" w:sz="6" w:space="0" w:color="auto"/>
                          <w:bottom w:val="nil" w:sz="6" w:space="0" w:color="auto"/>
                          <w:right w:val="nil" w:sz="6" w:space="0" w:color="auto"/>
                        </w:tcBorders>
                      </w:tcPr>
                      <w:p>
                        <w:pPr/>
                      </w:p>
                    </w:tc>
                    <w:tc>
                      <w:tcPr>
                        <w:tcW w:w="1475"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宋体"/>
                            <w:sz w:val="18"/>
                          </w:rPr>
                          <w:t>3,699,539,622.99</w:t>
                        </w:r>
                      </w:p>
                    </w:tc>
                    <w:tc>
                      <w:tcPr>
                        <w:tcW w:w="1351"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216" w:type="dxa"/>
                        <w:tcBorders>
                          <w:top w:val="single" w:sz="6" w:space="0" w:color="000000"/>
                          <w:left w:val="nil" w:sz="6" w:space="0" w:color="auto"/>
                          <w:bottom w:val="nil" w:sz="6" w:space="0" w:color="auto"/>
                          <w:right w:val="nil" w:sz="6" w:space="0" w:color="auto"/>
                        </w:tcBorders>
                      </w:tcPr>
                      <w:p>
                        <w:pPr/>
                      </w:p>
                    </w:tc>
                    <w:tc>
                      <w:tcPr>
                        <w:tcW w:w="1451"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3,699,539,622.99</w:t>
                        </w:r>
                      </w:p>
                    </w:tc>
                  </w:tr>
                </w:tbl>
                <w:p>
                  <w:pPr/>
                </w:p>
              </w:txbxContent>
            </v:textbox>
            <w10:wrap type="none"/>
          </v:shape>
        </w:pict>
      </w:r>
      <w:r>
        <w:rPr>
          <w:rFonts w:ascii="宋体"/>
        </w:rPr>
        <w:t>-</w:t>
      </w:r>
    </w:p>
    <w:p>
      <w:pPr>
        <w:pStyle w:val="BodyText"/>
        <w:spacing w:line="240" w:lineRule="auto" w:before="101"/>
        <w:ind w:left="996" w:right="3221"/>
        <w:jc w:val="center"/>
        <w:rPr>
          <w:rFonts w:ascii="宋体" w:hAnsi="宋体" w:cs="宋体" w:eastAsia="宋体" w:hint="default"/>
        </w:rPr>
      </w:pPr>
      <w:r>
        <w:rPr>
          <w:rFonts w:ascii="宋体"/>
        </w:rPr>
        <w:t>-</w:t>
      </w:r>
    </w:p>
    <w:p>
      <w:pPr>
        <w:pStyle w:val="BodyText"/>
        <w:spacing w:line="240" w:lineRule="auto" w:before="101"/>
        <w:ind w:left="996" w:right="3221"/>
        <w:jc w:val="center"/>
        <w:rPr>
          <w:rFonts w:ascii="宋体" w:hAnsi="宋体" w:cs="宋体" w:eastAsia="宋体" w:hint="default"/>
        </w:rPr>
      </w:pPr>
      <w:r>
        <w:rPr>
          <w:rFonts w:ascii="宋体"/>
        </w:rPr>
        <w:t>-</w:t>
      </w:r>
    </w:p>
    <w:p>
      <w:pPr>
        <w:pStyle w:val="BodyText"/>
        <w:spacing w:line="240" w:lineRule="auto" w:before="100"/>
        <w:ind w:left="996" w:right="3221"/>
        <w:jc w:val="center"/>
        <w:rPr>
          <w:rFonts w:ascii="宋体" w:hAnsi="宋体" w:cs="宋体" w:eastAsia="宋体" w:hint="default"/>
        </w:rPr>
      </w:pPr>
      <w:r>
        <w:rPr>
          <w:rFonts w:ascii="宋体"/>
        </w:rPr>
        <w:t>-</w:t>
      </w:r>
    </w:p>
    <w:p>
      <w:pPr>
        <w:pStyle w:val="BodyText"/>
        <w:spacing w:line="240" w:lineRule="auto" w:before="101"/>
        <w:ind w:left="996" w:right="3221"/>
        <w:jc w:val="center"/>
        <w:rPr>
          <w:rFonts w:ascii="宋体" w:hAnsi="宋体" w:cs="宋体" w:eastAsia="宋体" w:hint="default"/>
        </w:rPr>
      </w:pPr>
      <w:r>
        <w:rPr>
          <w:rFonts w:ascii="宋体"/>
        </w:rPr>
        <w:t>-</w:t>
      </w:r>
    </w:p>
    <w:p>
      <w:pPr>
        <w:spacing w:line="20" w:lineRule="exact"/>
        <w:ind w:left="158" w:right="0" w:firstLine="0"/>
        <w:rPr>
          <w:rFonts w:ascii="宋体" w:hAnsi="宋体" w:cs="宋体" w:eastAsia="宋体" w:hint="default"/>
          <w:sz w:val="2"/>
          <w:szCs w:val="2"/>
        </w:rPr>
      </w:pPr>
      <w:r>
        <w:rPr>
          <w:rFonts w:ascii="宋体" w:hAnsi="宋体" w:cs="宋体" w:eastAsia="宋体" w:hint="default"/>
          <w:sz w:val="2"/>
          <w:szCs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4"/>
          <w:szCs w:val="4"/>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48.2pt;height:.75pt;mso-position-horizontal-relative:char;mso-position-vertical-relative:line" coordorigin="0,0" coordsize="8964,15">
            <v:group style="position:absolute;left:7;top:7;width:2296;height:2" coordorigin="7,7" coordsize="2296,2">
              <v:shape style="position:absolute;left:7;top:7;width:2296;height:2" coordorigin="7,7" coordsize="2296,0" path="m7,7l2303,7e" filled="false" stroked="true" strokeweight=".72pt" strokecolor="#000000">
                <v:path arrowok="t"/>
              </v:shape>
            </v:group>
            <v:group style="position:absolute;left:2303;top:7;width:15;height:2" coordorigin="2303,7" coordsize="15,2">
              <v:shape style="position:absolute;left:2303;top:7;width:15;height:2" coordorigin="2303,7" coordsize="15,0" path="m2303,7l2318,7e" filled="false" stroked="true" strokeweight=".72pt" strokecolor="#000000">
                <v:path arrowok="t"/>
              </v:shape>
            </v:group>
            <v:group style="position:absolute;left:2318;top:7;width:1245;height:2" coordorigin="2318,7" coordsize="1245,2">
              <v:shape style="position:absolute;left:2318;top:7;width:1245;height:2" coordorigin="2318,7" coordsize="1245,0" path="m2318,7l3562,7e" filled="false" stroked="true" strokeweight=".72pt" strokecolor="#000000">
                <v:path arrowok="t"/>
              </v:shape>
            </v:group>
            <v:group style="position:absolute;left:3562;top:7;width:15;height:2" coordorigin="3562,7" coordsize="15,2">
              <v:shape style="position:absolute;left:3562;top:7;width:15;height:2" coordorigin="3562,7" coordsize="15,0" path="m3562,7l3576,7e" filled="false" stroked="true" strokeweight=".72pt" strokecolor="#000000">
                <v:path arrowok="t"/>
              </v:shape>
            </v:group>
            <v:group style="position:absolute;left:3576;top:7;width:682;height:2" coordorigin="3576,7" coordsize="682,2">
              <v:shape style="position:absolute;left:3576;top:7;width:682;height:2" coordorigin="3576,7" coordsize="682,0" path="m3576,7l4258,7e" filled="false" stroked="true" strokeweight=".72pt" strokecolor="#000000">
                <v:path arrowok="t"/>
              </v:shape>
            </v:group>
            <v:group style="position:absolute;left:4258;top:7;width:15;height:2" coordorigin="4258,7" coordsize="15,2">
              <v:shape style="position:absolute;left:4258;top:7;width:15;height:2" coordorigin="4258,7" coordsize="15,0" path="m4258,7l4273,7e" filled="false" stroked="true" strokeweight=".72pt" strokecolor="#000000">
                <v:path arrowok="t"/>
              </v:shape>
            </v:group>
            <v:group style="position:absolute;left:4273;top:7;width:1642;height:2" coordorigin="4273,7" coordsize="1642,2">
              <v:shape style="position:absolute;left:4273;top:7;width:1642;height:2" coordorigin="4273,7" coordsize="1642,0" path="m4273,7l5914,7e" filled="false" stroked="true" strokeweight=".72pt" strokecolor="#000000">
                <v:path arrowok="t"/>
              </v:shape>
            </v:group>
            <v:group style="position:absolute;left:5914;top:7;width:15;height:2" coordorigin="5914,7" coordsize="15,2">
              <v:shape style="position:absolute;left:5914;top:7;width:15;height:2" coordorigin="5914,7" coordsize="15,0" path="m5914,7l5929,7e" filled="false" stroked="true" strokeweight=".72pt" strokecolor="#000000">
                <v:path arrowok="t"/>
              </v:shape>
            </v:group>
            <v:group style="position:absolute;left:5929;top:7;width:1371;height:2" coordorigin="5929,7" coordsize="1371,2">
              <v:shape style="position:absolute;left:5929;top:7;width:1371;height:2" coordorigin="5929,7" coordsize="1371,0" path="m5929,7l7300,7e" filled="false" stroked="true" strokeweight=".72pt" strokecolor="#000000">
                <v:path arrowok="t"/>
              </v:shape>
            </v:group>
            <v:group style="position:absolute;left:7300;top:7;width:15;height:2" coordorigin="7300,7" coordsize="15,2">
              <v:shape style="position:absolute;left:7300;top:7;width:15;height:2" coordorigin="7300,7" coordsize="15,0" path="m7300,7l7314,7e" filled="false" stroked="true" strokeweight=".72pt" strokecolor="#000000">
                <v:path arrowok="t"/>
              </v:shape>
            </v:group>
            <v:group style="position:absolute;left:7314;top:7;width:1643;height:2" coordorigin="7314,7" coordsize="1643,2">
              <v:shape style="position:absolute;left:7314;top:7;width:1643;height:2" coordorigin="7314,7" coordsize="1643,0" path="m7314,7l895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77"/>
        <w:ind w:left="574" w:right="889"/>
        <w:jc w:val="left"/>
      </w:pPr>
      <w:r>
        <w:rPr/>
        <w:t>（续上表）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73" w:right="3221"/>
        <w:jc w:val="center"/>
        <w:rPr>
          <w:rFonts w:ascii="宋体" w:hAnsi="宋体" w:cs="宋体" w:eastAsia="宋体" w:hint="default"/>
        </w:rPr>
      </w:pPr>
      <w:r>
        <w:rPr/>
        <w:pict>
          <v:shape style="position:absolute;margin-left:56.700001pt;margin-top:-62.142643pt;width:447.5pt;height:141.950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08"/>
                    <w:gridCol w:w="1582"/>
                    <w:gridCol w:w="90"/>
                    <w:gridCol w:w="907"/>
                    <w:gridCol w:w="205"/>
                    <w:gridCol w:w="1465"/>
                    <w:gridCol w:w="927"/>
                    <w:gridCol w:w="215"/>
                    <w:gridCol w:w="1451"/>
                  </w:tblGrid>
                  <w:tr>
                    <w:trPr>
                      <w:trHeight w:val="264" w:hRule="exact"/>
                    </w:trPr>
                    <w:tc>
                      <w:tcPr>
                        <w:tcW w:w="2108" w:type="dxa"/>
                        <w:tcBorders>
                          <w:top w:val="nil" w:sz="6" w:space="0" w:color="auto"/>
                          <w:left w:val="nil" w:sz="6" w:space="0" w:color="auto"/>
                          <w:bottom w:val="nil" w:sz="6" w:space="0" w:color="auto"/>
                          <w:right w:val="nil" w:sz="6" w:space="0" w:color="auto"/>
                        </w:tcBorders>
                      </w:tcPr>
                      <w:p>
                        <w:pPr>
                          <w:pStyle w:val="TableParagraph"/>
                          <w:spacing w:line="180" w:lineRule="exact"/>
                          <w:ind w:left="511"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tc>
                    <w:tc>
                      <w:tcPr>
                        <w:tcW w:w="1582" w:type="dxa"/>
                        <w:tcBorders>
                          <w:top w:val="nil" w:sz="6" w:space="0" w:color="auto"/>
                          <w:left w:val="nil" w:sz="6" w:space="0" w:color="auto"/>
                          <w:bottom w:val="single" w:sz="6" w:space="0" w:color="000000"/>
                          <w:right w:val="nil" w:sz="6" w:space="0" w:color="auto"/>
                        </w:tcBorders>
                      </w:tcPr>
                      <w:p>
                        <w:pPr/>
                      </w:p>
                    </w:tc>
                    <w:tc>
                      <w:tcPr>
                        <w:tcW w:w="90" w:type="dxa"/>
                        <w:tcBorders>
                          <w:top w:val="nil" w:sz="6" w:space="0" w:color="auto"/>
                          <w:left w:val="nil" w:sz="6" w:space="0" w:color="auto"/>
                          <w:bottom w:val="single" w:sz="6" w:space="0" w:color="000000"/>
                          <w:right w:val="nil" w:sz="6" w:space="0" w:color="auto"/>
                        </w:tcBorders>
                      </w:tcPr>
                      <w:p>
                        <w:pPr/>
                      </w:p>
                    </w:tc>
                    <w:tc>
                      <w:tcPr>
                        <w:tcW w:w="907" w:type="dxa"/>
                        <w:tcBorders>
                          <w:top w:val="nil" w:sz="6" w:space="0" w:color="auto"/>
                          <w:left w:val="nil" w:sz="6" w:space="0" w:color="auto"/>
                          <w:bottom w:val="single" w:sz="6" w:space="0" w:color="000000"/>
                          <w:right w:val="nil" w:sz="6" w:space="0" w:color="auto"/>
                        </w:tcBorders>
                      </w:tcPr>
                      <w:p>
                        <w:pPr/>
                      </w:p>
                    </w:tc>
                    <w:tc>
                      <w:tcPr>
                        <w:tcW w:w="205" w:type="dxa"/>
                        <w:tcBorders>
                          <w:top w:val="nil" w:sz="6" w:space="0" w:color="auto"/>
                          <w:left w:val="nil" w:sz="6" w:space="0" w:color="auto"/>
                          <w:bottom w:val="single" w:sz="6" w:space="0" w:color="000000"/>
                          <w:right w:val="nil" w:sz="6" w:space="0" w:color="auto"/>
                        </w:tcBorders>
                      </w:tcPr>
                      <w:p>
                        <w:pPr/>
                      </w:p>
                    </w:tc>
                    <w:tc>
                      <w:tcPr>
                        <w:tcW w:w="1465" w:type="dxa"/>
                        <w:tcBorders>
                          <w:top w:val="nil" w:sz="6" w:space="0" w:color="auto"/>
                          <w:left w:val="nil" w:sz="6" w:space="0" w:color="auto"/>
                          <w:bottom w:val="single" w:sz="6" w:space="0" w:color="000000"/>
                          <w:right w:val="nil" w:sz="6" w:space="0" w:color="auto"/>
                        </w:tcBorders>
                      </w:tcPr>
                      <w:p>
                        <w:pPr>
                          <w:pStyle w:val="TableParagraph"/>
                          <w:spacing w:line="180" w:lineRule="exact"/>
                          <w:ind w:left="27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927" w:type="dxa"/>
                        <w:tcBorders>
                          <w:top w:val="nil" w:sz="6" w:space="0" w:color="auto"/>
                          <w:left w:val="nil" w:sz="6" w:space="0" w:color="auto"/>
                          <w:bottom w:val="single" w:sz="6" w:space="0" w:color="000000"/>
                          <w:right w:val="nil" w:sz="6" w:space="0" w:color="auto"/>
                        </w:tcBorders>
                      </w:tcPr>
                      <w:p>
                        <w:pPr/>
                      </w:p>
                    </w:tc>
                    <w:tc>
                      <w:tcPr>
                        <w:tcW w:w="215" w:type="dxa"/>
                        <w:tcBorders>
                          <w:top w:val="nil" w:sz="6" w:space="0" w:color="auto"/>
                          <w:left w:val="nil" w:sz="6" w:space="0" w:color="auto"/>
                          <w:bottom w:val="single" w:sz="6" w:space="0" w:color="000000"/>
                          <w:right w:val="nil" w:sz="6" w:space="0" w:color="auto"/>
                        </w:tcBorders>
                      </w:tcPr>
                      <w:p>
                        <w:pPr/>
                      </w:p>
                    </w:tc>
                    <w:tc>
                      <w:tcPr>
                        <w:tcW w:w="1451" w:type="dxa"/>
                        <w:tcBorders>
                          <w:top w:val="nil" w:sz="6" w:space="0" w:color="auto"/>
                          <w:left w:val="nil" w:sz="6" w:space="0" w:color="auto"/>
                          <w:bottom w:val="single" w:sz="6" w:space="0" w:color="000000"/>
                          <w:right w:val="nil" w:sz="6" w:space="0" w:color="auto"/>
                        </w:tcBorders>
                      </w:tcPr>
                      <w:p>
                        <w:pPr/>
                      </w:p>
                    </w:tc>
                  </w:tr>
                  <w:tr>
                    <w:trPr>
                      <w:trHeight w:val="961" w:hRule="exact"/>
                    </w:trPr>
                    <w:tc>
                      <w:tcPr>
                        <w:tcW w:w="3780" w:type="dxa"/>
                        <w:gridSpan w:val="3"/>
                        <w:tcBorders>
                          <w:top w:val="nil" w:sz="6" w:space="0" w:color="auto"/>
                          <w:left w:val="nil" w:sz="6" w:space="0" w:color="auto"/>
                          <w:bottom w:val="single" w:sz="6" w:space="0" w:color="000000"/>
                          <w:right w:val="nil" w:sz="6" w:space="0" w:color="auto"/>
                        </w:tcBorders>
                      </w:tcPr>
                      <w:p>
                        <w:pPr>
                          <w:pStyle w:val="TableParagraph"/>
                          <w:spacing w:line="316" w:lineRule="auto" w:before="17"/>
                          <w:ind w:left="2135" w:right="18"/>
                          <w:jc w:val="center"/>
                          <w:rPr>
                            <w:rFonts w:ascii="宋体" w:hAnsi="宋体" w:cs="宋体" w:eastAsia="宋体" w:hint="default"/>
                            <w:sz w:val="18"/>
                            <w:szCs w:val="18"/>
                          </w:rPr>
                        </w:pPr>
                        <w:r>
                          <w:rPr>
                            <w:rFonts w:ascii="宋体" w:hAnsi="宋体" w:cs="宋体" w:eastAsia="宋体" w:hint="default"/>
                            <w:b/>
                            <w:bCs/>
                            <w:w w:val="95"/>
                            <w:sz w:val="18"/>
                            <w:szCs w:val="18"/>
                          </w:rPr>
                          <w:t>以公允价值计量且其</w:t>
                        </w:r>
                        <w:r>
                          <w:rPr>
                            <w:rFonts w:ascii="宋体" w:hAnsi="宋体" w:cs="宋体" w:eastAsia="宋体" w:hint="default"/>
                            <w:b/>
                            <w:bCs/>
                            <w:spacing w:val="-8"/>
                            <w:w w:val="95"/>
                            <w:sz w:val="18"/>
                            <w:szCs w:val="18"/>
                          </w:rPr>
                          <w:t> </w:t>
                        </w:r>
                        <w:r>
                          <w:rPr>
                            <w:rFonts w:ascii="宋体" w:hAnsi="宋体" w:cs="宋体" w:eastAsia="宋体" w:hint="default"/>
                            <w:b/>
                            <w:bCs/>
                            <w:spacing w:val="-8"/>
                            <w:w w:val="95"/>
                            <w:sz w:val="18"/>
                            <w:szCs w:val="18"/>
                          </w:rPr>
                        </w:r>
                        <w:r>
                          <w:rPr>
                            <w:rFonts w:ascii="宋体" w:hAnsi="宋体" w:cs="宋体" w:eastAsia="宋体" w:hint="default"/>
                            <w:b/>
                            <w:bCs/>
                            <w:w w:val="95"/>
                            <w:sz w:val="18"/>
                            <w:szCs w:val="18"/>
                          </w:rPr>
                          <w:t>变动计入当期损益的</w:t>
                        </w:r>
                        <w:r>
                          <w:rPr>
                            <w:rFonts w:ascii="宋体" w:hAnsi="宋体" w:cs="宋体" w:eastAsia="宋体" w:hint="default"/>
                            <w:b/>
                            <w:bCs/>
                            <w:spacing w:val="-8"/>
                            <w:w w:val="95"/>
                            <w:sz w:val="18"/>
                            <w:szCs w:val="18"/>
                          </w:rPr>
                          <w:t> </w:t>
                        </w:r>
                        <w:r>
                          <w:rPr>
                            <w:rFonts w:ascii="宋体" w:hAnsi="宋体" w:cs="宋体" w:eastAsia="宋体" w:hint="default"/>
                            <w:b/>
                            <w:bCs/>
                            <w:spacing w:val="-8"/>
                            <w:w w:val="95"/>
                            <w:sz w:val="18"/>
                            <w:szCs w:val="18"/>
                          </w:rPr>
                        </w:r>
                        <w:r>
                          <w:rPr>
                            <w:rFonts w:ascii="宋体" w:hAnsi="宋体" w:cs="宋体" w:eastAsia="宋体" w:hint="default"/>
                            <w:b/>
                            <w:bCs/>
                            <w:sz w:val="18"/>
                            <w:szCs w:val="18"/>
                          </w:rPr>
                          <w:t>金融资产</w:t>
                        </w:r>
                        <w:r>
                          <w:rPr>
                            <w:rFonts w:ascii="宋体" w:hAnsi="宋体" w:cs="宋体" w:eastAsia="宋体" w:hint="default"/>
                            <w:sz w:val="18"/>
                            <w:szCs w:val="18"/>
                          </w:rPr>
                        </w:r>
                      </w:p>
                    </w:tc>
                    <w:tc>
                      <w:tcPr>
                        <w:tcW w:w="907" w:type="dxa"/>
                        <w:tcBorders>
                          <w:top w:val="single" w:sz="6" w:space="0" w:color="000000"/>
                          <w:left w:val="nil" w:sz="6" w:space="0" w:color="auto"/>
                          <w:bottom w:val="single" w:sz="6" w:space="0" w:color="000000"/>
                          <w:right w:val="nil" w:sz="6" w:space="0" w:color="auto"/>
                        </w:tcBorders>
                      </w:tcPr>
                      <w:p>
                        <w:pPr>
                          <w:pStyle w:val="TableParagraph"/>
                          <w:spacing w:line="316" w:lineRule="auto" w:before="10"/>
                          <w:ind w:left="191" w:right="81" w:hanging="90"/>
                          <w:jc w:val="left"/>
                          <w:rPr>
                            <w:rFonts w:ascii="宋体" w:hAnsi="宋体" w:cs="宋体" w:eastAsia="宋体" w:hint="default"/>
                            <w:sz w:val="18"/>
                            <w:szCs w:val="18"/>
                          </w:rPr>
                        </w:pPr>
                        <w:r>
                          <w:rPr>
                            <w:rFonts w:ascii="宋体" w:hAnsi="宋体" w:cs="宋体" w:eastAsia="宋体" w:hint="default"/>
                            <w:b/>
                            <w:bCs/>
                            <w:sz w:val="18"/>
                            <w:szCs w:val="18"/>
                          </w:rPr>
                          <w:t>持有至到</w:t>
                        </w:r>
                        <w:r>
                          <w:rPr>
                            <w:rFonts w:ascii="宋体" w:hAnsi="宋体" w:cs="宋体" w:eastAsia="宋体" w:hint="default"/>
                            <w:b/>
                            <w:bCs/>
                            <w:w w:val="99"/>
                            <w:sz w:val="18"/>
                            <w:szCs w:val="18"/>
                          </w:rPr>
                          <w:t> </w:t>
                        </w:r>
                        <w:r>
                          <w:rPr>
                            <w:rFonts w:ascii="宋体" w:hAnsi="宋体" w:cs="宋体" w:eastAsia="宋体" w:hint="default"/>
                            <w:b/>
                            <w:bCs/>
                            <w:sz w:val="18"/>
                            <w:szCs w:val="18"/>
                          </w:rPr>
                          <w:t>期投资</w:t>
                        </w:r>
                        <w:r>
                          <w:rPr>
                            <w:rFonts w:ascii="宋体" w:hAnsi="宋体" w:cs="宋体" w:eastAsia="宋体" w:hint="default"/>
                            <w:sz w:val="18"/>
                            <w:szCs w:val="18"/>
                          </w:rPr>
                        </w:r>
                      </w:p>
                    </w:tc>
                    <w:tc>
                      <w:tcPr>
                        <w:tcW w:w="205" w:type="dxa"/>
                        <w:tcBorders>
                          <w:top w:val="single" w:sz="6" w:space="0" w:color="000000"/>
                          <w:left w:val="nil" w:sz="6" w:space="0" w:color="auto"/>
                          <w:bottom w:val="single" w:sz="6" w:space="0" w:color="000000"/>
                          <w:right w:val="nil" w:sz="6" w:space="0" w:color="auto"/>
                        </w:tcBorders>
                      </w:tcPr>
                      <w:p>
                        <w:pPr/>
                      </w:p>
                    </w:tc>
                    <w:tc>
                      <w:tcPr>
                        <w:tcW w:w="1465"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b/>
                            <w:bCs/>
                            <w:sz w:val="18"/>
                            <w:szCs w:val="18"/>
                          </w:rPr>
                          <w:t>贷款和应收款项</w:t>
                        </w:r>
                        <w:r>
                          <w:rPr>
                            <w:rFonts w:ascii="宋体" w:hAnsi="宋体" w:cs="宋体" w:eastAsia="宋体" w:hint="default"/>
                            <w:sz w:val="18"/>
                            <w:szCs w:val="18"/>
                          </w:rPr>
                        </w:r>
                      </w:p>
                    </w:tc>
                    <w:tc>
                      <w:tcPr>
                        <w:tcW w:w="927" w:type="dxa"/>
                        <w:tcBorders>
                          <w:top w:val="single" w:sz="6" w:space="0" w:color="000000"/>
                          <w:left w:val="nil" w:sz="6" w:space="0" w:color="auto"/>
                          <w:bottom w:val="single" w:sz="6" w:space="0" w:color="000000"/>
                          <w:right w:val="nil" w:sz="6" w:space="0" w:color="auto"/>
                        </w:tcBorders>
                      </w:tcPr>
                      <w:p>
                        <w:pPr>
                          <w:pStyle w:val="TableParagraph"/>
                          <w:spacing w:line="316" w:lineRule="auto" w:before="10"/>
                          <w:ind w:left="194" w:right="7" w:hanging="180"/>
                          <w:jc w:val="left"/>
                          <w:rPr>
                            <w:rFonts w:ascii="宋体" w:hAnsi="宋体" w:cs="宋体" w:eastAsia="宋体" w:hint="default"/>
                            <w:sz w:val="18"/>
                            <w:szCs w:val="18"/>
                          </w:rPr>
                        </w:pPr>
                        <w:r>
                          <w:rPr>
                            <w:rFonts w:ascii="宋体" w:hAnsi="宋体" w:cs="宋体" w:eastAsia="宋体" w:hint="default"/>
                            <w:b/>
                            <w:bCs/>
                            <w:sz w:val="18"/>
                            <w:szCs w:val="18"/>
                          </w:rPr>
                          <w:t>可供出售金</w:t>
                        </w:r>
                        <w:r>
                          <w:rPr>
                            <w:rFonts w:ascii="宋体" w:hAnsi="宋体" w:cs="宋体" w:eastAsia="宋体" w:hint="default"/>
                            <w:b/>
                            <w:bCs/>
                            <w:w w:val="99"/>
                            <w:sz w:val="18"/>
                            <w:szCs w:val="18"/>
                          </w:rPr>
                          <w:t> </w:t>
                        </w:r>
                        <w:r>
                          <w:rPr>
                            <w:rFonts w:ascii="宋体" w:hAnsi="宋体" w:cs="宋体" w:eastAsia="宋体" w:hint="default"/>
                            <w:b/>
                            <w:bCs/>
                            <w:sz w:val="18"/>
                            <w:szCs w:val="18"/>
                          </w:rPr>
                          <w:t>融资产</w:t>
                        </w:r>
                        <w:r>
                          <w:rPr>
                            <w:rFonts w:ascii="宋体" w:hAnsi="宋体" w:cs="宋体" w:eastAsia="宋体" w:hint="default"/>
                            <w:sz w:val="18"/>
                            <w:szCs w:val="18"/>
                          </w:rPr>
                        </w:r>
                      </w:p>
                    </w:tc>
                    <w:tc>
                      <w:tcPr>
                        <w:tcW w:w="215"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36" w:hRule="exact"/>
                    </w:trPr>
                    <w:tc>
                      <w:tcPr>
                        <w:tcW w:w="2108"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82" w:type="dxa"/>
                        <w:tcBorders>
                          <w:top w:val="single" w:sz="6" w:space="0" w:color="000000"/>
                          <w:left w:val="nil" w:sz="6" w:space="0" w:color="auto"/>
                          <w:bottom w:val="single" w:sz="6" w:space="0" w:color="000000"/>
                          <w:right w:val="nil" w:sz="6" w:space="0" w:color="auto"/>
                        </w:tcBorders>
                      </w:tcPr>
                      <w:p>
                        <w:pPr/>
                      </w:p>
                    </w:tc>
                    <w:tc>
                      <w:tcPr>
                        <w:tcW w:w="90" w:type="dxa"/>
                        <w:tcBorders>
                          <w:top w:val="single" w:sz="6" w:space="0" w:color="000000"/>
                          <w:left w:val="nil" w:sz="6" w:space="0" w:color="auto"/>
                          <w:bottom w:val="single" w:sz="6" w:space="0" w:color="000000"/>
                          <w:right w:val="nil" w:sz="6" w:space="0" w:color="auto"/>
                        </w:tcBorders>
                      </w:tcPr>
                      <w:p>
                        <w:pPr/>
                      </w:p>
                    </w:tc>
                    <w:tc>
                      <w:tcPr>
                        <w:tcW w:w="907"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205" w:type="dxa"/>
                        <w:tcBorders>
                          <w:top w:val="single" w:sz="6" w:space="0" w:color="000000"/>
                          <w:left w:val="nil" w:sz="6" w:space="0" w:color="auto"/>
                          <w:bottom w:val="single" w:sz="6" w:space="0" w:color="000000"/>
                          <w:right w:val="nil" w:sz="6" w:space="0" w:color="auto"/>
                        </w:tcBorders>
                      </w:tcPr>
                      <w:p>
                        <w:pPr/>
                      </w:p>
                    </w:tc>
                    <w:tc>
                      <w:tcPr>
                        <w:tcW w:w="1465"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sz w:val="18"/>
                          </w:rPr>
                          <w:t>1,292,095,824.40</w:t>
                        </w:r>
                      </w:p>
                    </w:tc>
                    <w:tc>
                      <w:tcPr>
                        <w:tcW w:w="927"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215"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1,292,095,824.40</w:t>
                        </w:r>
                      </w:p>
                    </w:tc>
                  </w:tr>
                  <w:tr>
                    <w:trPr>
                      <w:trHeight w:val="337" w:hRule="exact"/>
                    </w:trPr>
                    <w:tc>
                      <w:tcPr>
                        <w:tcW w:w="2108"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82" w:type="dxa"/>
                        <w:tcBorders>
                          <w:top w:val="single" w:sz="6" w:space="0" w:color="000000"/>
                          <w:left w:val="nil" w:sz="6" w:space="0" w:color="auto"/>
                          <w:bottom w:val="single" w:sz="6" w:space="0" w:color="000000"/>
                          <w:right w:val="nil" w:sz="6" w:space="0" w:color="auto"/>
                        </w:tcBorders>
                      </w:tcPr>
                      <w:p>
                        <w:pPr/>
                      </w:p>
                    </w:tc>
                    <w:tc>
                      <w:tcPr>
                        <w:tcW w:w="90" w:type="dxa"/>
                        <w:tcBorders>
                          <w:top w:val="single" w:sz="6" w:space="0" w:color="000000"/>
                          <w:left w:val="nil" w:sz="6" w:space="0" w:color="auto"/>
                          <w:bottom w:val="single" w:sz="6" w:space="0" w:color="000000"/>
                          <w:right w:val="nil" w:sz="6" w:space="0" w:color="auto"/>
                        </w:tcBorders>
                      </w:tcPr>
                      <w:p>
                        <w:pPr/>
                      </w:p>
                    </w:tc>
                    <w:tc>
                      <w:tcPr>
                        <w:tcW w:w="907"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205" w:type="dxa"/>
                        <w:tcBorders>
                          <w:top w:val="single" w:sz="6" w:space="0" w:color="000000"/>
                          <w:left w:val="nil" w:sz="6" w:space="0" w:color="auto"/>
                          <w:bottom w:val="single" w:sz="6" w:space="0" w:color="000000"/>
                          <w:right w:val="nil" w:sz="6" w:space="0" w:color="auto"/>
                        </w:tcBorders>
                      </w:tcPr>
                      <w:p>
                        <w:pPr/>
                      </w:p>
                    </w:tc>
                    <w:tc>
                      <w:tcPr>
                        <w:tcW w:w="1465"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8,000,000.00</w:t>
                        </w:r>
                      </w:p>
                    </w:tc>
                    <w:tc>
                      <w:tcPr>
                        <w:tcW w:w="927"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215"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8,000,000.00</w:t>
                        </w:r>
                      </w:p>
                    </w:tc>
                  </w:tr>
                  <w:tr>
                    <w:trPr>
                      <w:trHeight w:val="337" w:hRule="exact"/>
                    </w:trPr>
                    <w:tc>
                      <w:tcPr>
                        <w:tcW w:w="2108"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82" w:type="dxa"/>
                        <w:tcBorders>
                          <w:top w:val="single" w:sz="6" w:space="0" w:color="000000"/>
                          <w:left w:val="nil" w:sz="6" w:space="0" w:color="auto"/>
                          <w:bottom w:val="single" w:sz="6" w:space="0" w:color="000000"/>
                          <w:right w:val="nil" w:sz="6" w:space="0" w:color="auto"/>
                        </w:tcBorders>
                      </w:tcPr>
                      <w:p>
                        <w:pPr/>
                      </w:p>
                    </w:tc>
                    <w:tc>
                      <w:tcPr>
                        <w:tcW w:w="90" w:type="dxa"/>
                        <w:tcBorders>
                          <w:top w:val="single" w:sz="6" w:space="0" w:color="000000"/>
                          <w:left w:val="nil" w:sz="6" w:space="0" w:color="auto"/>
                          <w:bottom w:val="single" w:sz="6" w:space="0" w:color="000000"/>
                          <w:right w:val="nil" w:sz="6" w:space="0" w:color="auto"/>
                        </w:tcBorders>
                      </w:tcPr>
                      <w:p>
                        <w:pPr/>
                      </w:p>
                    </w:tc>
                    <w:tc>
                      <w:tcPr>
                        <w:tcW w:w="907"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205" w:type="dxa"/>
                        <w:tcBorders>
                          <w:top w:val="single" w:sz="6" w:space="0" w:color="000000"/>
                          <w:left w:val="nil" w:sz="6" w:space="0" w:color="auto"/>
                          <w:bottom w:val="single" w:sz="6" w:space="0" w:color="000000"/>
                          <w:right w:val="nil" w:sz="6" w:space="0" w:color="auto"/>
                        </w:tcBorders>
                      </w:tcPr>
                      <w:p>
                        <w:pPr/>
                      </w:p>
                    </w:tc>
                    <w:tc>
                      <w:tcPr>
                        <w:tcW w:w="1465"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10" w:right="0"/>
                          <w:jc w:val="left"/>
                          <w:rPr>
                            <w:rFonts w:ascii="宋体" w:hAnsi="宋体" w:cs="宋体" w:eastAsia="宋体" w:hint="default"/>
                            <w:sz w:val="18"/>
                            <w:szCs w:val="18"/>
                          </w:rPr>
                        </w:pPr>
                        <w:r>
                          <w:rPr>
                            <w:rFonts w:ascii="宋体"/>
                            <w:sz w:val="18"/>
                          </w:rPr>
                          <w:t>1,753,029,741.39</w:t>
                        </w:r>
                      </w:p>
                    </w:tc>
                    <w:tc>
                      <w:tcPr>
                        <w:tcW w:w="927"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215"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1,753,029,741.39</w:t>
                        </w:r>
                      </w:p>
                    </w:tc>
                  </w:tr>
                  <w:tr>
                    <w:trPr>
                      <w:trHeight w:val="337" w:hRule="exact"/>
                    </w:trPr>
                    <w:tc>
                      <w:tcPr>
                        <w:tcW w:w="2108"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82" w:type="dxa"/>
                        <w:tcBorders>
                          <w:top w:val="single" w:sz="6" w:space="0" w:color="000000"/>
                          <w:left w:val="nil" w:sz="6" w:space="0" w:color="auto"/>
                          <w:bottom w:val="single" w:sz="6" w:space="0" w:color="000000"/>
                          <w:right w:val="nil" w:sz="6" w:space="0" w:color="auto"/>
                        </w:tcBorders>
                      </w:tcPr>
                      <w:p>
                        <w:pPr/>
                      </w:p>
                    </w:tc>
                    <w:tc>
                      <w:tcPr>
                        <w:tcW w:w="90" w:type="dxa"/>
                        <w:tcBorders>
                          <w:top w:val="single" w:sz="6" w:space="0" w:color="000000"/>
                          <w:left w:val="nil" w:sz="6" w:space="0" w:color="auto"/>
                          <w:bottom w:val="single" w:sz="6" w:space="0" w:color="000000"/>
                          <w:right w:val="nil" w:sz="6" w:space="0" w:color="auto"/>
                        </w:tcBorders>
                      </w:tcPr>
                      <w:p>
                        <w:pPr/>
                      </w:p>
                    </w:tc>
                    <w:tc>
                      <w:tcPr>
                        <w:tcW w:w="907"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205" w:type="dxa"/>
                        <w:tcBorders>
                          <w:top w:val="single" w:sz="6" w:space="0" w:color="000000"/>
                          <w:left w:val="nil" w:sz="6" w:space="0" w:color="auto"/>
                          <w:bottom w:val="single" w:sz="6" w:space="0" w:color="000000"/>
                          <w:right w:val="nil" w:sz="6" w:space="0" w:color="auto"/>
                        </w:tcBorders>
                      </w:tcPr>
                      <w:p>
                        <w:pPr/>
                      </w:p>
                    </w:tc>
                    <w:tc>
                      <w:tcPr>
                        <w:tcW w:w="1465"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45,328,199.21</w:t>
                        </w:r>
                      </w:p>
                    </w:tc>
                    <w:tc>
                      <w:tcPr>
                        <w:tcW w:w="927"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215"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45,328,199.21</w:t>
                        </w:r>
                      </w:p>
                    </w:tc>
                  </w:tr>
                  <w:tr>
                    <w:trPr>
                      <w:trHeight w:val="261" w:hRule="exact"/>
                    </w:trPr>
                    <w:tc>
                      <w:tcPr>
                        <w:tcW w:w="2108" w:type="dxa"/>
                        <w:tcBorders>
                          <w:top w:val="single" w:sz="6" w:space="0" w:color="000000"/>
                          <w:left w:val="nil" w:sz="6" w:space="0" w:color="auto"/>
                          <w:bottom w:val="single" w:sz="4"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2" w:type="dxa"/>
                        <w:tcBorders>
                          <w:top w:val="single" w:sz="6" w:space="0" w:color="000000"/>
                          <w:left w:val="nil" w:sz="6" w:space="0" w:color="auto"/>
                          <w:bottom w:val="nil" w:sz="6" w:space="0" w:color="auto"/>
                          <w:right w:val="nil" w:sz="6" w:space="0" w:color="auto"/>
                        </w:tcBorders>
                      </w:tcPr>
                      <w:p>
                        <w:pPr/>
                      </w:p>
                    </w:tc>
                    <w:tc>
                      <w:tcPr>
                        <w:tcW w:w="90" w:type="dxa"/>
                        <w:tcBorders>
                          <w:top w:val="single" w:sz="6" w:space="0" w:color="000000"/>
                          <w:left w:val="nil" w:sz="6" w:space="0" w:color="auto"/>
                          <w:bottom w:val="single" w:sz="4" w:space="0" w:color="000000"/>
                          <w:right w:val="nil" w:sz="6" w:space="0" w:color="auto"/>
                        </w:tcBorders>
                      </w:tcPr>
                      <w:p>
                        <w:pPr/>
                      </w:p>
                    </w:tc>
                    <w:tc>
                      <w:tcPr>
                        <w:tcW w:w="907"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205" w:type="dxa"/>
                        <w:tcBorders>
                          <w:top w:val="single" w:sz="6" w:space="0" w:color="000000"/>
                          <w:left w:val="nil" w:sz="6" w:space="0" w:color="auto"/>
                          <w:bottom w:val="nil" w:sz="6" w:space="0" w:color="auto"/>
                          <w:right w:val="nil" w:sz="6" w:space="0" w:color="auto"/>
                        </w:tcBorders>
                      </w:tcPr>
                      <w:p>
                        <w:pPr/>
                      </w:p>
                    </w:tc>
                    <w:tc>
                      <w:tcPr>
                        <w:tcW w:w="1465" w:type="dxa"/>
                        <w:tcBorders>
                          <w:top w:val="single" w:sz="6" w:space="0" w:color="000000"/>
                          <w:left w:val="nil" w:sz="6" w:space="0" w:color="auto"/>
                          <w:bottom w:val="single" w:sz="4" w:space="0" w:color="000000"/>
                          <w:right w:val="nil" w:sz="6" w:space="0" w:color="auto"/>
                        </w:tcBorders>
                      </w:tcPr>
                      <w:p>
                        <w:pPr>
                          <w:pStyle w:val="TableParagraph"/>
                          <w:spacing w:line="240" w:lineRule="auto" w:before="11"/>
                          <w:ind w:left="10" w:right="0"/>
                          <w:jc w:val="left"/>
                          <w:rPr>
                            <w:rFonts w:ascii="宋体" w:hAnsi="宋体" w:cs="宋体" w:eastAsia="宋体" w:hint="default"/>
                            <w:sz w:val="18"/>
                            <w:szCs w:val="18"/>
                          </w:rPr>
                        </w:pPr>
                        <w:r>
                          <w:rPr>
                            <w:rFonts w:ascii="宋体"/>
                            <w:sz w:val="18"/>
                          </w:rPr>
                          <w:t>3,098,453,765.00</w:t>
                        </w:r>
                      </w:p>
                    </w:tc>
                    <w:tc>
                      <w:tcPr>
                        <w:tcW w:w="927"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215" w:type="dxa"/>
                        <w:tcBorders>
                          <w:top w:val="single" w:sz="6" w:space="0" w:color="000000"/>
                          <w:left w:val="nil" w:sz="6" w:space="0" w:color="auto"/>
                          <w:bottom w:val="nil" w:sz="6" w:space="0" w:color="auto"/>
                          <w:right w:val="nil" w:sz="6" w:space="0" w:color="auto"/>
                        </w:tcBorders>
                      </w:tcPr>
                      <w:p>
                        <w:pPr/>
                      </w:p>
                    </w:tc>
                    <w:tc>
                      <w:tcPr>
                        <w:tcW w:w="1451" w:type="dxa"/>
                        <w:tcBorders>
                          <w:top w:val="single" w:sz="6" w:space="0" w:color="000000"/>
                          <w:left w:val="nil" w:sz="6" w:space="0" w:color="auto"/>
                          <w:bottom w:val="single" w:sz="4"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3,098,453,765.00</w:t>
                        </w:r>
                      </w:p>
                    </w:tc>
                  </w:tr>
                </w:tbl>
                <w:p>
                  <w:pPr/>
                </w:p>
              </w:txbxContent>
            </v:textbox>
            <w10:wrap type="none"/>
          </v:shape>
        </w:pict>
      </w:r>
      <w:r>
        <w:rPr>
          <w:rFonts w:ascii="宋体"/>
        </w:rPr>
        <w:t>-</w:t>
      </w:r>
    </w:p>
    <w:p>
      <w:pPr>
        <w:pStyle w:val="BodyText"/>
        <w:spacing w:line="240" w:lineRule="auto" w:before="101"/>
        <w:ind w:left="73" w:right="3221"/>
        <w:jc w:val="center"/>
        <w:rPr>
          <w:rFonts w:ascii="宋体" w:hAnsi="宋体" w:cs="宋体" w:eastAsia="宋体" w:hint="default"/>
        </w:rPr>
      </w:pPr>
      <w:r>
        <w:rPr>
          <w:rFonts w:ascii="宋体"/>
        </w:rPr>
        <w:t>-</w:t>
      </w:r>
    </w:p>
    <w:p>
      <w:pPr>
        <w:pStyle w:val="BodyText"/>
        <w:spacing w:line="240" w:lineRule="auto" w:before="101"/>
        <w:ind w:left="73" w:right="3221"/>
        <w:jc w:val="center"/>
        <w:rPr>
          <w:rFonts w:ascii="宋体" w:hAnsi="宋体" w:cs="宋体" w:eastAsia="宋体" w:hint="default"/>
        </w:rPr>
      </w:pPr>
      <w:r>
        <w:rPr>
          <w:rFonts w:ascii="宋体"/>
        </w:rPr>
        <w:t>-</w:t>
      </w:r>
    </w:p>
    <w:p>
      <w:pPr>
        <w:pStyle w:val="BodyText"/>
        <w:spacing w:line="240" w:lineRule="auto" w:before="101"/>
        <w:ind w:left="73" w:right="3221"/>
        <w:jc w:val="center"/>
        <w:rPr>
          <w:rFonts w:ascii="宋体" w:hAnsi="宋体" w:cs="宋体" w:eastAsia="宋体" w:hint="default"/>
        </w:rPr>
      </w:pPr>
      <w:r>
        <w:rPr>
          <w:rFonts w:ascii="宋体"/>
        </w:rPr>
        <w:t>-</w:t>
      </w:r>
    </w:p>
    <w:p>
      <w:pPr>
        <w:pStyle w:val="BodyText"/>
        <w:spacing w:line="240" w:lineRule="auto" w:before="101"/>
        <w:ind w:left="73" w:right="3221"/>
        <w:jc w:val="center"/>
        <w:rPr>
          <w:rFonts w:ascii="宋体" w:hAnsi="宋体" w:cs="宋体" w:eastAsia="宋体" w:hint="default"/>
        </w:rPr>
      </w:pPr>
      <w:r>
        <w:rPr>
          <w:rFonts w:ascii="宋体"/>
        </w:rPr>
        <w:t>-</w:t>
      </w:r>
    </w:p>
    <w:p>
      <w:pPr>
        <w:spacing w:line="240" w:lineRule="auto" w:before="11"/>
        <w:rPr>
          <w:rFonts w:ascii="宋体" w:hAnsi="宋体" w:cs="宋体" w:eastAsia="宋体" w:hint="default"/>
          <w:sz w:val="5"/>
          <w:szCs w:val="5"/>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48.2pt;height:.75pt;mso-position-horizontal-relative:char;mso-position-vertical-relative:line" coordorigin="0,0" coordsize="8964,15">
            <v:group style="position:absolute;left:7;top:7;width:2108;height:2" coordorigin="7,7" coordsize="2108,2">
              <v:shape style="position:absolute;left:7;top:7;width:2108;height:2" coordorigin="7,7" coordsize="2108,0" path="m7,7l2115,7e" filled="false" stroked="true" strokeweight=".72pt" strokecolor="#000000">
                <v:path arrowok="t"/>
              </v:shape>
            </v:group>
            <v:group style="position:absolute;left:2115;top:7;width:15;height:2" coordorigin="2115,7" coordsize="15,2">
              <v:shape style="position:absolute;left:2115;top:7;width:15;height:2" coordorigin="2115,7" coordsize="15,0" path="m2115,7l2129,7e" filled="false" stroked="true" strokeweight=".72pt" strokecolor="#000000">
                <v:path arrowok="t"/>
              </v:shape>
            </v:group>
            <v:group style="position:absolute;left:2129;top:7;width:1669;height:2" coordorigin="2129,7" coordsize="1669,2">
              <v:shape style="position:absolute;left:2129;top:7;width:1669;height:2" coordorigin="2129,7" coordsize="1669,0" path="m2129,7l3798,7e" filled="false" stroked="true" strokeweight=".72pt" strokecolor="#000000">
                <v:path arrowok="t"/>
              </v:shape>
            </v:group>
            <v:group style="position:absolute;left:3798;top:7;width:15;height:2" coordorigin="3798,7" coordsize="15,2">
              <v:shape style="position:absolute;left:3798;top:7;width:15;height:2" coordorigin="3798,7" coordsize="15,0" path="m3798,7l3812,7e" filled="false" stroked="true" strokeweight=".72pt" strokecolor="#000000">
                <v:path arrowok="t"/>
              </v:shape>
            </v:group>
            <v:group style="position:absolute;left:3812;top:7;width:892;height:2" coordorigin="3812,7" coordsize="892,2">
              <v:shape style="position:absolute;left:3812;top:7;width:892;height:2" coordorigin="3812,7" coordsize="892,0" path="m3812,7l4704,7e" filled="false" stroked="true" strokeweight=".72pt" strokecolor="#000000">
                <v:path arrowok="t"/>
              </v:shape>
            </v:group>
            <v:group style="position:absolute;left:4704;top:7;width:15;height:2" coordorigin="4704,7" coordsize="15,2">
              <v:shape style="position:absolute;left:4704;top:7;width:15;height:2" coordorigin="4704,7" coordsize="15,0" path="m4704,7l4718,7e" filled="false" stroked="true" strokeweight=".72pt" strokecolor="#000000">
                <v:path arrowok="t"/>
              </v:shape>
            </v:group>
            <v:group style="position:absolute;left:4718;top:7;width:1642;height:2" coordorigin="4718,7" coordsize="1642,2">
              <v:shape style="position:absolute;left:4718;top:7;width:1642;height:2" coordorigin="4718,7" coordsize="1642,0" path="m4718,7l6360,7e" filled="false" stroked="true" strokeweight=".72pt" strokecolor="#000000">
                <v:path arrowok="t"/>
              </v:shape>
            </v:group>
            <v:group style="position:absolute;left:6360;top:7;width:15;height:2" coordorigin="6360,7" coordsize="15,2">
              <v:shape style="position:absolute;left:6360;top:7;width:15;height:2" coordorigin="6360,7" coordsize="15,0" path="m6360,7l6374,7e" filled="false" stroked="true" strokeweight=".72pt" strokecolor="#000000">
                <v:path arrowok="t"/>
              </v:shape>
            </v:group>
            <v:group style="position:absolute;left:6374;top:7;width:927;height:2" coordorigin="6374,7" coordsize="927,2">
              <v:shape style="position:absolute;left:6374;top:7;width:927;height:2" coordorigin="6374,7" coordsize="927,0" path="m6374,7l7301,7e" filled="false" stroked="true" strokeweight=".72pt" strokecolor="#000000">
                <v:path arrowok="t"/>
              </v:shape>
            </v:group>
            <v:group style="position:absolute;left:7301;top:7;width:15;height:2" coordorigin="7301,7" coordsize="15,2">
              <v:shape style="position:absolute;left:7301;top:7;width:15;height:2" coordorigin="7301,7" coordsize="15,0" path="m7301,7l7315,7e" filled="false" stroked="true" strokeweight=".72pt" strokecolor="#000000">
                <v:path arrowok="t"/>
              </v:shape>
            </v:group>
            <v:group style="position:absolute;left:7315;top:7;width:1642;height:2" coordorigin="7315,7" coordsize="1642,2">
              <v:shape style="position:absolute;left:7315;top:7;width:1642;height:2" coordorigin="7315,7" coordsize="1642,0" path="m7315,7l895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77"/>
        <w:ind w:left="574" w:right="889"/>
        <w:jc w:val="left"/>
      </w:pPr>
      <w:r>
        <w:rPr/>
        <w:t>（</w:t>
      </w:r>
      <w:r>
        <w:rPr>
          <w:rFonts w:ascii="宋体" w:hAnsi="宋体" w:cs="宋体" w:eastAsia="宋体" w:hint="default"/>
        </w:rPr>
        <w:t>2</w:t>
      </w:r>
      <w:r>
        <w:rPr/>
        <w:t>）资产负债表日的各类金融负债的账面价值如下：</w:t>
      </w:r>
    </w:p>
    <w:p>
      <w:pPr>
        <w:spacing w:line="240" w:lineRule="auto" w:before="1"/>
        <w:rPr>
          <w:rFonts w:ascii="宋体" w:hAnsi="宋体" w:cs="宋体" w:eastAsia="宋体" w:hint="default"/>
          <w:sz w:val="20"/>
          <w:szCs w:val="20"/>
        </w:rPr>
      </w:pPr>
    </w:p>
    <w:tbl>
      <w:tblPr>
        <w:tblW w:w="0" w:type="auto"/>
        <w:jc w:val="left"/>
        <w:tblInd w:w="153" w:type="dxa"/>
        <w:tblLayout w:type="fixed"/>
        <w:tblCellMar>
          <w:top w:w="0" w:type="dxa"/>
          <w:left w:w="0" w:type="dxa"/>
          <w:bottom w:w="0" w:type="dxa"/>
          <w:right w:w="0" w:type="dxa"/>
        </w:tblCellMar>
        <w:tblLook w:val="01E0"/>
      </w:tblPr>
      <w:tblGrid>
        <w:gridCol w:w="2752"/>
        <w:gridCol w:w="2447"/>
        <w:gridCol w:w="433"/>
        <w:gridCol w:w="1498"/>
        <w:gridCol w:w="215"/>
        <w:gridCol w:w="1451"/>
      </w:tblGrid>
      <w:tr>
        <w:trPr>
          <w:trHeight w:val="263"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180" w:lineRule="exact"/>
              <w:ind w:left="834"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2447" w:type="dxa"/>
            <w:tcBorders>
              <w:top w:val="nil" w:sz="6" w:space="0" w:color="auto"/>
              <w:left w:val="nil" w:sz="6" w:space="0" w:color="auto"/>
              <w:bottom w:val="single" w:sz="6" w:space="0" w:color="000000"/>
              <w:right w:val="nil" w:sz="6" w:space="0" w:color="auto"/>
            </w:tcBorders>
          </w:tcPr>
          <w:p>
            <w:pPr>
              <w:pStyle w:val="TableParagraph"/>
              <w:spacing w:line="180" w:lineRule="exact"/>
              <w:ind w:right="70"/>
              <w:jc w:val="right"/>
              <w:rPr>
                <w:rFonts w:ascii="宋体" w:hAnsi="宋体" w:cs="宋体" w:eastAsia="宋体" w:hint="default"/>
                <w:sz w:val="18"/>
                <w:szCs w:val="18"/>
              </w:rPr>
            </w:pPr>
            <w:r>
              <w:rPr>
                <w:rFonts w:ascii="宋体" w:hAnsi="宋体" w:cs="宋体" w:eastAsia="宋体" w:hint="default"/>
                <w:b/>
                <w:bCs/>
                <w:w w:val="95"/>
                <w:sz w:val="18"/>
                <w:szCs w:val="18"/>
              </w:rPr>
              <w:t>期末余</w:t>
            </w:r>
            <w:r>
              <w:rPr>
                <w:rFonts w:ascii="宋体" w:hAnsi="宋体" w:cs="宋体" w:eastAsia="宋体" w:hint="default"/>
                <w:sz w:val="18"/>
                <w:szCs w:val="18"/>
              </w:rPr>
            </w:r>
          </w:p>
        </w:tc>
        <w:tc>
          <w:tcPr>
            <w:tcW w:w="433" w:type="dxa"/>
            <w:tcBorders>
              <w:top w:val="nil" w:sz="6" w:space="0" w:color="auto"/>
              <w:left w:val="nil" w:sz="6" w:space="0" w:color="auto"/>
              <w:bottom w:val="single" w:sz="6" w:space="0" w:color="000000"/>
              <w:right w:val="nil" w:sz="6" w:space="0" w:color="auto"/>
            </w:tcBorders>
          </w:tcPr>
          <w:p>
            <w:pPr>
              <w:pStyle w:val="TableParagraph"/>
              <w:spacing w:line="180" w:lineRule="exact"/>
              <w:ind w:left="-73"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498" w:type="dxa"/>
            <w:tcBorders>
              <w:top w:val="nil" w:sz="6" w:space="0" w:color="auto"/>
              <w:left w:val="nil" w:sz="6" w:space="0" w:color="auto"/>
              <w:bottom w:val="single" w:sz="6" w:space="0" w:color="000000"/>
              <w:right w:val="nil" w:sz="6" w:space="0" w:color="auto"/>
            </w:tcBorders>
          </w:tcPr>
          <w:p>
            <w:pPr/>
          </w:p>
        </w:tc>
        <w:tc>
          <w:tcPr>
            <w:tcW w:w="215" w:type="dxa"/>
            <w:tcBorders>
              <w:top w:val="nil" w:sz="6" w:space="0" w:color="auto"/>
              <w:left w:val="nil" w:sz="6" w:space="0" w:color="auto"/>
              <w:bottom w:val="single" w:sz="6" w:space="0" w:color="000000"/>
              <w:right w:val="nil" w:sz="6" w:space="0" w:color="auto"/>
            </w:tcBorders>
          </w:tcPr>
          <w:p>
            <w:pPr/>
          </w:p>
        </w:tc>
        <w:tc>
          <w:tcPr>
            <w:tcW w:w="1451" w:type="dxa"/>
            <w:tcBorders>
              <w:top w:val="nil" w:sz="6" w:space="0" w:color="auto"/>
              <w:left w:val="nil" w:sz="6" w:space="0" w:color="auto"/>
              <w:bottom w:val="single" w:sz="6" w:space="0" w:color="000000"/>
              <w:right w:val="nil" w:sz="6" w:space="0" w:color="auto"/>
            </w:tcBorders>
          </w:tcPr>
          <w:p>
            <w:pPr/>
          </w:p>
        </w:tc>
      </w:tr>
      <w:tr>
        <w:trPr>
          <w:trHeight w:val="649" w:hRule="exact"/>
        </w:trPr>
        <w:tc>
          <w:tcPr>
            <w:tcW w:w="5199" w:type="dxa"/>
            <w:gridSpan w:val="2"/>
            <w:tcBorders>
              <w:top w:val="nil" w:sz="6" w:space="0" w:color="auto"/>
              <w:left w:val="nil" w:sz="6" w:space="0" w:color="auto"/>
              <w:bottom w:val="single" w:sz="6" w:space="0" w:color="000000"/>
              <w:right w:val="nil" w:sz="6" w:space="0" w:color="auto"/>
            </w:tcBorders>
          </w:tcPr>
          <w:p>
            <w:pPr>
              <w:pStyle w:val="TableParagraph"/>
              <w:spacing w:line="316" w:lineRule="auto" w:before="19"/>
              <w:ind w:left="3167" w:right="44" w:hanging="362"/>
              <w:jc w:val="left"/>
              <w:rPr>
                <w:rFonts w:ascii="宋体" w:hAnsi="宋体" w:cs="宋体" w:eastAsia="宋体" w:hint="default"/>
                <w:sz w:val="18"/>
                <w:szCs w:val="18"/>
              </w:rPr>
            </w:pPr>
            <w:r>
              <w:rPr>
                <w:rFonts w:ascii="宋体" w:hAnsi="宋体" w:cs="宋体" w:eastAsia="宋体" w:hint="default"/>
                <w:b/>
                <w:bCs/>
                <w:w w:val="95"/>
                <w:sz w:val="18"/>
                <w:szCs w:val="18"/>
              </w:rPr>
              <w:t>以公允价值计量且其变动计入</w:t>
            </w:r>
            <w:r>
              <w:rPr>
                <w:rFonts w:ascii="宋体" w:hAnsi="宋体" w:cs="宋体" w:eastAsia="宋体" w:hint="default"/>
                <w:b/>
                <w:bCs/>
                <w:spacing w:val="28"/>
                <w:w w:val="95"/>
                <w:sz w:val="18"/>
                <w:szCs w:val="18"/>
              </w:rPr>
              <w:t> </w:t>
            </w:r>
            <w:r>
              <w:rPr>
                <w:rFonts w:ascii="宋体" w:hAnsi="宋体" w:cs="宋体" w:eastAsia="宋体" w:hint="default"/>
                <w:b/>
                <w:bCs/>
                <w:spacing w:val="28"/>
                <w:w w:val="95"/>
                <w:sz w:val="18"/>
                <w:szCs w:val="18"/>
              </w:rPr>
            </w:r>
            <w:r>
              <w:rPr>
                <w:rFonts w:ascii="宋体" w:hAnsi="宋体" w:cs="宋体" w:eastAsia="宋体" w:hint="default"/>
                <w:b/>
                <w:bCs/>
                <w:sz w:val="18"/>
                <w:szCs w:val="18"/>
              </w:rPr>
              <w:t>当期损益的金融负债</w:t>
            </w:r>
            <w:r>
              <w:rPr>
                <w:rFonts w:ascii="宋体" w:hAnsi="宋体" w:cs="宋体" w:eastAsia="宋体" w:hint="default"/>
                <w:sz w:val="18"/>
                <w:szCs w:val="18"/>
              </w:rPr>
            </w:r>
          </w:p>
        </w:tc>
        <w:tc>
          <w:tcPr>
            <w:tcW w:w="433" w:type="dxa"/>
            <w:tcBorders>
              <w:top w:val="single" w:sz="6" w:space="0" w:color="000000"/>
              <w:left w:val="nil" w:sz="6" w:space="0" w:color="auto"/>
              <w:bottom w:val="single" w:sz="6" w:space="0" w:color="000000"/>
              <w:right w:val="nil" w:sz="6" w:space="0" w:color="auto"/>
            </w:tcBorders>
          </w:tcPr>
          <w:p>
            <w:pPr/>
          </w:p>
        </w:tc>
        <w:tc>
          <w:tcPr>
            <w:tcW w:w="1498"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215"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44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37" w:hRule="exact"/>
        </w:trPr>
        <w:tc>
          <w:tcPr>
            <w:tcW w:w="275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47"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433" w:type="dxa"/>
            <w:tcBorders>
              <w:top w:val="single" w:sz="6" w:space="0" w:color="000000"/>
              <w:left w:val="nil" w:sz="6" w:space="0" w:color="auto"/>
              <w:bottom w:val="single" w:sz="6" w:space="0" w:color="000000"/>
              <w:right w:val="nil" w:sz="6" w:space="0" w:color="auto"/>
            </w:tcBorders>
          </w:tcPr>
          <w:p>
            <w:pPr/>
          </w:p>
        </w:tc>
        <w:tc>
          <w:tcPr>
            <w:tcW w:w="1498"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970,000,000.00</w:t>
            </w:r>
          </w:p>
        </w:tc>
        <w:tc>
          <w:tcPr>
            <w:tcW w:w="215"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970,000,000.00</w:t>
            </w:r>
          </w:p>
        </w:tc>
      </w:tr>
      <w:tr>
        <w:trPr>
          <w:trHeight w:val="336" w:hRule="exact"/>
        </w:trPr>
        <w:tc>
          <w:tcPr>
            <w:tcW w:w="275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47"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433" w:type="dxa"/>
            <w:tcBorders>
              <w:top w:val="single" w:sz="6" w:space="0" w:color="000000"/>
              <w:left w:val="nil" w:sz="6" w:space="0" w:color="auto"/>
              <w:bottom w:val="single" w:sz="6" w:space="0" w:color="000000"/>
              <w:right w:val="nil" w:sz="6" w:space="0" w:color="auto"/>
            </w:tcBorders>
          </w:tcPr>
          <w:p>
            <w:pPr/>
          </w:p>
        </w:tc>
        <w:tc>
          <w:tcPr>
            <w:tcW w:w="1498"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13,057,835.40</w:t>
            </w:r>
          </w:p>
        </w:tc>
        <w:tc>
          <w:tcPr>
            <w:tcW w:w="215"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13,057,835.40</w:t>
            </w:r>
          </w:p>
        </w:tc>
      </w:tr>
      <w:tr>
        <w:trPr>
          <w:trHeight w:val="337" w:hRule="exact"/>
        </w:trPr>
        <w:tc>
          <w:tcPr>
            <w:tcW w:w="2752"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47"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433" w:type="dxa"/>
            <w:tcBorders>
              <w:top w:val="single" w:sz="6" w:space="0" w:color="000000"/>
              <w:left w:val="nil" w:sz="6" w:space="0" w:color="auto"/>
              <w:bottom w:val="single" w:sz="6" w:space="0" w:color="000000"/>
              <w:right w:val="nil" w:sz="6" w:space="0" w:color="auto"/>
            </w:tcBorders>
          </w:tcPr>
          <w:p>
            <w:pPr/>
          </w:p>
        </w:tc>
        <w:tc>
          <w:tcPr>
            <w:tcW w:w="1498"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737,416,278.55</w:t>
            </w:r>
          </w:p>
        </w:tc>
        <w:tc>
          <w:tcPr>
            <w:tcW w:w="215"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737,416,278.55</w:t>
            </w:r>
          </w:p>
        </w:tc>
      </w:tr>
      <w:tr>
        <w:trPr>
          <w:trHeight w:val="337" w:hRule="exact"/>
        </w:trPr>
        <w:tc>
          <w:tcPr>
            <w:tcW w:w="2752"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47"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433" w:type="dxa"/>
            <w:tcBorders>
              <w:top w:val="single" w:sz="6" w:space="0" w:color="000000"/>
              <w:left w:val="nil" w:sz="6" w:space="0" w:color="auto"/>
              <w:bottom w:val="single" w:sz="6" w:space="0" w:color="000000"/>
              <w:right w:val="nil" w:sz="6" w:space="0" w:color="auto"/>
            </w:tcBorders>
          </w:tcPr>
          <w:p>
            <w:pPr/>
          </w:p>
        </w:tc>
        <w:tc>
          <w:tcPr>
            <w:tcW w:w="1498"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17,519,460.70</w:t>
            </w:r>
          </w:p>
        </w:tc>
        <w:tc>
          <w:tcPr>
            <w:tcW w:w="215"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17,519,460.70</w:t>
            </w:r>
          </w:p>
        </w:tc>
      </w:tr>
      <w:tr>
        <w:trPr>
          <w:trHeight w:val="337" w:hRule="exact"/>
        </w:trPr>
        <w:tc>
          <w:tcPr>
            <w:tcW w:w="2752"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47"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433" w:type="dxa"/>
            <w:tcBorders>
              <w:top w:val="single" w:sz="6" w:space="0" w:color="000000"/>
              <w:left w:val="nil" w:sz="6" w:space="0" w:color="auto"/>
              <w:bottom w:val="single" w:sz="6" w:space="0" w:color="000000"/>
              <w:right w:val="nil" w:sz="6" w:space="0" w:color="auto"/>
            </w:tcBorders>
          </w:tcPr>
          <w:p>
            <w:pPr/>
          </w:p>
        </w:tc>
        <w:tc>
          <w:tcPr>
            <w:tcW w:w="1498"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100,000,000.00</w:t>
            </w:r>
          </w:p>
        </w:tc>
        <w:tc>
          <w:tcPr>
            <w:tcW w:w="215"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100,000,000.00</w:t>
            </w:r>
          </w:p>
        </w:tc>
      </w:tr>
      <w:tr>
        <w:trPr>
          <w:trHeight w:val="262" w:hRule="exact"/>
        </w:trPr>
        <w:tc>
          <w:tcPr>
            <w:tcW w:w="2752" w:type="dxa"/>
            <w:tcBorders>
              <w:top w:val="single" w:sz="6" w:space="0" w:color="000000"/>
              <w:left w:val="nil" w:sz="6" w:space="0" w:color="auto"/>
              <w:bottom w:val="single" w:sz="4"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47"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433" w:type="dxa"/>
            <w:tcBorders>
              <w:top w:val="single" w:sz="6" w:space="0" w:color="000000"/>
              <w:left w:val="nil" w:sz="6" w:space="0" w:color="auto"/>
              <w:bottom w:val="nil" w:sz="6" w:space="0" w:color="auto"/>
              <w:right w:val="nil" w:sz="6" w:space="0" w:color="auto"/>
            </w:tcBorders>
          </w:tcPr>
          <w:p>
            <w:pPr/>
          </w:p>
        </w:tc>
        <w:tc>
          <w:tcPr>
            <w:tcW w:w="1498" w:type="dxa"/>
            <w:tcBorders>
              <w:top w:val="single" w:sz="6" w:space="0" w:color="000000"/>
              <w:left w:val="nil" w:sz="6" w:space="0" w:color="auto"/>
              <w:bottom w:val="single" w:sz="4" w:space="0" w:color="000000"/>
              <w:right w:val="nil" w:sz="6" w:space="0" w:color="auto"/>
            </w:tcBorders>
          </w:tcPr>
          <w:p>
            <w:pPr>
              <w:pStyle w:val="TableParagraph"/>
              <w:spacing w:line="240" w:lineRule="auto" w:before="11"/>
              <w:ind w:left="57" w:right="0"/>
              <w:jc w:val="left"/>
              <w:rPr>
                <w:rFonts w:ascii="宋体" w:hAnsi="宋体" w:cs="宋体" w:eastAsia="宋体" w:hint="default"/>
                <w:sz w:val="18"/>
                <w:szCs w:val="18"/>
              </w:rPr>
            </w:pPr>
            <w:r>
              <w:rPr>
                <w:rFonts w:ascii="宋体"/>
                <w:sz w:val="18"/>
              </w:rPr>
              <w:t>1,837,993,574.65</w:t>
            </w:r>
          </w:p>
        </w:tc>
        <w:tc>
          <w:tcPr>
            <w:tcW w:w="215" w:type="dxa"/>
            <w:tcBorders>
              <w:top w:val="single" w:sz="6" w:space="0" w:color="000000"/>
              <w:left w:val="nil" w:sz="6" w:space="0" w:color="auto"/>
              <w:bottom w:val="nil" w:sz="6" w:space="0" w:color="auto"/>
              <w:right w:val="nil" w:sz="6" w:space="0" w:color="auto"/>
            </w:tcBorders>
          </w:tcPr>
          <w:p>
            <w:pPr/>
          </w:p>
        </w:tc>
        <w:tc>
          <w:tcPr>
            <w:tcW w:w="1451" w:type="dxa"/>
            <w:tcBorders>
              <w:top w:val="single" w:sz="6" w:space="0" w:color="000000"/>
              <w:left w:val="nil" w:sz="6" w:space="0" w:color="auto"/>
              <w:bottom w:val="single" w:sz="4"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1,837,993,574.65</w:t>
            </w:r>
          </w:p>
        </w:tc>
      </w:tr>
    </w:tbl>
    <w:p>
      <w:pPr>
        <w:spacing w:line="240" w:lineRule="auto" w:before="11"/>
        <w:rPr>
          <w:rFonts w:ascii="宋体" w:hAnsi="宋体" w:cs="宋体" w:eastAsia="宋体" w:hint="default"/>
          <w:sz w:val="4"/>
          <w:szCs w:val="4"/>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40.55pt;height:.75pt;mso-position-horizontal-relative:char;mso-position-vertical-relative:line" coordorigin="0,0" coordsize="8811,15">
            <v:group style="position:absolute;left:7;top:7;width:2752;height:2" coordorigin="7,7" coordsize="2752,2">
              <v:shape style="position:absolute;left:7;top:7;width:2752;height:2" coordorigin="7,7" coordsize="2752,0" path="m7,7l2759,7e" filled="false" stroked="true" strokeweight=".72pt" strokecolor="#000000">
                <v:path arrowok="t"/>
              </v:shape>
            </v:group>
            <v:group style="position:absolute;left:2759;top:7;width:15;height:2" coordorigin="2759,7" coordsize="15,2">
              <v:shape style="position:absolute;left:2759;top:7;width:15;height:2" coordorigin="2759,7" coordsize="15,0" path="m2759,7l2774,7e" filled="false" stroked="true" strokeweight=".72pt" strokecolor="#000000">
                <v:path arrowok="t"/>
              </v:shape>
            </v:group>
            <v:group style="position:absolute;left:2774;top:7;width:2443;height:2" coordorigin="2774,7" coordsize="2443,2">
              <v:shape style="position:absolute;left:2774;top:7;width:2443;height:2" coordorigin="2774,7" coordsize="2443,0" path="m2774,7l5216,7e" filled="false" stroked="true" strokeweight=".72pt" strokecolor="#000000">
                <v:path arrowok="t"/>
              </v:shape>
            </v:group>
            <v:group style="position:absolute;left:5216;top:7;width:15;height:2" coordorigin="5216,7" coordsize="15,2">
              <v:shape style="position:absolute;left:5216;top:7;width:15;height:2" coordorigin="5216,7" coordsize="15,0" path="m5216,7l5230,7e" filled="false" stroked="true" strokeweight=".72pt" strokecolor="#000000">
                <v:path arrowok="t"/>
              </v:shape>
            </v:group>
            <v:group style="position:absolute;left:5230;top:7;width:1917;height:2" coordorigin="5230,7" coordsize="1917,2">
              <v:shape style="position:absolute;left:5230;top:7;width:1917;height:2" coordorigin="5230,7" coordsize="1917,0" path="m5230,7l7147,7e" filled="false" stroked="true" strokeweight=".72pt" strokecolor="#000000">
                <v:path arrowok="t"/>
              </v:shape>
            </v:group>
            <v:group style="position:absolute;left:7147;top:7;width:15;height:2" coordorigin="7147,7" coordsize="15,2">
              <v:shape style="position:absolute;left:7147;top:7;width:15;height:2" coordorigin="7147,7" coordsize="15,0" path="m7147,7l7162,7e" filled="false" stroked="true" strokeweight=".72pt" strokecolor="#000000">
                <v:path arrowok="t"/>
              </v:shape>
            </v:group>
            <v:group style="position:absolute;left:7162;top:7;width:1642;height:2" coordorigin="7162,7" coordsize="1642,2">
              <v:shape style="position:absolute;left:7162;top:7;width:1642;height:2" coordorigin="7162,7" coordsize="1642,0" path="m7162,7l8803,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77"/>
        <w:ind w:left="574" w:right="889"/>
        <w:jc w:val="left"/>
      </w:pPr>
      <w:r>
        <w:rPr/>
        <w:t>（续上表）</w:t>
      </w:r>
    </w:p>
    <w:p>
      <w:pPr>
        <w:spacing w:line="240" w:lineRule="auto" w:before="1"/>
        <w:rPr>
          <w:rFonts w:ascii="宋体" w:hAnsi="宋体" w:cs="宋体" w:eastAsia="宋体" w:hint="default"/>
          <w:sz w:val="20"/>
          <w:szCs w:val="20"/>
        </w:rPr>
      </w:pPr>
    </w:p>
    <w:tbl>
      <w:tblPr>
        <w:tblW w:w="0" w:type="auto"/>
        <w:jc w:val="left"/>
        <w:tblInd w:w="153" w:type="dxa"/>
        <w:tblLayout w:type="fixed"/>
        <w:tblCellMar>
          <w:top w:w="0" w:type="dxa"/>
          <w:left w:w="0" w:type="dxa"/>
          <w:bottom w:w="0" w:type="dxa"/>
          <w:right w:w="0" w:type="dxa"/>
        </w:tblCellMar>
        <w:tblLook w:val="01E0"/>
      </w:tblPr>
      <w:tblGrid>
        <w:gridCol w:w="2752"/>
        <w:gridCol w:w="2664"/>
        <w:gridCol w:w="1912"/>
        <w:gridCol w:w="1468"/>
      </w:tblGrid>
      <w:tr>
        <w:trPr>
          <w:trHeight w:val="263"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180" w:lineRule="exact"/>
              <w:ind w:left="833"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2664" w:type="dxa"/>
            <w:tcBorders>
              <w:top w:val="nil" w:sz="6" w:space="0" w:color="auto"/>
              <w:left w:val="nil" w:sz="6" w:space="0" w:color="auto"/>
              <w:bottom w:val="single" w:sz="6" w:space="0" w:color="000000"/>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tc>
        <w:tc>
          <w:tcPr>
            <w:tcW w:w="1912" w:type="dxa"/>
            <w:tcBorders>
              <w:top w:val="nil" w:sz="6" w:space="0" w:color="auto"/>
              <w:left w:val="nil" w:sz="6" w:space="0" w:color="auto"/>
              <w:bottom w:val="single" w:sz="6" w:space="0" w:color="000000"/>
              <w:right w:val="nil" w:sz="6" w:space="0" w:color="auto"/>
            </w:tcBorders>
          </w:tcPr>
          <w:p>
            <w:pPr/>
          </w:p>
        </w:tc>
        <w:tc>
          <w:tcPr>
            <w:tcW w:w="1468" w:type="dxa"/>
            <w:tcBorders>
              <w:top w:val="nil" w:sz="6" w:space="0" w:color="auto"/>
              <w:left w:val="nil" w:sz="6" w:space="0" w:color="auto"/>
              <w:bottom w:val="single" w:sz="6" w:space="0" w:color="000000"/>
              <w:right w:val="nil" w:sz="6" w:space="0" w:color="auto"/>
            </w:tcBorders>
          </w:tcPr>
          <w:p>
            <w:pPr/>
          </w:p>
        </w:tc>
      </w:tr>
      <w:tr>
        <w:trPr>
          <w:trHeight w:val="649" w:hRule="exact"/>
        </w:trPr>
        <w:tc>
          <w:tcPr>
            <w:tcW w:w="5416" w:type="dxa"/>
            <w:gridSpan w:val="2"/>
            <w:tcBorders>
              <w:top w:val="nil" w:sz="6" w:space="0" w:color="auto"/>
              <w:left w:val="nil" w:sz="6" w:space="0" w:color="auto"/>
              <w:bottom w:val="single" w:sz="6" w:space="0" w:color="000000"/>
              <w:right w:val="nil" w:sz="6" w:space="0" w:color="auto"/>
            </w:tcBorders>
          </w:tcPr>
          <w:p>
            <w:pPr>
              <w:pStyle w:val="TableParagraph"/>
              <w:spacing w:line="316" w:lineRule="auto" w:before="19"/>
              <w:ind w:left="3167" w:right="261" w:hanging="362"/>
              <w:jc w:val="left"/>
              <w:rPr>
                <w:rFonts w:ascii="宋体" w:hAnsi="宋体" w:cs="宋体" w:eastAsia="宋体" w:hint="default"/>
                <w:sz w:val="18"/>
                <w:szCs w:val="18"/>
              </w:rPr>
            </w:pPr>
            <w:r>
              <w:rPr>
                <w:rFonts w:ascii="宋体" w:hAnsi="宋体" w:cs="宋体" w:eastAsia="宋体" w:hint="default"/>
                <w:b/>
                <w:bCs/>
                <w:w w:val="95"/>
                <w:sz w:val="18"/>
                <w:szCs w:val="18"/>
              </w:rPr>
              <w:t>以公允价值计量且其变动计入</w:t>
            </w:r>
            <w:r>
              <w:rPr>
                <w:rFonts w:ascii="宋体" w:hAnsi="宋体" w:cs="宋体" w:eastAsia="宋体" w:hint="default"/>
                <w:b/>
                <w:bCs/>
                <w:spacing w:val="28"/>
                <w:w w:val="95"/>
                <w:sz w:val="18"/>
                <w:szCs w:val="18"/>
              </w:rPr>
              <w:t> </w:t>
            </w:r>
            <w:r>
              <w:rPr>
                <w:rFonts w:ascii="宋体" w:hAnsi="宋体" w:cs="宋体" w:eastAsia="宋体" w:hint="default"/>
                <w:b/>
                <w:bCs/>
                <w:spacing w:val="28"/>
                <w:w w:val="95"/>
                <w:sz w:val="18"/>
                <w:szCs w:val="18"/>
              </w:rPr>
            </w:r>
            <w:r>
              <w:rPr>
                <w:rFonts w:ascii="宋体" w:hAnsi="宋体" w:cs="宋体" w:eastAsia="宋体" w:hint="default"/>
                <w:b/>
                <w:bCs/>
                <w:sz w:val="18"/>
                <w:szCs w:val="18"/>
              </w:rPr>
              <w:t>当期损益的金融负债</w:t>
            </w:r>
            <w:r>
              <w:rPr>
                <w:rFonts w:ascii="宋体" w:hAnsi="宋体" w:cs="宋体" w:eastAsia="宋体" w:hint="default"/>
                <w:sz w:val="18"/>
                <w:szCs w:val="18"/>
              </w:rPr>
            </w:r>
          </w:p>
        </w:tc>
        <w:tc>
          <w:tcPr>
            <w:tcW w:w="1912"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216"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1468"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45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38" w:hRule="exact"/>
        </w:trPr>
        <w:tc>
          <w:tcPr>
            <w:tcW w:w="275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664"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214"/>
              <w:jc w:val="right"/>
              <w:rPr>
                <w:rFonts w:ascii="宋体" w:hAnsi="宋体" w:cs="宋体" w:eastAsia="宋体" w:hint="default"/>
                <w:sz w:val="18"/>
                <w:szCs w:val="18"/>
              </w:rPr>
            </w:pPr>
            <w:r>
              <w:rPr>
                <w:rFonts w:ascii="宋体"/>
                <w:sz w:val="18"/>
              </w:rPr>
              <w:t>-</w:t>
            </w:r>
          </w:p>
        </w:tc>
        <w:tc>
          <w:tcPr>
            <w:tcW w:w="191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195"/>
              <w:jc w:val="right"/>
              <w:rPr>
                <w:rFonts w:ascii="宋体" w:hAnsi="宋体" w:cs="宋体" w:eastAsia="宋体" w:hint="default"/>
                <w:sz w:val="18"/>
                <w:szCs w:val="18"/>
              </w:rPr>
            </w:pPr>
            <w:r>
              <w:rPr>
                <w:rFonts w:ascii="宋体"/>
                <w:sz w:val="18"/>
              </w:rPr>
              <w:t>669,000,000.00</w:t>
            </w:r>
          </w:p>
        </w:tc>
        <w:tc>
          <w:tcPr>
            <w:tcW w:w="1468"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669,000,000.00</w:t>
            </w:r>
          </w:p>
        </w:tc>
      </w:tr>
      <w:tr>
        <w:trPr>
          <w:trHeight w:val="337" w:hRule="exact"/>
        </w:trPr>
        <w:tc>
          <w:tcPr>
            <w:tcW w:w="275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664"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214"/>
              <w:jc w:val="right"/>
              <w:rPr>
                <w:rFonts w:ascii="宋体" w:hAnsi="宋体" w:cs="宋体" w:eastAsia="宋体" w:hint="default"/>
                <w:sz w:val="18"/>
                <w:szCs w:val="18"/>
              </w:rPr>
            </w:pPr>
            <w:r>
              <w:rPr>
                <w:rFonts w:ascii="宋体"/>
                <w:sz w:val="18"/>
              </w:rPr>
              <w:t>-</w:t>
            </w:r>
          </w:p>
        </w:tc>
        <w:tc>
          <w:tcPr>
            <w:tcW w:w="191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195"/>
              <w:jc w:val="right"/>
              <w:rPr>
                <w:rFonts w:ascii="宋体" w:hAnsi="宋体" w:cs="宋体" w:eastAsia="宋体" w:hint="default"/>
                <w:sz w:val="18"/>
                <w:szCs w:val="18"/>
              </w:rPr>
            </w:pPr>
            <w:r>
              <w:rPr>
                <w:rFonts w:ascii="宋体"/>
                <w:sz w:val="18"/>
              </w:rPr>
              <w:t>22,688,837.98</w:t>
            </w:r>
          </w:p>
        </w:tc>
        <w:tc>
          <w:tcPr>
            <w:tcW w:w="1468"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22,688,837.98</w:t>
            </w:r>
          </w:p>
        </w:tc>
      </w:tr>
      <w:tr>
        <w:trPr>
          <w:trHeight w:val="336" w:hRule="exact"/>
        </w:trPr>
        <w:tc>
          <w:tcPr>
            <w:tcW w:w="275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664"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214"/>
              <w:jc w:val="right"/>
              <w:rPr>
                <w:rFonts w:ascii="宋体" w:hAnsi="宋体" w:cs="宋体" w:eastAsia="宋体" w:hint="default"/>
                <w:sz w:val="18"/>
                <w:szCs w:val="18"/>
              </w:rPr>
            </w:pPr>
            <w:r>
              <w:rPr>
                <w:rFonts w:ascii="宋体"/>
                <w:sz w:val="18"/>
              </w:rPr>
              <w:t>-</w:t>
            </w:r>
          </w:p>
        </w:tc>
        <w:tc>
          <w:tcPr>
            <w:tcW w:w="191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195"/>
              <w:jc w:val="right"/>
              <w:rPr>
                <w:rFonts w:ascii="宋体" w:hAnsi="宋体" w:cs="宋体" w:eastAsia="宋体" w:hint="default"/>
                <w:sz w:val="18"/>
                <w:szCs w:val="18"/>
              </w:rPr>
            </w:pPr>
            <w:r>
              <w:rPr>
                <w:rFonts w:ascii="宋体"/>
                <w:sz w:val="18"/>
              </w:rPr>
              <w:t>576,962,861.20</w:t>
            </w:r>
          </w:p>
        </w:tc>
        <w:tc>
          <w:tcPr>
            <w:tcW w:w="1468"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576,962,861.20</w:t>
            </w:r>
          </w:p>
        </w:tc>
      </w:tr>
      <w:tr>
        <w:trPr>
          <w:trHeight w:val="337" w:hRule="exact"/>
        </w:trPr>
        <w:tc>
          <w:tcPr>
            <w:tcW w:w="2752"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64"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214"/>
              <w:jc w:val="right"/>
              <w:rPr>
                <w:rFonts w:ascii="宋体" w:hAnsi="宋体" w:cs="宋体" w:eastAsia="宋体" w:hint="default"/>
                <w:sz w:val="18"/>
                <w:szCs w:val="18"/>
              </w:rPr>
            </w:pPr>
            <w:r>
              <w:rPr>
                <w:rFonts w:ascii="宋体"/>
                <w:sz w:val="18"/>
              </w:rPr>
              <w:t>-</w:t>
            </w:r>
          </w:p>
        </w:tc>
        <w:tc>
          <w:tcPr>
            <w:tcW w:w="1912"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195"/>
              <w:jc w:val="right"/>
              <w:rPr>
                <w:rFonts w:ascii="宋体" w:hAnsi="宋体" w:cs="宋体" w:eastAsia="宋体" w:hint="default"/>
                <w:sz w:val="18"/>
                <w:szCs w:val="18"/>
              </w:rPr>
            </w:pPr>
            <w:r>
              <w:rPr>
                <w:rFonts w:ascii="宋体"/>
                <w:sz w:val="18"/>
              </w:rPr>
              <w:t>9,730,095.32</w:t>
            </w:r>
          </w:p>
        </w:tc>
        <w:tc>
          <w:tcPr>
            <w:tcW w:w="1468"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9,730,095.32</w:t>
            </w:r>
          </w:p>
        </w:tc>
      </w:tr>
      <w:tr>
        <w:trPr>
          <w:trHeight w:val="338" w:hRule="exact"/>
        </w:trPr>
        <w:tc>
          <w:tcPr>
            <w:tcW w:w="2752"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664"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214"/>
              <w:jc w:val="right"/>
              <w:rPr>
                <w:rFonts w:ascii="宋体" w:hAnsi="宋体" w:cs="宋体" w:eastAsia="宋体" w:hint="default"/>
                <w:sz w:val="18"/>
                <w:szCs w:val="18"/>
              </w:rPr>
            </w:pPr>
            <w:r>
              <w:rPr>
                <w:rFonts w:ascii="宋体"/>
                <w:sz w:val="18"/>
              </w:rPr>
              <w:t>-</w:t>
            </w:r>
          </w:p>
        </w:tc>
        <w:tc>
          <w:tcPr>
            <w:tcW w:w="1912"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195"/>
              <w:jc w:val="right"/>
              <w:rPr>
                <w:rFonts w:ascii="宋体" w:hAnsi="宋体" w:cs="宋体" w:eastAsia="宋体" w:hint="default"/>
                <w:sz w:val="18"/>
                <w:szCs w:val="18"/>
              </w:rPr>
            </w:pPr>
            <w:r>
              <w:rPr>
                <w:rFonts w:ascii="宋体"/>
                <w:sz w:val="18"/>
              </w:rPr>
              <w:t>-</w:t>
            </w:r>
          </w:p>
        </w:tc>
        <w:tc>
          <w:tcPr>
            <w:tcW w:w="1468"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2"/>
          <w:szCs w:val="22"/>
        </w:rPr>
      </w:pPr>
    </w:p>
    <w:p>
      <w:pPr>
        <w:pStyle w:val="BodyText"/>
        <w:spacing w:line="240" w:lineRule="auto" w:before="44"/>
        <w:ind w:left="2243" w:right="2551"/>
        <w:jc w:val="center"/>
        <w:rPr>
          <w:rFonts w:ascii="宋体" w:hAnsi="宋体" w:cs="宋体" w:eastAsia="宋体" w:hint="default"/>
        </w:rPr>
      </w:pPr>
      <w:r>
        <w:rPr/>
        <w:pict>
          <v:shape style="position:absolute;margin-left:55.200001pt;margin-top:-15.188257pt;width:440.8pt;height:29.8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0"/>
                    <w:gridCol w:w="4740"/>
                    <w:gridCol w:w="90"/>
                    <w:gridCol w:w="491"/>
                    <w:gridCol w:w="1440"/>
                    <w:gridCol w:w="215"/>
                    <w:gridCol w:w="1440"/>
                  </w:tblGrid>
                  <w:tr>
                    <w:trPr>
                      <w:trHeight w:val="590" w:hRule="exact"/>
                    </w:trPr>
                    <w:tc>
                      <w:tcPr>
                        <w:tcW w:w="40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40"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single" w:sz="4" w:space="0" w:color="000000"/>
                          <w:right w:val="nil" w:sz="6" w:space="0" w:color="auto"/>
                        </w:tcBorders>
                      </w:tcPr>
                      <w:p>
                        <w:pPr/>
                      </w:p>
                    </w:tc>
                    <w:tc>
                      <w:tcPr>
                        <w:tcW w:w="49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left"/>
                          <w:rPr>
                            <w:rFonts w:ascii="宋体" w:hAnsi="宋体" w:cs="宋体" w:eastAsia="宋体" w:hint="default"/>
                            <w:sz w:val="18"/>
                            <w:szCs w:val="18"/>
                          </w:rPr>
                        </w:pPr>
                        <w:r>
                          <w:rPr>
                            <w:rFonts w:ascii="宋体"/>
                            <w:sz w:val="18"/>
                          </w:rPr>
                          <w:t>1,278,381,794.50</w:t>
                        </w:r>
                      </w:p>
                    </w:tc>
                    <w:tc>
                      <w:tcPr>
                        <w:tcW w:w="215"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left"/>
                          <w:rPr>
                            <w:rFonts w:ascii="宋体" w:hAnsi="宋体" w:cs="宋体" w:eastAsia="宋体" w:hint="default"/>
                            <w:sz w:val="18"/>
                            <w:szCs w:val="18"/>
                          </w:rPr>
                        </w:pPr>
                        <w:r>
                          <w:rPr>
                            <w:rFonts w:ascii="宋体"/>
                            <w:w w:val="95"/>
                            <w:sz w:val="18"/>
                          </w:rPr>
                          <w:t>1,278,381,794.50</w:t>
                        </w:r>
                      </w:p>
                    </w:tc>
                  </w:tr>
                </w:tbl>
                <w:p>
                  <w:pPr/>
                </w:p>
              </w:txbxContent>
            </v:textbox>
            <w10:wrap type="none"/>
          </v:shape>
        </w:pict>
      </w:r>
      <w:r>
        <w:rPr>
          <w:rFonts w:ascii="宋体"/>
        </w:rPr>
        <w:t>-</w:t>
      </w:r>
    </w:p>
    <w:p>
      <w:pPr>
        <w:spacing w:line="240" w:lineRule="auto" w:before="11"/>
        <w:rPr>
          <w:rFonts w:ascii="宋体" w:hAnsi="宋体" w:cs="宋体" w:eastAsia="宋体" w:hint="default"/>
          <w:sz w:val="5"/>
          <w:szCs w:val="5"/>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40.55pt;height:.75pt;mso-position-horizontal-relative:char;mso-position-vertical-relative:line" coordorigin="0,0" coordsize="8811,15">
            <v:group style="position:absolute;left:7;top:7;width:2752;height:2" coordorigin="7,7" coordsize="2752,2">
              <v:shape style="position:absolute;left:7;top:7;width:2752;height:2" coordorigin="7,7" coordsize="2752,0" path="m7,7l2759,7e" filled="false" stroked="true" strokeweight=".72pt" strokecolor="#000000">
                <v:path arrowok="t"/>
              </v:shape>
            </v:group>
            <v:group style="position:absolute;left:2759;top:7;width:15;height:2" coordorigin="2759,7" coordsize="15,2">
              <v:shape style="position:absolute;left:2759;top:7;width:15;height:2" coordorigin="2759,7" coordsize="15,0" path="m2759,7l2774,7e" filled="false" stroked="true" strokeweight=".72pt" strokecolor="#000000">
                <v:path arrowok="t"/>
              </v:shape>
            </v:group>
            <v:group style="position:absolute;left:2774;top:7;width:2443;height:2" coordorigin="2774,7" coordsize="2443,2">
              <v:shape style="position:absolute;left:2774;top:7;width:2443;height:2" coordorigin="2774,7" coordsize="2443,0" path="m2774,7l5216,7e" filled="false" stroked="true" strokeweight=".72pt" strokecolor="#000000">
                <v:path arrowok="t"/>
              </v:shape>
            </v:group>
            <v:group style="position:absolute;left:5216;top:7;width:15;height:2" coordorigin="5216,7" coordsize="15,2">
              <v:shape style="position:absolute;left:5216;top:7;width:15;height:2" coordorigin="5216,7" coordsize="15,0" path="m5216,7l5230,7e" filled="false" stroked="true" strokeweight=".72pt" strokecolor="#000000">
                <v:path arrowok="t"/>
              </v:shape>
            </v:group>
            <v:group style="position:absolute;left:5230;top:7;width:1917;height:2" coordorigin="5230,7" coordsize="1917,2">
              <v:shape style="position:absolute;left:5230;top:7;width:1917;height:2" coordorigin="5230,7" coordsize="1917,0" path="m5230,7l7147,7e" filled="false" stroked="true" strokeweight=".72pt" strokecolor="#000000">
                <v:path arrowok="t"/>
              </v:shape>
            </v:group>
            <v:group style="position:absolute;left:7147;top:7;width:15;height:2" coordorigin="7147,7" coordsize="15,2">
              <v:shape style="position:absolute;left:7147;top:7;width:15;height:2" coordorigin="7147,7" coordsize="15,0" path="m7147,7l7162,7e" filled="false" stroked="true" strokeweight=".72pt" strokecolor="#000000">
                <v:path arrowok="t"/>
              </v:shape>
            </v:group>
            <v:group style="position:absolute;left:7162;top:7;width:1642;height:2" coordorigin="7162,7" coordsize="1642,2">
              <v:shape style="position:absolute;left:7162;top:7;width:1642;height:2" coordorigin="7162,7" coordsize="1642,0" path="m7162,7l880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6"/>
          <w:szCs w:val="6"/>
        </w:rPr>
      </w:pPr>
    </w:p>
    <w:p>
      <w:pPr>
        <w:pStyle w:val="Heading5"/>
        <w:spacing w:line="240" w:lineRule="auto"/>
        <w:ind w:left="576" w:right="889"/>
        <w:jc w:val="left"/>
        <w:rPr>
          <w:b w:val="0"/>
          <w:bCs w:val="0"/>
        </w:rPr>
      </w:pPr>
      <w:r>
        <w:rPr>
          <w:rFonts w:ascii="宋体" w:hAnsi="宋体" w:cs="宋体" w:eastAsia="宋体" w:hint="default"/>
        </w:rPr>
        <w:t>2.</w:t>
      </w:r>
      <w:r>
        <w:rPr>
          <w:rFonts w:ascii="宋体" w:hAnsi="宋体" w:cs="宋体" w:eastAsia="宋体" w:hint="default"/>
          <w:spacing w:val="-1"/>
        </w:rPr>
        <w:t> </w:t>
      </w:r>
      <w:r>
        <w:rPr/>
        <w:t>信用风险</w:t>
      </w:r>
      <w:r>
        <w:rPr>
          <w:b w:val="0"/>
          <w:bCs w:val="0"/>
        </w:rPr>
      </w:r>
    </w:p>
    <w:p>
      <w:pPr>
        <w:spacing w:line="240" w:lineRule="auto" w:before="0"/>
        <w:rPr>
          <w:rFonts w:ascii="宋体" w:hAnsi="宋体" w:cs="宋体" w:eastAsia="宋体" w:hint="default"/>
          <w:b/>
          <w:bCs/>
          <w:sz w:val="15"/>
          <w:szCs w:val="15"/>
        </w:rPr>
      </w:pPr>
    </w:p>
    <w:p>
      <w:pPr>
        <w:pStyle w:val="BodyText"/>
        <w:spacing w:line="319" w:lineRule="auto"/>
        <w:ind w:right="1131" w:firstLine="420"/>
        <w:jc w:val="both"/>
      </w:pPr>
      <w:r>
        <w:rPr/>
        <w:t>本公司仅与经认可的、信誉良好的第三方进行交易。按照本公司的政策，需对所有要求采用信用方式进行交易的客户 </w:t>
      </w:r>
      <w:r>
        <w:rPr>
          <w:spacing w:val="-2"/>
        </w:rPr>
        <w:t>进行信用审核。另外，本公司对应收账款余额进行持续监控，以确保本公司不致面临重大坏账风险。对于未采用相关经营单</w:t>
      </w:r>
      <w:r>
        <w:rPr>
          <w:spacing w:val="-66"/>
        </w:rPr>
        <w:t> </w:t>
      </w:r>
      <w:r>
        <w:rPr>
          <w:spacing w:val="-66"/>
        </w:rPr>
      </w:r>
      <w:r>
        <w:rPr/>
        <w:t>位的记账本位币结算的交易，除非本公司信用控制部门特别批准，否则本公司不提供信用交易条件。</w:t>
      </w:r>
    </w:p>
    <w:p>
      <w:pPr>
        <w:pStyle w:val="BodyText"/>
        <w:spacing w:line="316" w:lineRule="auto" w:before="137"/>
        <w:ind w:right="1170" w:firstLine="420"/>
        <w:jc w:val="both"/>
      </w:pPr>
      <w:r>
        <w:rPr/>
        <w:t>本公司其他金融资产包括货币资金、可供出售的金融资产、其他应收款及某些衍生工具，这些金融资产的信用风险源 自交易对手违约，最大风险敞口等于这些工具的账面金额。本公司无因提供财务担保而面临信用风险。</w:t>
      </w:r>
    </w:p>
    <w:p>
      <w:pPr>
        <w:pStyle w:val="BodyText"/>
        <w:spacing w:line="316" w:lineRule="auto" w:before="139"/>
        <w:ind w:right="1131" w:firstLine="420"/>
        <w:jc w:val="both"/>
      </w:pPr>
      <w:r>
        <w:rPr/>
        <w:t>由于本公司仅与经认可的且信誉良好的第三方进行交易，所以无需担保物。同时基于对客户的财务状况、从第三方获 </w:t>
      </w:r>
      <w:r>
        <w:rPr>
          <w:spacing w:val="-2"/>
        </w:rPr>
        <w:t>取担保的可能性、信用记录及其它因素诸如目前市场状况等评估客户的信用资质并设置相应信用期。本公司会定期对客户信</w:t>
      </w:r>
      <w:r>
        <w:rPr>
          <w:spacing w:val="-64"/>
        </w:rPr>
        <w:t> </w:t>
      </w:r>
      <w:r>
        <w:rPr>
          <w:spacing w:val="-64"/>
        </w:rPr>
      </w:r>
      <w:r>
        <w:rPr>
          <w:spacing w:val="-2"/>
        </w:rPr>
        <w:t>用记录进行监控，对于信用记录不良的客户，本公司会采用书面催款、缩短信用期或取消信用期等方式，以确保本公司的整</w:t>
      </w:r>
      <w:r>
        <w:rPr>
          <w:spacing w:val="-66"/>
        </w:rPr>
        <w:t> </w:t>
      </w:r>
      <w:r>
        <w:rPr>
          <w:spacing w:val="-66"/>
        </w:rPr>
      </w:r>
      <w:r>
        <w:rPr/>
        <w:t>体信用风险在可控的范围内。</w:t>
      </w:r>
    </w:p>
    <w:p>
      <w:pPr>
        <w:pStyle w:val="BodyText"/>
        <w:spacing w:line="432" w:lineRule="exact" w:before="3"/>
        <w:ind w:left="573" w:right="1153"/>
        <w:jc w:val="left"/>
      </w:pP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日止，本公司应收账款前</w:t>
      </w:r>
      <w:r>
        <w:rPr>
          <w:rFonts w:ascii="宋体" w:hAnsi="宋体" w:cs="宋体" w:eastAsia="宋体" w:hint="default"/>
        </w:rPr>
        <w:t>5</w:t>
      </w:r>
      <w:r>
        <w:rPr/>
        <w:t>名占本公司应收账款总额的</w:t>
      </w:r>
      <w:r>
        <w:rPr>
          <w:rFonts w:ascii="宋体" w:hAnsi="宋体" w:cs="宋体" w:eastAsia="宋体" w:hint="default"/>
        </w:rPr>
        <w:t>9.22%</w:t>
      </w:r>
      <w:r>
        <w:rPr/>
        <w:t>。 本公司所承受的最大信用风险敞口为资产负债表中每项金融工具的账面金额。本公司没有提供可能令本公司承受信用</w:t>
      </w:r>
    </w:p>
    <w:p>
      <w:pPr>
        <w:pStyle w:val="BodyText"/>
        <w:spacing w:line="240" w:lineRule="auto" w:before="15"/>
        <w:ind w:right="889"/>
        <w:jc w:val="left"/>
      </w:pPr>
      <w:r>
        <w:rPr/>
        <w:t>风险的担保。</w:t>
      </w:r>
    </w:p>
    <w:p>
      <w:pPr>
        <w:pStyle w:val="BodyText"/>
        <w:spacing w:line="430" w:lineRule="atLeast" w:before="2"/>
        <w:ind w:left="573" w:right="1153" w:firstLine="2"/>
        <w:jc w:val="left"/>
      </w:pP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b/>
          <w:bCs/>
          <w:w w:val="99"/>
        </w:rPr>
        <w:t> </w:t>
      </w:r>
      <w:r>
        <w:rPr/>
        <w:t>流动性风险为本公司在履行与金融负债有关的义务时遇到资金短缺的风险。本公司在资金正常和紧张的情况下，确保</w:t>
      </w:r>
    </w:p>
    <w:p>
      <w:pPr>
        <w:pStyle w:val="BodyText"/>
        <w:spacing w:line="439" w:lineRule="auto" w:before="76"/>
        <w:ind w:left="573" w:right="889" w:hanging="420"/>
        <w:jc w:val="left"/>
        <w:rPr>
          <w:rFonts w:ascii="宋体" w:hAnsi="宋体" w:cs="宋体" w:eastAsia="宋体" w:hint="default"/>
        </w:rPr>
      </w:pPr>
      <w:r>
        <w:rPr/>
        <w:t>有足够的流动性来履行到期债务，且与金融机构进行融资磋商，保持一定水平的备用授信额度以降低流动性风险。 </w:t>
      </w:r>
      <w:r>
        <w:rPr>
          <w:rFonts w:ascii="宋体" w:hAnsi="宋体" w:cs="宋体" w:eastAsia="宋体" w:hint="default"/>
          <w:b/>
          <w:bCs/>
        </w:rPr>
        <w:t>4.</w:t>
      </w:r>
      <w:r>
        <w:rPr>
          <w:rFonts w:ascii="宋体" w:hAnsi="宋体" w:cs="宋体" w:eastAsia="宋体" w:hint="default"/>
          <w:b/>
          <w:bCs/>
        </w:rPr>
        <w:t>市场风险</w:t>
      </w:r>
      <w:r>
        <w:rPr>
          <w:rFonts w:ascii="宋体" w:hAnsi="宋体" w:cs="宋体" w:eastAsia="宋体" w:hint="default"/>
        </w:rPr>
      </w:r>
    </w:p>
    <w:p>
      <w:pPr>
        <w:pStyle w:val="BodyText"/>
        <w:spacing w:line="316" w:lineRule="auto" w:before="47"/>
        <w:ind w:right="1043" w:firstLine="420"/>
        <w:jc w:val="both"/>
      </w:pPr>
      <w:r>
        <w:rPr>
          <w:spacing w:val="-2"/>
        </w:rPr>
        <w:t>市场风险，是指金融工具的公允价值或未来现金流量因市场价格变动而发生波动的风险。市场风险主要包括利率风险、</w:t>
      </w:r>
      <w:r>
        <w:rPr/>
        <w:t> 外汇风险。</w:t>
      </w:r>
    </w:p>
    <w:p>
      <w:pPr>
        <w:pStyle w:val="BodyText"/>
        <w:spacing w:line="432" w:lineRule="exact" w:before="3"/>
        <w:ind w:left="573" w:right="1153"/>
        <w:jc w:val="left"/>
      </w:pPr>
      <w:r>
        <w:rPr/>
        <w:t>（</w:t>
      </w:r>
      <w:r>
        <w:rPr>
          <w:rFonts w:ascii="宋体" w:hAnsi="宋体" w:cs="宋体" w:eastAsia="宋体" w:hint="default"/>
        </w:rPr>
        <w:t>1</w:t>
      </w:r>
      <w:r>
        <w:rPr/>
        <w:t>）利率风险 利率风险是指金融工具的公允价值或未来现金流量因市场利率变动而发生波动的风险。利率风险可源于已确认的计息</w:t>
      </w:r>
    </w:p>
    <w:p>
      <w:pPr>
        <w:pStyle w:val="BodyText"/>
        <w:spacing w:line="316" w:lineRule="auto" w:before="15"/>
        <w:ind w:right="1131"/>
        <w:jc w:val="both"/>
      </w:pPr>
      <w:r>
        <w:rPr>
          <w:spacing w:val="-2"/>
        </w:rPr>
        <w:t>金融工具和未确认的金融工具（如某些贷款承诺）。本公司的利率风险主要产生于银行借款等带息债务。浮动利率的金融负</w:t>
      </w:r>
      <w:r>
        <w:rPr>
          <w:spacing w:val="-66"/>
        </w:rPr>
        <w:t> </w:t>
      </w:r>
      <w:r>
        <w:rPr>
          <w:spacing w:val="-66"/>
        </w:rPr>
      </w:r>
      <w:r>
        <w:rPr>
          <w:spacing w:val="-2"/>
        </w:rPr>
        <w:t>债使本公司面临现金流量利率风险，固定利率的金融负债使本公司面临公允价值利率风险。本公司密切关注利率变动对本公</w:t>
      </w:r>
      <w:r>
        <w:rPr>
          <w:spacing w:val="-64"/>
        </w:rPr>
        <w:t> </w:t>
      </w:r>
      <w:r>
        <w:rPr>
          <w:spacing w:val="-64"/>
        </w:rPr>
      </w:r>
      <w:r>
        <w:rPr/>
        <w:t>司利率风险的影响。</w:t>
      </w:r>
    </w:p>
    <w:p>
      <w:pPr>
        <w:pStyle w:val="BodyText"/>
        <w:spacing w:line="432" w:lineRule="exact" w:before="3"/>
        <w:ind w:left="573" w:right="1153"/>
        <w:jc w:val="left"/>
      </w:pPr>
      <w:r>
        <w:rPr/>
        <w:t>（</w:t>
      </w:r>
      <w:r>
        <w:rPr>
          <w:rFonts w:ascii="宋体" w:hAnsi="宋体" w:cs="宋体" w:eastAsia="宋体" w:hint="default"/>
        </w:rPr>
        <w:t>2</w:t>
      </w:r>
      <w:r>
        <w:rPr/>
        <w:t>）外汇风险 外汇风险是因汇率变动产生的风险。本公司面临的汇率变动的风险主要与本公司外币货币性资产和负债有关。本公司</w:t>
      </w:r>
    </w:p>
    <w:p>
      <w:pPr>
        <w:pStyle w:val="BodyText"/>
        <w:spacing w:line="439" w:lineRule="auto" w:before="15"/>
        <w:ind w:left="573" w:right="1243" w:hanging="420"/>
        <w:jc w:val="left"/>
      </w:pPr>
      <w:r>
        <w:rPr/>
        <w:t>主要于中国内地经营，且主要活动以人民币计价。因此，本公司所承担的外汇变动市场风险不重大。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日止，外币金融工具折算成人民币的金额列示详见本财务报表附注七、</w:t>
      </w:r>
      <w:r>
        <w:rPr>
          <w:rFonts w:ascii="宋体" w:hAnsi="宋体" w:cs="宋体" w:eastAsia="宋体" w:hint="default"/>
        </w:rPr>
        <w:t>45.</w:t>
      </w:r>
      <w:r>
        <w:rPr/>
        <w:t>外币货币性项目所述。</w:t>
      </w:r>
    </w:p>
    <w:p>
      <w:pPr>
        <w:spacing w:line="240" w:lineRule="auto" w:before="10"/>
        <w:rPr>
          <w:rFonts w:ascii="宋体" w:hAnsi="宋体" w:cs="宋体" w:eastAsia="宋体" w:hint="default"/>
          <w:sz w:val="13"/>
          <w:szCs w:val="13"/>
        </w:rPr>
      </w:pPr>
    </w:p>
    <w:p>
      <w:pPr>
        <w:pStyle w:val="Heading2"/>
        <w:spacing w:line="240" w:lineRule="auto"/>
        <w:ind w:right="889"/>
        <w:jc w:val="left"/>
        <w:rPr>
          <w:b w:val="0"/>
          <w:bCs w:val="0"/>
        </w:rPr>
      </w:pPr>
      <w:bookmarkStart w:name="十一、关联方及关联交易" w:id="305"/>
      <w:bookmarkEnd w:id="305"/>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89"/>
        <w:jc w:val="left"/>
        <w:rPr>
          <w:b w:val="0"/>
          <w:bCs w:val="0"/>
        </w:rPr>
      </w:pPr>
      <w:bookmarkStart w:name="1、本企业的母公司情况" w:id="306"/>
      <w:bookmarkEnd w:id="30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4"/>
          <w:szCs w:val="24"/>
        </w:rPr>
      </w:pPr>
    </w:p>
    <w:p>
      <w:pPr>
        <w:pStyle w:val="BodyText"/>
        <w:spacing w:line="331" w:lineRule="auto"/>
        <w:ind w:right="5323"/>
        <w:jc w:val="left"/>
      </w:pPr>
      <w:r>
        <w:rPr/>
        <w:t>本公司的控股股东及实际控制人为自然人，不存在有母公司的情况</w:t>
      </w:r>
      <w:r>
        <w:rPr>
          <w:sz w:val="21"/>
          <w:szCs w:val="21"/>
        </w:rPr>
        <w:t>。</w:t>
      </w:r>
      <w:r>
        <w:rPr>
          <w:sz w:val="21"/>
          <w:szCs w:val="21"/>
        </w:rPr>
        <w:t> </w:t>
      </w:r>
      <w:r>
        <w:rPr/>
        <w:t>本企业最终控制方是庄重、庄展诺、庄小红。</w:t>
      </w:r>
    </w:p>
    <w:p>
      <w:pPr>
        <w:spacing w:after="0" w:line="331"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3"/>
        <w:spacing w:line="240" w:lineRule="auto" w:before="35"/>
        <w:ind w:right="889"/>
        <w:jc w:val="left"/>
        <w:rPr>
          <w:b w:val="0"/>
          <w:bCs w:val="0"/>
        </w:rPr>
      </w:pPr>
      <w:bookmarkStart w:name="2、本企业的子公司情况" w:id="307"/>
      <w:bookmarkEnd w:id="30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t>本企业子公司的情况详见附注第十一节 九、</w:t>
      </w:r>
      <w:r>
        <w:rPr>
          <w:rFonts w:ascii="Times New Roman" w:hAnsi="Times New Roman" w:cs="Times New Roman" w:eastAsia="Times New Roman" w:hint="default"/>
        </w:rPr>
        <w:t>1</w:t>
      </w:r>
      <w:r>
        <w:rPr/>
        <w:t>、在子公司中的权益。</w:t>
      </w:r>
    </w:p>
    <w:p>
      <w:pPr>
        <w:spacing w:line="240" w:lineRule="auto" w:before="9"/>
        <w:rPr>
          <w:rFonts w:ascii="宋体" w:hAnsi="宋体" w:cs="宋体" w:eastAsia="宋体" w:hint="default"/>
          <w:sz w:val="25"/>
          <w:szCs w:val="25"/>
        </w:rPr>
      </w:pPr>
    </w:p>
    <w:p>
      <w:pPr>
        <w:pStyle w:val="Heading3"/>
        <w:spacing w:line="240" w:lineRule="auto"/>
        <w:ind w:right="889"/>
        <w:jc w:val="left"/>
        <w:rPr>
          <w:b w:val="0"/>
          <w:bCs w:val="0"/>
        </w:rPr>
      </w:pPr>
      <w:bookmarkStart w:name="3、本企业合营和联营企业情况" w:id="308"/>
      <w:bookmarkEnd w:id="30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t>本企业重要的合营或联营企业详见附注第十一节 九、</w:t>
      </w:r>
      <w:r>
        <w:rPr>
          <w:rFonts w:ascii="Times New Roman" w:hAnsi="Times New Roman" w:cs="Times New Roman" w:eastAsia="Times New Roman" w:hint="default"/>
        </w:rPr>
        <w:t>2</w:t>
      </w:r>
      <w:r>
        <w:rPr/>
        <w:t>、在合营安排或联营企业中的权益。</w:t>
      </w:r>
    </w:p>
    <w:p>
      <w:pPr>
        <w:spacing w:line="240" w:lineRule="auto" w:before="9"/>
        <w:rPr>
          <w:rFonts w:ascii="宋体" w:hAnsi="宋体" w:cs="宋体" w:eastAsia="宋体" w:hint="default"/>
          <w:sz w:val="25"/>
          <w:szCs w:val="25"/>
        </w:rPr>
      </w:pPr>
    </w:p>
    <w:p>
      <w:pPr>
        <w:pStyle w:val="Heading3"/>
        <w:spacing w:line="240" w:lineRule="auto"/>
        <w:ind w:right="889"/>
        <w:jc w:val="left"/>
        <w:rPr>
          <w:b w:val="0"/>
          <w:bCs w:val="0"/>
        </w:rPr>
      </w:pPr>
      <w:bookmarkStart w:name="4、其他关联方情况" w:id="309"/>
      <w:bookmarkEnd w:id="30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祝琳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庄展诺之妻</w:t>
            </w:r>
          </w:p>
        </w:tc>
      </w:tr>
    </w:tbl>
    <w:p>
      <w:pPr>
        <w:spacing w:line="240" w:lineRule="auto" w:before="2"/>
        <w:rPr>
          <w:rFonts w:ascii="宋体" w:hAnsi="宋体" w:cs="宋体" w:eastAsia="宋体" w:hint="default"/>
          <w:b/>
          <w:bCs/>
          <w:sz w:val="19"/>
          <w:szCs w:val="19"/>
        </w:rPr>
      </w:pPr>
    </w:p>
    <w:p>
      <w:pPr>
        <w:spacing w:before="35"/>
        <w:ind w:left="154" w:right="889" w:firstLine="0"/>
        <w:jc w:val="left"/>
        <w:rPr>
          <w:rFonts w:ascii="宋体" w:hAnsi="宋体" w:cs="宋体" w:eastAsia="宋体" w:hint="default"/>
          <w:sz w:val="21"/>
          <w:szCs w:val="21"/>
        </w:rPr>
      </w:pPr>
      <w:bookmarkStart w:name="5、关联交易情况" w:id="310"/>
      <w:bookmarkEnd w:id="31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889" w:firstLine="0"/>
        <w:jc w:val="left"/>
        <w:rPr>
          <w:rFonts w:ascii="宋体" w:hAnsi="宋体" w:cs="宋体" w:eastAsia="宋体" w:hint="default"/>
          <w:sz w:val="21"/>
          <w:szCs w:val="21"/>
        </w:rPr>
      </w:pPr>
      <w:bookmarkStart w:name="（1）关联担保情况" w:id="311"/>
      <w:bookmarkEnd w:id="3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154" w:right="889"/>
        <w:jc w:val="left"/>
      </w:pPr>
      <w:r>
        <w:rPr/>
        <w:t>本公司作为被担保方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418"/>
        <w:gridCol w:w="1702"/>
        <w:gridCol w:w="1702"/>
        <w:gridCol w:w="1914"/>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418"/>
        <w:gridCol w:w="1702"/>
        <w:gridCol w:w="1702"/>
        <w:gridCol w:w="1914"/>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庄重、庄小红、庄展诺、祝琳</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庄重、庄小红、庄展诺、祝琳</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庄重、庄小红、庄展诺、祝琳</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庄重、庄小红、庄展诺及中装园林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889"/>
        <w:jc w:val="left"/>
      </w:pPr>
      <w:r>
        <w:rPr/>
        <w:t>关联担保情况说明</w:t>
      </w:r>
    </w:p>
    <w:p>
      <w:pPr>
        <w:pStyle w:val="BodyText"/>
        <w:spacing w:line="316" w:lineRule="auto" w:before="116"/>
        <w:ind w:right="1132" w:firstLine="423"/>
        <w:jc w:val="both"/>
      </w:pPr>
      <w:r>
        <w:rPr>
          <w:rFonts w:ascii="宋体" w:hAnsi="宋体" w:cs="宋体" w:eastAsia="宋体" w:hint="default"/>
        </w:rPr>
        <w:t>1)</w:t>
      </w:r>
      <w:r>
        <w:rPr>
          <w:rFonts w:ascii="宋体" w:hAnsi="宋体" w:cs="宋体" w:eastAsia="宋体" w:hint="default"/>
          <w:spacing w:val="-58"/>
        </w:rPr>
        <w:t> </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10</w:t>
      </w:r>
      <w:r>
        <w:rPr/>
        <w:t>日，针对本财务报表附注七、</w:t>
      </w:r>
      <w:r>
        <w:rPr>
          <w:rFonts w:ascii="宋体" w:hAnsi="宋体" w:cs="宋体" w:eastAsia="宋体" w:hint="default"/>
        </w:rPr>
        <w:t>16</w:t>
      </w:r>
      <w:r>
        <w:rPr/>
        <w:t>之短期借款，庄重、庄小红、庄展诺及中装园林分别与中国工商银行 </w:t>
      </w:r>
      <w:r>
        <w:rPr>
          <w:spacing w:val="-2"/>
        </w:rPr>
        <w:t>股份有限公司深圳横岗支行签订《最高额保证合同》，为上述借款合同项下全部债务且在人民币贰亿元整的最高余额内提供</w:t>
      </w:r>
      <w:r>
        <w:rPr>
          <w:spacing w:val="-66"/>
        </w:rPr>
        <w:t> </w:t>
      </w:r>
      <w:r>
        <w:rPr>
          <w:spacing w:val="-66"/>
        </w:rPr>
      </w:r>
      <w:r>
        <w:rPr/>
        <w:t>连带责任保证。</w:t>
      </w:r>
    </w:p>
    <w:p>
      <w:pPr>
        <w:pStyle w:val="BodyText"/>
        <w:spacing w:line="316" w:lineRule="auto" w:before="139"/>
        <w:ind w:right="889" w:firstLine="423"/>
        <w:jc w:val="left"/>
      </w:pPr>
      <w:r>
        <w:rPr>
          <w:rFonts w:ascii="宋体" w:hAnsi="宋体" w:cs="宋体" w:eastAsia="宋体" w:hint="default"/>
        </w:rPr>
        <w:t>2)</w:t>
      </w:r>
      <w:r>
        <w:rPr>
          <w:rFonts w:ascii="宋体" w:hAnsi="宋体" w:cs="宋体" w:eastAsia="宋体" w:hint="default"/>
          <w:spacing w:val="-49"/>
        </w:rPr>
        <w:t> </w:t>
      </w: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1</w:t>
      </w:r>
      <w:r>
        <w:rPr/>
        <w:t>日，针对本财务报表附注七、</w:t>
      </w:r>
      <w:r>
        <w:rPr>
          <w:rFonts w:ascii="宋体" w:hAnsi="宋体" w:cs="宋体" w:eastAsia="宋体" w:hint="default"/>
        </w:rPr>
        <w:t>16</w:t>
      </w:r>
      <w:r>
        <w:rPr/>
        <w:t>之短期借款，庄重、庄小红、庄展诺及中装园林分别与中国光大银行股 </w:t>
      </w:r>
      <w:r>
        <w:rPr>
          <w:spacing w:val="-4"/>
        </w:rPr>
        <w:t>份有限公司深圳分行签订《最高额保证合同》，为本公司与中国光大银行股份有限公司深圳分行签订的《综合授信额度合同》</w:t>
      </w:r>
      <w:r>
        <w:rPr>
          <w:spacing w:val="-46"/>
        </w:rPr>
        <w:t> </w:t>
      </w:r>
      <w:r>
        <w:rPr>
          <w:spacing w:val="-46"/>
        </w:rPr>
      </w:r>
      <w:r>
        <w:rPr/>
        <w:t>项下的债务提供连带责任保证。</w:t>
      </w:r>
    </w:p>
    <w:p>
      <w:pPr>
        <w:pStyle w:val="BodyText"/>
        <w:spacing w:line="316" w:lineRule="auto" w:before="139"/>
        <w:ind w:right="1132" w:firstLine="423"/>
        <w:jc w:val="both"/>
      </w:pPr>
      <w:r>
        <w:rPr>
          <w:rFonts w:ascii="宋体" w:hAnsi="宋体" w:cs="宋体" w:eastAsia="宋体" w:hint="default"/>
        </w:rPr>
        <w:t>3)</w:t>
      </w:r>
      <w:r>
        <w:rPr>
          <w:rFonts w:ascii="宋体" w:hAnsi="宋体" w:cs="宋体" w:eastAsia="宋体" w:hint="default"/>
          <w:spacing w:val="24"/>
        </w:rPr>
        <w:t> </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22</w:t>
      </w:r>
      <w:r>
        <w:rPr/>
        <w:t>日，针对本财务报表附注七、</w:t>
      </w:r>
      <w:r>
        <w:rPr>
          <w:rFonts w:ascii="宋体" w:hAnsi="宋体" w:cs="宋体" w:eastAsia="宋体" w:hint="default"/>
        </w:rPr>
        <w:t>16</w:t>
      </w:r>
      <w:r>
        <w:rPr/>
        <w:t>之短期借款，庄重、庄小红、庄展诺分别与中信银行股份有限公司深 </w:t>
      </w:r>
      <w:r>
        <w:rPr>
          <w:spacing w:val="-2"/>
        </w:rPr>
        <w:t>圳分行签订《最高额保证合同》，为本公司与中信银行股份有限公司深圳分行《综合授信合同》项下的债务提供连带责任保</w:t>
      </w:r>
      <w:r>
        <w:rPr>
          <w:spacing w:val="-66"/>
        </w:rPr>
        <w:t> </w:t>
      </w:r>
      <w:r>
        <w:rPr>
          <w:spacing w:val="-66"/>
        </w:rPr>
      </w:r>
      <w:r>
        <w:rPr/>
        <w:t>证。</w:t>
      </w:r>
    </w:p>
    <w:p>
      <w:pPr>
        <w:pStyle w:val="BodyText"/>
        <w:spacing w:line="316" w:lineRule="auto" w:before="139"/>
        <w:ind w:right="1133" w:firstLine="423"/>
        <w:jc w:val="both"/>
      </w:pPr>
      <w:r>
        <w:rPr>
          <w:rFonts w:ascii="宋体" w:hAnsi="宋体" w:cs="宋体" w:eastAsia="宋体" w:hint="default"/>
        </w:rPr>
        <w:t>4)</w:t>
      </w:r>
      <w:r>
        <w:rPr>
          <w:rFonts w:ascii="宋体" w:hAnsi="宋体" w:cs="宋体" w:eastAsia="宋体" w:hint="default"/>
          <w:spacing w:val="24"/>
        </w:rPr>
        <w:t> </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20</w:t>
      </w:r>
      <w:r>
        <w:rPr/>
        <w:t>日，针对本财务报表附注七、</w:t>
      </w:r>
      <w:r>
        <w:rPr>
          <w:rFonts w:ascii="宋体" w:hAnsi="宋体" w:cs="宋体" w:eastAsia="宋体" w:hint="default"/>
        </w:rPr>
        <w:t>16</w:t>
      </w:r>
      <w:r>
        <w:rPr/>
        <w:t>之短期借款，庄重、庄小红、庄展诺及中装园林分别与北京银行股份 </w:t>
      </w:r>
      <w:r>
        <w:rPr>
          <w:spacing w:val="-2"/>
        </w:rPr>
        <w:t>有限公司深圳分行签订《最高额保证合同》，为本公司与北京银行股份有限公司深圳分行签订的《综合授信合同》项下的债</w:t>
      </w:r>
      <w:r>
        <w:rPr>
          <w:spacing w:val="-66"/>
        </w:rPr>
        <w:t> </w:t>
      </w:r>
      <w:r>
        <w:rPr>
          <w:spacing w:val="-66"/>
        </w:rPr>
      </w:r>
      <w:r>
        <w:rPr/>
        <w:t>务提供连带责任保证。</w:t>
      </w:r>
    </w:p>
    <w:p>
      <w:pPr>
        <w:pStyle w:val="BodyText"/>
        <w:spacing w:line="240" w:lineRule="auto" w:before="139"/>
        <w:ind w:left="577" w:right="889"/>
        <w:jc w:val="left"/>
      </w:pPr>
      <w:r>
        <w:rPr>
          <w:rFonts w:ascii="宋体" w:hAnsi="宋体" w:cs="宋体" w:eastAsia="宋体" w:hint="default"/>
        </w:rPr>
        <w:t>5)</w:t>
      </w:r>
      <w:r>
        <w:rPr>
          <w:rFonts w:ascii="宋体" w:hAnsi="宋体" w:cs="宋体" w:eastAsia="宋体" w:hint="default"/>
          <w:spacing w:val="27"/>
        </w:rPr>
        <w:t> </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28</w:t>
      </w:r>
      <w:r>
        <w:rPr/>
        <w:t>日，针对本财务报表附注七、</w:t>
      </w:r>
      <w:r>
        <w:rPr>
          <w:rFonts w:ascii="宋体" w:hAnsi="宋体" w:cs="宋体" w:eastAsia="宋体" w:hint="default"/>
        </w:rPr>
        <w:t>16</w:t>
      </w:r>
      <w:r>
        <w:rPr/>
        <w:t>之短期借款，庄重、庄小红、庄展诺及中装园林分别与兴业银行股份</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889"/>
        <w:jc w:val="left"/>
      </w:pPr>
      <w:r>
        <w:rPr>
          <w:spacing w:val="-2"/>
        </w:rPr>
        <w:t>有限公司深圳分行签订《最高额保证合同》，为本公司与兴业银行股份有限公司深圳分行签订的《综合授信额度合同》项下</w:t>
      </w:r>
      <w:r>
        <w:rPr>
          <w:spacing w:val="-66"/>
        </w:rPr>
        <w:t> </w:t>
      </w:r>
      <w:r>
        <w:rPr>
          <w:spacing w:val="-66"/>
        </w:rPr>
      </w:r>
      <w:r>
        <w:rPr/>
        <w:t>的债务提供连带责任保证。</w:t>
      </w:r>
    </w:p>
    <w:p>
      <w:pPr>
        <w:pStyle w:val="BodyText"/>
        <w:spacing w:line="319" w:lineRule="auto" w:before="139"/>
        <w:ind w:right="1132" w:firstLine="423"/>
        <w:jc w:val="both"/>
      </w:pPr>
      <w:r>
        <w:rPr>
          <w:rFonts w:ascii="宋体" w:hAnsi="宋体" w:cs="宋体" w:eastAsia="宋体" w:hint="default"/>
        </w:rPr>
        <w:t>6)</w:t>
      </w:r>
      <w:r>
        <w:rPr>
          <w:rFonts w:ascii="宋体" w:hAnsi="宋体" w:cs="宋体" w:eastAsia="宋体" w:hint="default"/>
          <w:spacing w:val="-57"/>
        </w:rPr>
        <w:t> </w:t>
      </w:r>
      <w:r>
        <w:rPr>
          <w:rFonts w:ascii="宋体" w:hAnsi="宋体" w:cs="宋体" w:eastAsia="宋体" w:hint="default"/>
        </w:rPr>
        <w:t>2016</w:t>
      </w:r>
      <w:r>
        <w:rPr/>
        <w:t>年</w:t>
      </w:r>
      <w:r>
        <w:rPr>
          <w:rFonts w:ascii="宋体" w:hAnsi="宋体" w:cs="宋体" w:eastAsia="宋体" w:hint="default"/>
        </w:rPr>
        <w:t>10</w:t>
      </w:r>
      <w:r>
        <w:rPr/>
        <w:t>月</w:t>
      </w:r>
      <w:r>
        <w:rPr>
          <w:rFonts w:ascii="宋体" w:hAnsi="宋体" w:cs="宋体" w:eastAsia="宋体" w:hint="default"/>
        </w:rPr>
        <w:t>11</w:t>
      </w:r>
      <w:r>
        <w:rPr/>
        <w:t>日，针对本财务报表附注七、</w:t>
      </w:r>
      <w:r>
        <w:rPr>
          <w:rFonts w:ascii="宋体" w:hAnsi="宋体" w:cs="宋体" w:eastAsia="宋体" w:hint="default"/>
        </w:rPr>
        <w:t>16</w:t>
      </w:r>
      <w:r>
        <w:rPr/>
        <w:t>之短期借款，庄重、庄小红、庄展诺及中装园林分别与中国工商银行 </w:t>
      </w:r>
      <w:r>
        <w:rPr>
          <w:spacing w:val="-2"/>
        </w:rPr>
        <w:t>股份有限公司深圳横岗支行签订《最高额保证合同》，为上述借款合同项下全部债务且在人民币五亿元整的最高余额内提供</w:t>
      </w:r>
      <w:r>
        <w:rPr>
          <w:spacing w:val="-66"/>
        </w:rPr>
        <w:t> </w:t>
      </w:r>
      <w:r>
        <w:rPr>
          <w:spacing w:val="-66"/>
        </w:rPr>
      </w:r>
      <w:r>
        <w:rPr/>
        <w:t>连带责任保证。</w:t>
      </w:r>
    </w:p>
    <w:p>
      <w:pPr>
        <w:pStyle w:val="BodyText"/>
        <w:spacing w:line="316" w:lineRule="auto" w:before="137"/>
        <w:ind w:right="1130" w:firstLine="423"/>
        <w:jc w:val="both"/>
      </w:pPr>
      <w:r>
        <w:rPr>
          <w:rFonts w:ascii="宋体" w:hAnsi="宋体" w:cs="宋体" w:eastAsia="宋体" w:hint="default"/>
        </w:rPr>
        <w:t>7)</w:t>
      </w:r>
      <w:r>
        <w:rPr>
          <w:rFonts w:ascii="宋体" w:hAnsi="宋体" w:cs="宋体" w:eastAsia="宋体" w:hint="default"/>
          <w:spacing w:val="-57"/>
        </w:rPr>
        <w:t> </w:t>
      </w:r>
      <w:r>
        <w:rPr>
          <w:rFonts w:ascii="宋体" w:hAnsi="宋体" w:cs="宋体" w:eastAsia="宋体" w:hint="default"/>
        </w:rPr>
        <w:t>2016</w:t>
      </w:r>
      <w:r>
        <w:rPr/>
        <w:t>年</w:t>
      </w:r>
      <w:r>
        <w:rPr>
          <w:rFonts w:ascii="宋体" w:hAnsi="宋体" w:cs="宋体" w:eastAsia="宋体" w:hint="default"/>
        </w:rPr>
        <w:t>10</w:t>
      </w:r>
      <w:r>
        <w:rPr/>
        <w:t>月</w:t>
      </w:r>
      <w:r>
        <w:rPr>
          <w:rFonts w:ascii="宋体" w:hAnsi="宋体" w:cs="宋体" w:eastAsia="宋体" w:hint="default"/>
        </w:rPr>
        <w:t>14</w:t>
      </w:r>
      <w:r>
        <w:rPr/>
        <w:t>日，针对本财务报表附注、</w:t>
      </w:r>
      <w:r>
        <w:rPr>
          <w:rFonts w:ascii="宋体" w:hAnsi="宋体" w:cs="宋体" w:eastAsia="宋体" w:hint="default"/>
        </w:rPr>
        <w:t>16</w:t>
      </w:r>
      <w:r>
        <w:rPr/>
        <w:t>之短期借款，庄重、庄小红、庄展诺及中装园林分别与中国建设银行股 </w:t>
      </w:r>
      <w:r>
        <w:rPr>
          <w:spacing w:val="-2"/>
        </w:rPr>
        <w:t>份有限公司深圳市分行签订《最高额保证合同》，为本公司与中国建设银行股份有限公司深圳市分行签订的《综合授信额度</w:t>
      </w:r>
      <w:r>
        <w:rPr>
          <w:spacing w:val="-66"/>
        </w:rPr>
        <w:t> </w:t>
      </w:r>
      <w:r>
        <w:rPr>
          <w:spacing w:val="-66"/>
        </w:rPr>
      </w:r>
      <w:r>
        <w:rPr/>
        <w:t>合同》项下的债务提供连带责任保证。</w:t>
      </w:r>
    </w:p>
    <w:p>
      <w:pPr>
        <w:pStyle w:val="BodyText"/>
        <w:spacing w:line="316" w:lineRule="auto" w:before="139"/>
        <w:ind w:right="1132" w:firstLine="423"/>
        <w:jc w:val="both"/>
      </w:pPr>
      <w:r>
        <w:rPr>
          <w:rFonts w:ascii="宋体" w:hAnsi="宋体" w:cs="宋体" w:eastAsia="宋体" w:hint="default"/>
        </w:rPr>
        <w:t>8)</w:t>
      </w:r>
      <w:r>
        <w:rPr>
          <w:rFonts w:ascii="宋体" w:hAnsi="宋体" w:cs="宋体" w:eastAsia="宋体" w:hint="default"/>
          <w:spacing w:val="-58"/>
        </w:rPr>
        <w:t> </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24</w:t>
      </w:r>
      <w:r>
        <w:rPr/>
        <w:t>日，针对本财务报表附注七、</w:t>
      </w:r>
      <w:r>
        <w:rPr>
          <w:rFonts w:ascii="宋体" w:hAnsi="宋体" w:cs="宋体" w:eastAsia="宋体" w:hint="default"/>
        </w:rPr>
        <w:t>16</w:t>
      </w:r>
      <w:r>
        <w:rPr/>
        <w:t>之短期借款，庄重、庄小红、庄展诺分别与宁波银行股份有限公司深 圳分行签订《最高额保证合同》，为最高债权限额八千万元内的所有债权提供连带责任保证。</w:t>
      </w:r>
    </w:p>
    <w:p>
      <w:pPr>
        <w:pStyle w:val="BodyText"/>
        <w:spacing w:line="316" w:lineRule="auto" w:before="139"/>
        <w:ind w:right="1133" w:firstLine="423"/>
        <w:jc w:val="both"/>
      </w:pPr>
      <w:r>
        <w:rPr>
          <w:rFonts w:ascii="宋体" w:hAnsi="宋体" w:cs="宋体" w:eastAsia="宋体" w:hint="default"/>
        </w:rPr>
        <w:t>9)</w:t>
      </w:r>
      <w:r>
        <w:rPr>
          <w:rFonts w:ascii="宋体" w:hAnsi="宋体" w:cs="宋体" w:eastAsia="宋体" w:hint="default"/>
          <w:spacing w:val="24"/>
        </w:rPr>
        <w:t> </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18</w:t>
      </w:r>
      <w:r>
        <w:rPr/>
        <w:t>日，针对本财务报表附注七、</w:t>
      </w:r>
      <w:r>
        <w:rPr>
          <w:rFonts w:ascii="宋体" w:hAnsi="宋体" w:cs="宋体" w:eastAsia="宋体" w:hint="default"/>
        </w:rPr>
        <w:t>16</w:t>
      </w:r>
      <w:r>
        <w:rPr/>
        <w:t>之短期借款，庄重、庄小红、庄展诺与交通银行股份有限公司深圳盐 </w:t>
      </w:r>
      <w:r>
        <w:rPr>
          <w:spacing w:val="-2"/>
        </w:rPr>
        <w:t>田支行签订《保证合同》，为本公司与交通银行股份有限公司深圳盐田支行签订的《综合授信合同》项下的债务提供连带责</w:t>
      </w:r>
      <w:r>
        <w:rPr>
          <w:spacing w:val="-66"/>
        </w:rPr>
        <w:t> </w:t>
      </w:r>
      <w:r>
        <w:rPr>
          <w:spacing w:val="-66"/>
        </w:rPr>
      </w:r>
      <w:r>
        <w:rPr/>
        <w:t>任保证。</w:t>
      </w:r>
    </w:p>
    <w:p>
      <w:pPr>
        <w:pStyle w:val="BodyText"/>
        <w:spacing w:line="316" w:lineRule="auto" w:before="139"/>
        <w:ind w:right="1130" w:firstLine="423"/>
        <w:jc w:val="both"/>
      </w:pPr>
      <w:r>
        <w:rPr>
          <w:rFonts w:ascii="宋体" w:hAnsi="宋体" w:cs="宋体" w:eastAsia="宋体" w:hint="default"/>
        </w:rPr>
        <w:t>10)</w:t>
      </w:r>
      <w:r>
        <w:rPr>
          <w:rFonts w:ascii="宋体" w:hAnsi="宋体" w:cs="宋体" w:eastAsia="宋体" w:hint="default"/>
          <w:spacing w:val="-57"/>
        </w:rPr>
        <w:t> </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23</w:t>
      </w:r>
      <w:r>
        <w:rPr/>
        <w:t>日，针对本财务报表附注七、</w:t>
      </w:r>
      <w:r>
        <w:rPr>
          <w:rFonts w:ascii="宋体" w:hAnsi="宋体" w:cs="宋体" w:eastAsia="宋体" w:hint="default"/>
        </w:rPr>
        <w:t>16</w:t>
      </w:r>
      <w:r>
        <w:rPr/>
        <w:t>之短期借款，庄重、庄小红、庄展诺及中装园林与华夏银行股份有限 公司深圳高新支行分别签订了《个人最高额保证合同》</w:t>
      </w:r>
      <w:r>
        <w:rPr>
          <w:spacing w:val="8"/>
        </w:rPr>
        <w:t> </w:t>
      </w:r>
      <w:r>
        <w:rPr/>
        <w:t>《最高额保证合同》，为本公司与华夏银行股份有限公司深圳高新</w:t>
      </w:r>
      <w:r>
        <w:rPr/>
        <w:t> 支行签订的《最高额融资合同》项下的债务提供连带责任保证。</w:t>
      </w:r>
    </w:p>
    <w:p>
      <w:pPr>
        <w:pStyle w:val="BodyText"/>
        <w:spacing w:line="316" w:lineRule="auto" w:before="139"/>
        <w:ind w:right="1132" w:firstLine="423"/>
        <w:jc w:val="both"/>
      </w:pPr>
      <w:r>
        <w:rPr>
          <w:rFonts w:ascii="宋体" w:hAnsi="宋体" w:cs="宋体" w:eastAsia="宋体" w:hint="default"/>
        </w:rPr>
        <w:t>11)</w:t>
      </w:r>
      <w:r>
        <w:rPr>
          <w:rFonts w:ascii="宋体" w:hAnsi="宋体" w:cs="宋体" w:eastAsia="宋体" w:hint="default"/>
          <w:spacing w:val="-57"/>
        </w:rPr>
        <w:t> </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25</w:t>
      </w:r>
      <w:r>
        <w:rPr/>
        <w:t>日，针对本财务报表附注七、</w:t>
      </w:r>
      <w:r>
        <w:rPr>
          <w:rFonts w:ascii="宋体" w:hAnsi="宋体" w:cs="宋体" w:eastAsia="宋体" w:hint="default"/>
        </w:rPr>
        <w:t>16</w:t>
      </w:r>
      <w:r>
        <w:rPr/>
        <w:t>之短期借款，庄重、庄小红、庄展诺与中国民生银行股份有限公司深 </w:t>
      </w:r>
      <w:r>
        <w:rPr>
          <w:spacing w:val="-2"/>
        </w:rPr>
        <w:t>圳分行签订《最高额保证合同》，为本公司与中国民生银行股份有限公司深圳分行签订的《综合授信合同》项下的债务提供</w:t>
      </w:r>
      <w:r>
        <w:rPr>
          <w:spacing w:val="-66"/>
        </w:rPr>
        <w:t> </w:t>
      </w:r>
      <w:r>
        <w:rPr>
          <w:spacing w:val="-66"/>
        </w:rPr>
      </w:r>
      <w:r>
        <w:rPr/>
        <w:t>连带责任保证。</w:t>
      </w:r>
    </w:p>
    <w:p>
      <w:pPr>
        <w:pStyle w:val="BodyText"/>
        <w:spacing w:line="316" w:lineRule="auto" w:before="139"/>
        <w:ind w:left="154" w:right="1131" w:firstLine="423"/>
        <w:jc w:val="both"/>
      </w:pPr>
      <w:r>
        <w:rPr>
          <w:rFonts w:ascii="宋体" w:hAnsi="宋体" w:cs="宋体" w:eastAsia="宋体" w:hint="default"/>
        </w:rPr>
        <w:t>12</w:t>
      </w:r>
      <w:r>
        <w:rPr/>
        <w:t>）</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5</w:t>
      </w:r>
      <w:r>
        <w:rPr/>
        <w:t>日，针对本财务报表附注七、</w:t>
      </w:r>
      <w:r>
        <w:rPr>
          <w:rFonts w:ascii="宋体" w:hAnsi="宋体" w:cs="宋体" w:eastAsia="宋体" w:hint="default"/>
        </w:rPr>
        <w:t>16</w:t>
      </w:r>
      <w:r>
        <w:rPr/>
        <w:t>之短期借款，庄重、庄小红、庄展诺分别与招商银行股份有限公司深 </w:t>
      </w:r>
      <w:r>
        <w:rPr>
          <w:spacing w:val="-2"/>
        </w:rPr>
        <w:t>圳金色家园支行签订《最高额不可撤销担保书》，为本公司与招商银行股份有限公司深圳金色家园支行签订的《综合授信协</w:t>
      </w:r>
      <w:r>
        <w:rPr>
          <w:spacing w:val="-66"/>
        </w:rPr>
        <w:t> </w:t>
      </w:r>
      <w:r>
        <w:rPr>
          <w:spacing w:val="-66"/>
        </w:rPr>
      </w:r>
      <w:r>
        <w:rPr/>
        <w:t>议》项下的债务提供连带责任保证。</w:t>
      </w:r>
    </w:p>
    <w:p>
      <w:pPr>
        <w:pStyle w:val="BodyText"/>
        <w:spacing w:line="316" w:lineRule="auto" w:before="139"/>
        <w:ind w:left="154" w:right="1132" w:firstLine="423"/>
        <w:jc w:val="both"/>
      </w:pPr>
      <w:r>
        <w:rPr>
          <w:rFonts w:ascii="宋体" w:hAnsi="宋体" w:cs="宋体" w:eastAsia="宋体" w:hint="default"/>
          <w:spacing w:val="-2"/>
        </w:rPr>
        <w:t>13</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15</w:t>
      </w:r>
      <w:r>
        <w:rPr>
          <w:spacing w:val="-2"/>
        </w:rPr>
        <w:t>日，针对本财务报表附注七、</w:t>
      </w:r>
      <w:r>
        <w:rPr>
          <w:rFonts w:ascii="宋体" w:hAnsi="宋体" w:cs="宋体" w:eastAsia="宋体" w:hint="default"/>
          <w:spacing w:val="-2"/>
        </w:rPr>
        <w:t>16</w:t>
      </w:r>
      <w:r>
        <w:rPr>
          <w:spacing w:val="-2"/>
        </w:rPr>
        <w:t>之短期借款，庄重、庄小红、庄展诺及中装园林与浙商银行股份有限</w:t>
      </w:r>
      <w:r>
        <w:rPr/>
        <w:t> 公司深圳分行签订《最高额保证合同》，为最高债权限额壹亿元内的所有债权提供连带责任保证。</w:t>
      </w:r>
    </w:p>
    <w:p>
      <w:pPr>
        <w:pStyle w:val="BodyText"/>
        <w:spacing w:line="316" w:lineRule="auto" w:before="139"/>
        <w:ind w:right="1050" w:firstLine="423"/>
        <w:jc w:val="both"/>
      </w:pPr>
      <w:r>
        <w:rPr>
          <w:rFonts w:ascii="宋体" w:hAnsi="宋体" w:cs="宋体" w:eastAsia="宋体" w:hint="default"/>
        </w:rPr>
        <w:t>14)</w:t>
      </w:r>
      <w:r>
        <w:rPr>
          <w:rFonts w:ascii="宋体" w:hAnsi="宋体" w:cs="宋体" w:eastAsia="宋体" w:hint="default"/>
          <w:spacing w:val="-51"/>
        </w:rPr>
        <w:t> </w:t>
      </w:r>
      <w:r>
        <w:rPr>
          <w:rFonts w:ascii="宋体" w:hAnsi="宋体" w:cs="宋体" w:eastAsia="宋体" w:hint="default"/>
        </w:rPr>
        <w:t>2017</w:t>
      </w:r>
      <w:r>
        <w:rPr/>
        <w:t>年</w:t>
      </w:r>
      <w:r>
        <w:rPr>
          <w:rFonts w:ascii="宋体" w:hAnsi="宋体" w:cs="宋体" w:eastAsia="宋体" w:hint="default"/>
        </w:rPr>
        <w:t>2</w:t>
      </w:r>
      <w:r>
        <w:rPr/>
        <w:t>月</w:t>
      </w:r>
      <w:r>
        <w:rPr>
          <w:rFonts w:ascii="宋体" w:hAnsi="宋体" w:cs="宋体" w:eastAsia="宋体" w:hint="default"/>
        </w:rPr>
        <w:t>15</w:t>
      </w:r>
      <w:r>
        <w:rPr/>
        <w:t>日，针对本财务报表附注七、</w:t>
      </w:r>
      <w:r>
        <w:rPr>
          <w:rFonts w:ascii="宋体" w:hAnsi="宋体" w:cs="宋体" w:eastAsia="宋体" w:hint="default"/>
        </w:rPr>
        <w:t>16</w:t>
      </w:r>
      <w:r>
        <w:rPr/>
        <w:t>之短期借款，庄重、庄小红、庄展诺与汇丰银行（中国）有限公司深 圳分行签订《个人保证书》，为本公司与汇丰银行（中国）有限公司深圳分行签订的《授信函》项下的债务提供连带责任。</w:t>
      </w:r>
    </w:p>
    <w:p>
      <w:pPr>
        <w:pStyle w:val="BodyText"/>
        <w:spacing w:line="316" w:lineRule="auto" w:before="139"/>
        <w:ind w:left="154" w:right="1132" w:firstLine="423"/>
        <w:jc w:val="both"/>
      </w:pPr>
      <w:r>
        <w:rPr>
          <w:rFonts w:ascii="宋体" w:hAnsi="宋体" w:cs="宋体" w:eastAsia="宋体" w:hint="default"/>
        </w:rPr>
        <w:t>15)</w:t>
      </w:r>
      <w:r>
        <w:rPr>
          <w:rFonts w:ascii="宋体" w:hAnsi="宋体" w:cs="宋体" w:eastAsia="宋体" w:hint="default"/>
          <w:spacing w:val="-43"/>
        </w:rPr>
        <w:t> </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4</w:t>
      </w:r>
      <w:r>
        <w:rPr>
          <w:spacing w:val="-2"/>
        </w:rPr>
        <w:t>日，针对本财务报表附注七、</w:t>
      </w:r>
      <w:r>
        <w:rPr>
          <w:rFonts w:ascii="宋体" w:hAnsi="宋体" w:cs="宋体" w:eastAsia="宋体" w:hint="default"/>
          <w:spacing w:val="-2"/>
        </w:rPr>
        <w:t>16</w:t>
      </w:r>
      <w:r>
        <w:rPr>
          <w:spacing w:val="-2"/>
        </w:rPr>
        <w:t>之短期借款，庄重、庄小红与宁波银行股份有限公司深圳分行签订《最</w:t>
      </w:r>
      <w:r>
        <w:rPr/>
        <w:t> 高额保证合同》，为最高债权限额贰亿元内的所有债权提供连带责任保证。</w:t>
      </w:r>
    </w:p>
    <w:p>
      <w:pPr>
        <w:pStyle w:val="BodyText"/>
        <w:spacing w:line="316" w:lineRule="auto" w:before="139"/>
        <w:ind w:right="1132" w:firstLine="423"/>
        <w:jc w:val="both"/>
      </w:pPr>
      <w:r>
        <w:rPr>
          <w:rFonts w:ascii="宋体" w:hAnsi="宋体" w:cs="宋体" w:eastAsia="宋体" w:hint="default"/>
          <w:spacing w:val="-2"/>
        </w:rPr>
        <w:t>16</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27</w:t>
      </w:r>
      <w:r>
        <w:rPr>
          <w:spacing w:val="-2"/>
        </w:rPr>
        <w:t>日，针对本财务报表附注七、</w:t>
      </w:r>
      <w:r>
        <w:rPr>
          <w:rFonts w:ascii="宋体" w:hAnsi="宋体" w:cs="宋体" w:eastAsia="宋体" w:hint="default"/>
          <w:spacing w:val="-2"/>
        </w:rPr>
        <w:t>16</w:t>
      </w:r>
      <w:r>
        <w:rPr>
          <w:spacing w:val="-2"/>
        </w:rPr>
        <w:t>之短期借款，庄重、庄小红、庄展诺与中国民生银行股份有限公司深</w:t>
      </w:r>
      <w:r>
        <w:rPr/>
        <w:t> </w:t>
      </w:r>
      <w:r>
        <w:rPr>
          <w:spacing w:val="-2"/>
        </w:rPr>
        <w:t>圳分行签订《最高额保证合同》，为本公司与中国民生银行股份有限公司深圳分行签订的《综合授信合同》项下的债务提供</w:t>
      </w:r>
      <w:r>
        <w:rPr>
          <w:spacing w:val="-66"/>
        </w:rPr>
        <w:t> </w:t>
      </w:r>
      <w:r>
        <w:rPr>
          <w:spacing w:val="-66"/>
        </w:rPr>
      </w:r>
      <w:r>
        <w:rPr/>
        <w:t>连带责任保证。</w:t>
      </w:r>
    </w:p>
    <w:p>
      <w:pPr>
        <w:pStyle w:val="BodyText"/>
        <w:spacing w:line="316" w:lineRule="auto" w:before="139"/>
        <w:ind w:right="1131" w:firstLine="423"/>
        <w:jc w:val="both"/>
      </w:pPr>
      <w:r>
        <w:rPr>
          <w:rFonts w:ascii="宋体" w:hAnsi="宋体" w:cs="宋体" w:eastAsia="宋体" w:hint="default"/>
        </w:rPr>
        <w:t>17)</w:t>
      </w:r>
      <w:r>
        <w:rPr>
          <w:rFonts w:ascii="宋体" w:hAnsi="宋体" w:cs="宋体" w:eastAsia="宋体" w:hint="default"/>
          <w:spacing w:val="25"/>
        </w:rPr>
        <w:t> </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w:t>
      </w:r>
      <w:r>
        <w:rPr/>
        <w:t>日，针对本财务报表附注七、</w:t>
      </w:r>
      <w:r>
        <w:rPr>
          <w:rFonts w:ascii="宋体" w:hAnsi="宋体" w:cs="宋体" w:eastAsia="宋体" w:hint="default"/>
        </w:rPr>
        <w:t>16</w:t>
      </w:r>
      <w:r>
        <w:rPr/>
        <w:t>之短期借款，庄重、庄小红、庄展诺、祝琳分别与上海浦东发展银行 </w:t>
      </w:r>
      <w:r>
        <w:rPr>
          <w:spacing w:val="-2"/>
        </w:rPr>
        <w:t>股份有限公司深圳分行签订《最高额保证合同》，为本公司与上海浦东发展银行股份有限公司深圳分行签订的《融资额度协</w:t>
      </w:r>
      <w:r>
        <w:rPr>
          <w:spacing w:val="-66"/>
        </w:rPr>
        <w:t> </w:t>
      </w:r>
      <w:r>
        <w:rPr>
          <w:spacing w:val="-66"/>
        </w:rPr>
      </w:r>
      <w:r>
        <w:rPr/>
        <w:t>议》项下的债务提供连带责任保证。</w:t>
      </w:r>
    </w:p>
    <w:p>
      <w:pPr>
        <w:pStyle w:val="BodyText"/>
        <w:spacing w:line="319" w:lineRule="auto" w:before="139"/>
        <w:ind w:left="154" w:right="1131" w:firstLine="423"/>
        <w:jc w:val="both"/>
      </w:pPr>
      <w:r>
        <w:rPr>
          <w:rFonts w:ascii="宋体" w:hAnsi="宋体" w:cs="宋体" w:eastAsia="宋体" w:hint="default"/>
        </w:rPr>
        <w:t>18)</w:t>
      </w:r>
      <w:r>
        <w:rPr>
          <w:rFonts w:ascii="宋体" w:hAnsi="宋体" w:cs="宋体" w:eastAsia="宋体" w:hint="default"/>
          <w:spacing w:val="25"/>
        </w:rPr>
        <w:t> </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w:t>
      </w:r>
      <w:r>
        <w:rPr/>
        <w:t>日，针对本财务报表附注七、</w:t>
      </w:r>
      <w:r>
        <w:rPr>
          <w:rFonts w:ascii="宋体" w:hAnsi="宋体" w:cs="宋体" w:eastAsia="宋体" w:hint="default"/>
        </w:rPr>
        <w:t>16</w:t>
      </w:r>
      <w:r>
        <w:rPr/>
        <w:t>之短期借款，庄重、庄小红、庄展诺与交通银行股份有限公司深圳盐 </w:t>
      </w:r>
      <w:r>
        <w:rPr>
          <w:spacing w:val="-2"/>
        </w:rPr>
        <w:t>田支行签订《保证合同》，为本公司与交通银行股份有限公司深圳盐田支行签订的《综合授信合同》项下的债务提供连带责</w:t>
      </w:r>
      <w:r>
        <w:rPr>
          <w:spacing w:val="-65"/>
        </w:rPr>
        <w:t> </w:t>
      </w:r>
      <w:r>
        <w:rPr>
          <w:spacing w:val="-65"/>
        </w:rPr>
      </w:r>
      <w:r>
        <w:rPr/>
        <w:t>任保证。</w:t>
      </w:r>
    </w:p>
    <w:p>
      <w:pPr>
        <w:pStyle w:val="BodyText"/>
        <w:spacing w:line="316" w:lineRule="auto" w:before="137"/>
        <w:ind w:left="154" w:right="1130" w:firstLine="423"/>
        <w:jc w:val="both"/>
      </w:pPr>
      <w:r>
        <w:rPr>
          <w:rFonts w:ascii="宋体" w:hAnsi="宋体" w:cs="宋体" w:eastAsia="宋体" w:hint="default"/>
        </w:rPr>
        <w:t>19)</w:t>
      </w:r>
      <w:r>
        <w:rPr>
          <w:rFonts w:ascii="宋体" w:hAnsi="宋体" w:cs="宋体" w:eastAsia="宋体" w:hint="default"/>
          <w:spacing w:val="26"/>
        </w:rPr>
        <w:t> </w:t>
      </w:r>
      <w:r>
        <w:rPr>
          <w:rFonts w:ascii="宋体" w:hAnsi="宋体" w:cs="宋体" w:eastAsia="宋体" w:hint="default"/>
        </w:rPr>
        <w:t>2016</w:t>
      </w:r>
      <w:r>
        <w:rPr/>
        <w:t>年</w:t>
      </w:r>
      <w:r>
        <w:rPr>
          <w:rFonts w:ascii="宋体" w:hAnsi="宋体" w:cs="宋体" w:eastAsia="宋体" w:hint="default"/>
        </w:rPr>
        <w:t>10</w:t>
      </w:r>
      <w:r>
        <w:rPr/>
        <w:t>月</w:t>
      </w:r>
      <w:r>
        <w:rPr>
          <w:rFonts w:ascii="宋体" w:hAnsi="宋体" w:cs="宋体" w:eastAsia="宋体" w:hint="default"/>
        </w:rPr>
        <w:t>27</w:t>
      </w:r>
      <w:r>
        <w:rPr/>
        <w:t>日，针对本财务报表附注七、</w:t>
      </w:r>
      <w:r>
        <w:rPr>
          <w:rFonts w:ascii="宋体" w:hAnsi="宋体" w:cs="宋体" w:eastAsia="宋体" w:hint="default"/>
        </w:rPr>
        <w:t>16</w:t>
      </w:r>
      <w:r>
        <w:rPr/>
        <w:t>之短期借款，庄重、庄小红、庄展诺分别与中信银行股份有限公司 </w:t>
      </w:r>
      <w:r>
        <w:rPr>
          <w:spacing w:val="-2"/>
        </w:rPr>
        <w:t>深圳分行签订《最高额保证合同》，为本公司与中信银行股份有限公司深圳分行签订的《综合授信额度合同》项下的债务提</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889"/>
        <w:jc w:val="left"/>
      </w:pPr>
      <w:r>
        <w:rPr/>
        <w:t>供连带责任保证。</w:t>
      </w:r>
    </w:p>
    <w:p>
      <w:pPr>
        <w:spacing w:line="240" w:lineRule="auto" w:before="0"/>
        <w:rPr>
          <w:rFonts w:ascii="宋体" w:hAnsi="宋体" w:cs="宋体" w:eastAsia="宋体" w:hint="default"/>
          <w:sz w:val="15"/>
          <w:szCs w:val="15"/>
        </w:rPr>
      </w:pPr>
    </w:p>
    <w:p>
      <w:pPr>
        <w:pStyle w:val="BodyText"/>
        <w:spacing w:line="316" w:lineRule="auto"/>
        <w:ind w:left="154" w:right="1133" w:firstLine="423"/>
        <w:jc w:val="both"/>
      </w:pPr>
      <w:r>
        <w:rPr>
          <w:rFonts w:ascii="宋体" w:hAnsi="宋体" w:cs="宋体" w:eastAsia="宋体" w:hint="default"/>
        </w:rPr>
        <w:t>20)</w:t>
      </w:r>
      <w:r>
        <w:rPr>
          <w:rFonts w:ascii="宋体" w:hAnsi="宋体" w:cs="宋体" w:eastAsia="宋体" w:hint="default"/>
          <w:spacing w:val="25"/>
        </w:rPr>
        <w:t> </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5</w:t>
      </w:r>
      <w:r>
        <w:rPr/>
        <w:t>日，针对本财务报表附注七、</w:t>
      </w:r>
      <w:r>
        <w:rPr>
          <w:rFonts w:ascii="宋体" w:hAnsi="宋体" w:cs="宋体" w:eastAsia="宋体" w:hint="default"/>
        </w:rPr>
        <w:t>16</w:t>
      </w:r>
      <w:r>
        <w:rPr/>
        <w:t>之短期借款，庄重、庄小红、庄展诺及祝琳与中国银行股份有限公司 </w:t>
      </w:r>
      <w:r>
        <w:rPr>
          <w:spacing w:val="-2"/>
        </w:rPr>
        <w:t>深圳中心区支行签订《最高额保证合同》，为本公司与中国银行股份有限公司深圳中心区支行签订的《授信额度协议》项下</w:t>
      </w:r>
      <w:r>
        <w:rPr>
          <w:spacing w:val="-66"/>
        </w:rPr>
        <w:t> </w:t>
      </w:r>
      <w:r>
        <w:rPr>
          <w:spacing w:val="-66"/>
        </w:rPr>
      </w:r>
      <w:r>
        <w:rPr/>
        <w:t>的债务提供连带责任保证。</w:t>
      </w:r>
    </w:p>
    <w:p>
      <w:pPr>
        <w:pStyle w:val="BodyText"/>
        <w:spacing w:line="316" w:lineRule="auto" w:before="139"/>
        <w:ind w:right="1130" w:firstLine="423"/>
        <w:jc w:val="both"/>
      </w:pPr>
      <w:r>
        <w:rPr>
          <w:rFonts w:ascii="宋体" w:hAnsi="宋体" w:cs="宋体" w:eastAsia="宋体" w:hint="default"/>
        </w:rPr>
        <w:t>21)</w:t>
      </w:r>
      <w:r>
        <w:rPr>
          <w:rFonts w:ascii="宋体" w:hAnsi="宋体" w:cs="宋体" w:eastAsia="宋体" w:hint="default"/>
          <w:spacing w:val="-57"/>
        </w:rPr>
        <w:t> </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30</w:t>
      </w:r>
      <w:r>
        <w:rPr/>
        <w:t>日，针对本财务报表附注七、</w:t>
      </w:r>
      <w:r>
        <w:rPr>
          <w:rFonts w:ascii="宋体" w:hAnsi="宋体" w:cs="宋体" w:eastAsia="宋体" w:hint="default"/>
        </w:rPr>
        <w:t>23</w:t>
      </w:r>
      <w:r>
        <w:rPr/>
        <w:t>之长期借款，庄重、庄小红、庄展诺及中装园林与华夏银行股份有限 公司深圳高新支行分别签订了《个人最高额保证合同》</w:t>
      </w:r>
      <w:r>
        <w:rPr>
          <w:spacing w:val="8"/>
        </w:rPr>
        <w:t> </w:t>
      </w:r>
      <w:r>
        <w:rPr/>
        <w:t>《最高额保证合同》，为本公司与华夏银行股份有限公司深圳高新</w:t>
      </w:r>
      <w:r>
        <w:rPr/>
        <w:t> 支行签订的《最高额融资合同》项下的债务提供连带责任保证。</w:t>
      </w:r>
    </w:p>
    <w:p>
      <w:pPr>
        <w:pStyle w:val="BodyText"/>
        <w:spacing w:line="316" w:lineRule="auto" w:before="139"/>
        <w:ind w:right="1130" w:firstLine="423"/>
        <w:jc w:val="both"/>
      </w:pPr>
      <w:r>
        <w:rPr>
          <w:rFonts w:ascii="宋体" w:hAnsi="宋体" w:cs="宋体" w:eastAsia="宋体" w:hint="default"/>
        </w:rPr>
        <w:t>22)</w:t>
      </w:r>
      <w:r>
        <w:rPr>
          <w:rFonts w:ascii="宋体" w:hAnsi="宋体" w:cs="宋体" w:eastAsia="宋体" w:hint="default"/>
          <w:spacing w:val="26"/>
        </w:rPr>
        <w:t> </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11</w:t>
      </w:r>
      <w:r>
        <w:rPr/>
        <w:t>日，针对本财务报表附注七、</w:t>
      </w:r>
      <w:r>
        <w:rPr>
          <w:rFonts w:ascii="宋体" w:hAnsi="宋体" w:cs="宋体" w:eastAsia="宋体" w:hint="default"/>
        </w:rPr>
        <w:t>16</w:t>
      </w:r>
      <w:r>
        <w:rPr/>
        <w:t>之短期借款，庄重、庄小红、庄展诺及中装园林分别与中国光大银 </w:t>
      </w:r>
      <w:r>
        <w:rPr>
          <w:spacing w:val="-2"/>
        </w:rPr>
        <w:t>行股份有限公司深圳分行签订《最高额保证合同》，为本公司与中国光大银行股份有限公司深圳分行签订的《综合授信额度</w:t>
      </w:r>
      <w:r>
        <w:rPr>
          <w:spacing w:val="-66"/>
        </w:rPr>
        <w:t> </w:t>
      </w:r>
      <w:r>
        <w:rPr>
          <w:spacing w:val="-66"/>
        </w:rPr>
      </w:r>
      <w:r>
        <w:rPr/>
        <w:t>合同》项下的债务提供连带责任保证。</w:t>
      </w:r>
    </w:p>
    <w:p>
      <w:pPr>
        <w:spacing w:line="240" w:lineRule="auto" w:before="10"/>
        <w:rPr>
          <w:rFonts w:ascii="宋体" w:hAnsi="宋体" w:cs="宋体" w:eastAsia="宋体" w:hint="default"/>
          <w:sz w:val="20"/>
          <w:szCs w:val="20"/>
        </w:rPr>
      </w:pPr>
    </w:p>
    <w:p>
      <w:pPr>
        <w:pStyle w:val="Heading2"/>
        <w:spacing w:line="240" w:lineRule="auto"/>
        <w:ind w:right="889"/>
        <w:jc w:val="left"/>
        <w:rPr>
          <w:b w:val="0"/>
          <w:bCs w:val="0"/>
        </w:rPr>
      </w:pPr>
      <w:bookmarkStart w:name="十二、承诺及或有事项" w:id="312"/>
      <w:bookmarkEnd w:id="312"/>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89"/>
        <w:jc w:val="left"/>
        <w:rPr>
          <w:b w:val="0"/>
          <w:bCs w:val="0"/>
        </w:rPr>
      </w:pPr>
      <w:bookmarkStart w:name="1、重要承诺事项" w:id="313"/>
      <w:bookmarkEnd w:id="313"/>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4813"/>
        <w:jc w:val="left"/>
      </w:pPr>
      <w:r>
        <w:rPr/>
        <w:t>资产负债表日存在的重要承诺 至资产负债表日止，本公司对外签订的不可撤销的经营租赁合约情况如下：</w:t>
      </w:r>
    </w:p>
    <w:p>
      <w:pPr>
        <w:spacing w:line="240" w:lineRule="auto" w:before="12"/>
        <w:rPr>
          <w:rFonts w:ascii="宋体" w:hAnsi="宋体" w:cs="宋体" w:eastAsia="宋体" w:hint="default"/>
          <w:sz w:val="5"/>
          <w:szCs w:val="5"/>
        </w:rPr>
      </w:pPr>
    </w:p>
    <w:p>
      <w:pPr>
        <w:spacing w:line="3000" w:lineRule="exact"/>
        <w:ind w:left="154"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6525260" cy="1905000"/>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21" cstate="print"/>
                    <a:stretch>
                      <a:fillRect/>
                    </a:stretch>
                  </pic:blipFill>
                  <pic:spPr>
                    <a:xfrm>
                      <a:off x="0" y="0"/>
                      <a:ext cx="6525260" cy="1905000"/>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7"/>
        <w:rPr>
          <w:rFonts w:ascii="宋体" w:hAnsi="宋体" w:cs="宋体" w:eastAsia="宋体" w:hint="default"/>
          <w:sz w:val="26"/>
          <w:szCs w:val="26"/>
        </w:rPr>
      </w:pPr>
    </w:p>
    <w:p>
      <w:pPr>
        <w:pStyle w:val="Heading3"/>
        <w:spacing w:line="240" w:lineRule="auto"/>
        <w:ind w:right="889"/>
        <w:jc w:val="left"/>
        <w:rPr>
          <w:b w:val="0"/>
          <w:bCs w:val="0"/>
        </w:rPr>
      </w:pPr>
      <w:bookmarkStart w:name="2、或有事项" w:id="314"/>
      <w:bookmarkEnd w:id="31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before="0"/>
        <w:ind w:left="153" w:right="889" w:firstLine="0"/>
        <w:jc w:val="left"/>
        <w:rPr>
          <w:rFonts w:ascii="宋体" w:hAnsi="宋体" w:cs="宋体" w:eastAsia="宋体" w:hint="default"/>
          <w:sz w:val="21"/>
          <w:szCs w:val="21"/>
        </w:rPr>
      </w:pPr>
      <w:bookmarkStart w:name="（1）资产负债表日存在的重要或有事项" w:id="315"/>
      <w:bookmarkEnd w:id="3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573" w:right="889"/>
        <w:jc w:val="left"/>
      </w:pPr>
      <w:r>
        <w:rPr>
          <w:rFonts w:ascii="宋体" w:hAnsi="宋体" w:cs="宋体" w:eastAsia="宋体" w:hint="default"/>
        </w:rPr>
        <w:t>1.</w:t>
      </w:r>
      <w:r>
        <w:rPr/>
        <w:t>重大未决诉讼</w:t>
      </w:r>
    </w:p>
    <w:p>
      <w:pPr>
        <w:spacing w:line="240" w:lineRule="auto" w:before="0"/>
        <w:rPr>
          <w:rFonts w:ascii="宋体" w:hAnsi="宋体" w:cs="宋体" w:eastAsia="宋体" w:hint="default"/>
          <w:sz w:val="15"/>
          <w:szCs w:val="15"/>
        </w:rPr>
      </w:pPr>
    </w:p>
    <w:p>
      <w:pPr>
        <w:pStyle w:val="BodyText"/>
        <w:spacing w:line="316" w:lineRule="auto"/>
        <w:ind w:right="889" w:firstLine="420"/>
        <w:jc w:val="left"/>
      </w:pPr>
      <w:r>
        <w:rPr/>
        <w:t>（</w:t>
      </w: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13</w:t>
      </w:r>
      <w:r>
        <w:rPr/>
        <w:t>日，广州淳汇酒店管理有限公司因建设工程施工合同纠纷向广州市从化区人民法院起诉本公司，诉 </w:t>
      </w:r>
      <w:r>
        <w:rPr>
          <w:spacing w:val="8"/>
        </w:rPr>
        <w:t>讼请求如下，</w:t>
      </w:r>
      <w:r>
        <w:rPr>
          <w:rFonts w:ascii="宋体" w:hAnsi="宋体" w:cs="宋体" w:eastAsia="宋体" w:hint="default"/>
          <w:spacing w:val="8"/>
        </w:rPr>
        <w:t>1</w:t>
      </w:r>
      <w:r>
        <w:rPr>
          <w:spacing w:val="8"/>
        </w:rPr>
        <w:t>、请求判决确认原告解除项目总承包合同的行为合法有效；</w:t>
      </w:r>
      <w:r>
        <w:rPr>
          <w:rFonts w:ascii="宋体" w:hAnsi="宋体" w:cs="宋体" w:eastAsia="宋体" w:hint="default"/>
          <w:spacing w:val="8"/>
        </w:rPr>
        <w:t>2</w:t>
      </w:r>
      <w:r>
        <w:rPr>
          <w:spacing w:val="8"/>
        </w:rPr>
        <w:t>、请求判决被告赔偿原告违约损失人民币</w:t>
      </w:r>
      <w:r>
        <w:rPr>
          <w:spacing w:val="-69"/>
        </w:rPr>
        <w:t> </w:t>
      </w:r>
      <w:r>
        <w:rPr>
          <w:spacing w:val="-69"/>
        </w:rPr>
      </w:r>
      <w:r>
        <w:rPr>
          <w:rFonts w:ascii="宋体" w:hAnsi="宋体" w:cs="宋体" w:eastAsia="宋体" w:hint="default"/>
          <w:spacing w:val="-2"/>
        </w:rPr>
        <w:t>6,750,000.00</w:t>
      </w:r>
      <w:r>
        <w:rPr>
          <w:spacing w:val="-2"/>
        </w:rPr>
        <w:t>元，并在工程垫资款中直接抵扣；</w:t>
      </w:r>
      <w:r>
        <w:rPr>
          <w:rFonts w:ascii="宋体" w:hAnsi="宋体" w:cs="宋体" w:eastAsia="宋体" w:hint="default"/>
          <w:spacing w:val="-2"/>
        </w:rPr>
        <w:t>3</w:t>
      </w:r>
      <w:r>
        <w:rPr>
          <w:spacing w:val="-2"/>
        </w:rPr>
        <w:t>、请求判决原告减少支付工程价款</w:t>
      </w:r>
      <w:r>
        <w:rPr>
          <w:rFonts w:ascii="宋体" w:hAnsi="宋体" w:cs="宋体" w:eastAsia="宋体" w:hint="default"/>
          <w:spacing w:val="-2"/>
        </w:rPr>
        <w:t>3,259,711.00</w:t>
      </w:r>
      <w:r>
        <w:rPr>
          <w:spacing w:val="-2"/>
        </w:rPr>
        <w:t>元（原告已代被告支付），</w:t>
      </w:r>
      <w:r>
        <w:rPr>
          <w:spacing w:val="-40"/>
        </w:rPr>
        <w:t> </w:t>
      </w:r>
      <w:r>
        <w:rPr>
          <w:spacing w:val="-40"/>
        </w:rPr>
      </w:r>
      <w:r>
        <w:rPr/>
        <w:t>判决被告承担因建筑漏水等质量缺陷问题应支付的维修费用。</w:t>
      </w:r>
      <w:r>
        <w:rPr>
          <w:rFonts w:ascii="宋体" w:hAnsi="宋体" w:cs="宋体" w:eastAsia="宋体" w:hint="default"/>
        </w:rPr>
        <w:t>4</w:t>
      </w:r>
      <w:r>
        <w:rPr/>
        <w:t>、请求判决被告就原告支付的工程款开具正式发票并交付至</w:t>
      </w:r>
      <w:r>
        <w:rPr>
          <w:spacing w:val="-82"/>
        </w:rPr>
        <w:t> </w:t>
      </w:r>
      <w:r>
        <w:rPr>
          <w:spacing w:val="-82"/>
        </w:rPr>
      </w:r>
      <w:r>
        <w:rPr/>
        <w:t>原告。</w:t>
      </w:r>
      <w:r>
        <w:rPr>
          <w:rFonts w:ascii="宋体" w:hAnsi="宋体" w:cs="宋体" w:eastAsia="宋体" w:hint="default"/>
        </w:rPr>
        <w:t>5</w:t>
      </w:r>
      <w:r>
        <w:rPr/>
        <w:t>、请求判决被告承担本案的全部诉讼费用。</w:t>
      </w:r>
    </w:p>
    <w:p>
      <w:pPr>
        <w:pStyle w:val="BodyText"/>
        <w:spacing w:line="432" w:lineRule="exact" w:before="4"/>
        <w:ind w:left="573" w:right="889"/>
        <w:jc w:val="left"/>
      </w:pPr>
      <w:r>
        <w:rPr/>
        <w:t>本公司于</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14</w:t>
      </w:r>
      <w:r>
        <w:rPr/>
        <w:t>日向广州市从化区人民法院递交《管辖权异议申请书》。 </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18</w:t>
      </w:r>
      <w:r>
        <w:rPr/>
        <w:t>日，广州市从化区人民法院作出（</w:t>
      </w:r>
      <w:r>
        <w:rPr>
          <w:rFonts w:ascii="宋体" w:hAnsi="宋体" w:cs="宋体" w:eastAsia="宋体" w:hint="default"/>
        </w:rPr>
        <w:t>2015</w:t>
      </w:r>
      <w:r>
        <w:rPr/>
        <w:t>）穗从法房初字第</w:t>
      </w:r>
      <w:r>
        <w:rPr>
          <w:rFonts w:ascii="宋体" w:hAnsi="宋体" w:cs="宋体" w:eastAsia="宋体" w:hint="default"/>
        </w:rPr>
        <w:t>347</w:t>
      </w:r>
      <w:r>
        <w:rPr/>
        <w:t>号《民事裁定书》，裁定驳回本公司提出的</w:t>
      </w:r>
    </w:p>
    <w:p>
      <w:pPr>
        <w:pStyle w:val="BodyText"/>
        <w:spacing w:line="439" w:lineRule="auto" w:before="15"/>
        <w:ind w:left="573" w:right="1033" w:hanging="420"/>
        <w:jc w:val="left"/>
      </w:pPr>
      <w:r>
        <w:rPr/>
        <w:t>管辖异议。本公司不服上述判决，于</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24</w:t>
      </w:r>
      <w:r>
        <w:rPr/>
        <w:t>日向广州市中级人民法院提交《管辖权异议上诉状》。 </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15</w:t>
      </w:r>
      <w:r>
        <w:rPr>
          <w:spacing w:val="-1"/>
        </w:rPr>
        <w:t>日，广东省广州市中级人民法院作出（</w:t>
      </w:r>
      <w:r>
        <w:rPr>
          <w:rFonts w:ascii="宋体" w:hAnsi="宋体" w:cs="宋体" w:eastAsia="宋体" w:hint="default"/>
          <w:spacing w:val="-1"/>
        </w:rPr>
        <w:t>2015</w:t>
      </w:r>
      <w:r>
        <w:rPr>
          <w:spacing w:val="-1"/>
        </w:rPr>
        <w:t>）穗中法立民终字第</w:t>
      </w:r>
      <w:r>
        <w:rPr>
          <w:rFonts w:ascii="宋体" w:hAnsi="宋体" w:cs="宋体" w:eastAsia="宋体" w:hint="default"/>
          <w:spacing w:val="-1"/>
        </w:rPr>
        <w:t>2739</w:t>
      </w:r>
      <w:r>
        <w:rPr>
          <w:spacing w:val="-1"/>
        </w:rPr>
        <w:t>号《民事裁定书》，裁定驳回上诉，</w:t>
      </w:r>
    </w:p>
    <w:p>
      <w:pPr>
        <w:spacing w:after="0" w:line="43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889"/>
        <w:jc w:val="left"/>
      </w:pPr>
      <w:r>
        <w:rPr/>
        <w:t>维持原判决。</w:t>
      </w:r>
    </w:p>
    <w:p>
      <w:pPr>
        <w:spacing w:line="240" w:lineRule="auto" w:before="0"/>
        <w:rPr>
          <w:rFonts w:ascii="宋体" w:hAnsi="宋体" w:cs="宋体" w:eastAsia="宋体" w:hint="default"/>
          <w:sz w:val="15"/>
          <w:szCs w:val="15"/>
        </w:rPr>
      </w:pPr>
    </w:p>
    <w:p>
      <w:pPr>
        <w:pStyle w:val="BodyText"/>
        <w:spacing w:line="240" w:lineRule="auto"/>
        <w:ind w:left="573" w:right="889"/>
        <w:jc w:val="left"/>
      </w:pPr>
      <w:r>
        <w:rPr>
          <w:rFonts w:ascii="宋体" w:hAnsi="宋体" w:cs="宋体" w:eastAsia="宋体" w:hint="default"/>
          <w:spacing w:val="8"/>
        </w:rPr>
        <w:t>2015</w:t>
      </w:r>
      <w:r>
        <w:rPr>
          <w:spacing w:val="8"/>
        </w:rPr>
        <w:t>年</w:t>
      </w:r>
      <w:r>
        <w:rPr>
          <w:rFonts w:ascii="宋体" w:hAnsi="宋体" w:cs="宋体" w:eastAsia="宋体" w:hint="default"/>
          <w:spacing w:val="8"/>
        </w:rPr>
        <w:t>12</w:t>
      </w:r>
      <w:r>
        <w:rPr>
          <w:spacing w:val="8"/>
        </w:rPr>
        <w:t>月</w:t>
      </w:r>
      <w:r>
        <w:rPr>
          <w:rFonts w:ascii="宋体" w:hAnsi="宋体" w:cs="宋体" w:eastAsia="宋体" w:hint="default"/>
          <w:spacing w:val="8"/>
        </w:rPr>
        <w:t>9</w:t>
      </w:r>
      <w:r>
        <w:rPr>
          <w:spacing w:val="8"/>
        </w:rPr>
        <w:t>日，公司就上述工程施工合同纠纷进行反诉，请求法院判令：①被反诉人支付反诉人工程款人民币</w:t>
      </w:r>
    </w:p>
    <w:p>
      <w:pPr>
        <w:pStyle w:val="BodyText"/>
        <w:spacing w:line="316" w:lineRule="auto" w:before="76"/>
        <w:ind w:right="1123"/>
        <w:jc w:val="left"/>
      </w:pPr>
      <w:r>
        <w:rPr>
          <w:rFonts w:ascii="宋体" w:hAnsi="宋体" w:cs="宋体" w:eastAsia="宋体" w:hint="default"/>
        </w:rPr>
        <w:t>20,649,181.97</w:t>
      </w:r>
      <w:r>
        <w:rPr/>
        <w:t>元及逾期付款利息人民币</w:t>
      </w:r>
      <w:r>
        <w:rPr>
          <w:rFonts w:ascii="宋体" w:hAnsi="宋体" w:cs="宋体" w:eastAsia="宋体" w:hint="default"/>
        </w:rPr>
        <w:t>80</w:t>
      </w:r>
      <w:r>
        <w:rPr/>
        <w:t>万元（暂定，具体按银行同期贷款利率计算）；②被反诉人支付工程垫资款人民</w:t>
      </w:r>
      <w:r>
        <w:rPr>
          <w:spacing w:val="-84"/>
        </w:rPr>
        <w:t> </w:t>
      </w:r>
      <w:r>
        <w:rPr>
          <w:spacing w:val="-84"/>
        </w:rPr>
      </w:r>
      <w:r>
        <w:rPr/>
        <w:t>币</w:t>
      </w:r>
      <w:r>
        <w:rPr>
          <w:rFonts w:ascii="宋体" w:hAnsi="宋体" w:cs="宋体" w:eastAsia="宋体" w:hint="default"/>
        </w:rPr>
        <w:t>800</w:t>
      </w:r>
      <w:r>
        <w:rPr/>
        <w:t>万元及应付利息</w:t>
      </w:r>
      <w:r>
        <w:rPr>
          <w:rFonts w:ascii="宋体" w:hAnsi="宋体" w:cs="宋体" w:eastAsia="宋体" w:hint="default"/>
        </w:rPr>
        <w:t>88</w:t>
      </w:r>
      <w:r>
        <w:rPr/>
        <w:t>万元（暂定，具体按年利率</w:t>
      </w:r>
      <w:r>
        <w:rPr>
          <w:rFonts w:ascii="宋体" w:hAnsi="宋体" w:cs="宋体" w:eastAsia="宋体" w:hint="default"/>
        </w:rPr>
        <w:t>10%</w:t>
      </w:r>
      <w:r>
        <w:rPr/>
        <w:t>计算）；③被反诉人承担全部诉讼费用。</w:t>
      </w:r>
    </w:p>
    <w:p>
      <w:pPr>
        <w:pStyle w:val="BodyText"/>
        <w:spacing w:line="240" w:lineRule="auto" w:before="139"/>
        <w:ind w:left="573" w:right="889"/>
        <w:jc w:val="left"/>
      </w:pP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18</w:t>
      </w:r>
      <w:r>
        <w:rPr/>
        <w:t>日，公司申请追加时尚生活商务管理咨询（上海）有限公司。</w:t>
      </w:r>
    </w:p>
    <w:p>
      <w:pPr>
        <w:spacing w:line="240" w:lineRule="auto" w:before="0"/>
        <w:rPr>
          <w:rFonts w:ascii="宋体" w:hAnsi="宋体" w:cs="宋体" w:eastAsia="宋体" w:hint="default"/>
          <w:sz w:val="15"/>
          <w:szCs w:val="15"/>
        </w:rPr>
      </w:pPr>
    </w:p>
    <w:p>
      <w:pPr>
        <w:pStyle w:val="BodyText"/>
        <w:spacing w:line="316" w:lineRule="auto"/>
        <w:ind w:left="154" w:right="1132" w:firstLine="420"/>
        <w:jc w:val="both"/>
      </w:pPr>
      <w:r>
        <w:rPr>
          <w:rFonts w:ascii="宋体" w:hAnsi="宋体" w:cs="宋体" w:eastAsia="宋体" w:hint="default"/>
          <w:spacing w:val="-1"/>
        </w:rPr>
        <w:t>2017</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22</w:t>
      </w:r>
      <w:r>
        <w:rPr>
          <w:spacing w:val="-1"/>
        </w:rPr>
        <w:t>日，公司申请对工程造价进行鉴定。</w:t>
      </w:r>
      <w:r>
        <w:rPr>
          <w:rFonts w:ascii="宋体" w:hAnsi="宋体" w:cs="宋体" w:eastAsia="宋体" w:hint="default"/>
          <w:spacing w:val="-1"/>
        </w:rPr>
        <w:t>2017</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4</w:t>
      </w:r>
      <w:r>
        <w:rPr>
          <w:spacing w:val="-1"/>
        </w:rPr>
        <w:t>日，广州市从化区人民法院作出“（</w:t>
      </w:r>
      <w:r>
        <w:rPr>
          <w:rFonts w:ascii="宋体" w:hAnsi="宋体" w:cs="宋体" w:eastAsia="宋体" w:hint="default"/>
          <w:spacing w:val="-1"/>
        </w:rPr>
        <w:t>2015</w:t>
      </w:r>
      <w:r>
        <w:rPr>
          <w:spacing w:val="-1"/>
        </w:rPr>
        <w:t>）穗从法房初字</w:t>
      </w:r>
      <w:r>
        <w:rPr/>
        <w:t> 第</w:t>
      </w:r>
      <w:r>
        <w:rPr>
          <w:rFonts w:ascii="宋体" w:hAnsi="宋体" w:cs="宋体" w:eastAsia="宋体" w:hint="default"/>
        </w:rPr>
        <w:t>347</w:t>
      </w:r>
      <w:r>
        <w:rPr/>
        <w:t>号之一”《民事裁定书》，驳回公司追加时尚生活商务管理（上海）有限公司为被告的申请。</w:t>
      </w:r>
    </w:p>
    <w:p>
      <w:pPr>
        <w:pStyle w:val="BodyText"/>
        <w:spacing w:line="316" w:lineRule="auto" w:before="139"/>
        <w:ind w:left="154" w:right="1132" w:firstLine="420"/>
        <w:jc w:val="both"/>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日止，上述案件尚在审理过程中。诉讼正在一审过程中，我方已经提出造价鉴定，鉴定结果未出， 法院也未出一审判决。</w:t>
      </w:r>
    </w:p>
    <w:p>
      <w:pPr>
        <w:pStyle w:val="BodyText"/>
        <w:spacing w:line="316" w:lineRule="auto" w:before="139"/>
        <w:ind w:right="1130" w:firstLine="420"/>
        <w:jc w:val="both"/>
      </w:pPr>
      <w:r>
        <w:rPr>
          <w:spacing w:val="-1"/>
        </w:rPr>
        <w:t>（</w:t>
      </w:r>
      <w:r>
        <w:rPr>
          <w:rFonts w:ascii="宋体" w:hAnsi="宋体" w:cs="宋体" w:eastAsia="宋体" w:hint="default"/>
          <w:spacing w:val="-1"/>
        </w:rPr>
        <w:t>2</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5</w:t>
      </w:r>
      <w:r>
        <w:rPr>
          <w:spacing w:val="-1"/>
        </w:rPr>
        <w:t>日，广东荣和康园旅游投资管理有限公司因建设工程施工合同纠纷向深圳仲裁委员会申请仲裁，请求</w:t>
      </w:r>
      <w:r>
        <w:rPr/>
        <w:t> </w:t>
      </w:r>
      <w:r>
        <w:rPr>
          <w:spacing w:val="-2"/>
        </w:rPr>
        <w:t>如下：①请求裁决被申请人赔偿申请人因逾期完工遭受的损失合计人民币</w:t>
      </w:r>
      <w:r>
        <w:rPr>
          <w:rFonts w:ascii="宋体" w:hAnsi="宋体" w:cs="宋体" w:eastAsia="宋体" w:hint="default"/>
          <w:spacing w:val="-2"/>
        </w:rPr>
        <w:t>8,731,818.18</w:t>
      </w:r>
      <w:r>
        <w:rPr>
          <w:spacing w:val="-2"/>
        </w:rPr>
        <w:t>元；②请求裁决被申请人返还申请人</w:t>
      </w:r>
      <w:r>
        <w:rPr>
          <w:spacing w:val="-52"/>
        </w:rPr>
        <w:t> </w:t>
      </w:r>
      <w:r>
        <w:rPr>
          <w:spacing w:val="-52"/>
        </w:rPr>
      </w:r>
      <w:r>
        <w:rPr>
          <w:spacing w:val="-2"/>
        </w:rPr>
        <w:t>代垫付的施工期间的物业垃圾清运费及水电费合计人民币</w:t>
      </w:r>
      <w:r>
        <w:rPr>
          <w:rFonts w:ascii="宋体" w:hAnsi="宋体" w:cs="宋体" w:eastAsia="宋体" w:hint="default"/>
          <w:spacing w:val="-2"/>
        </w:rPr>
        <w:t>1,278,506.58</w:t>
      </w:r>
      <w:r>
        <w:rPr>
          <w:spacing w:val="-2"/>
        </w:rPr>
        <w:t>元；③请求裁决被申请人向申请人支付逾期完工的违</w:t>
      </w:r>
      <w:r>
        <w:rPr>
          <w:spacing w:val="-52"/>
        </w:rPr>
        <w:t> </w:t>
      </w:r>
      <w:r>
        <w:rPr>
          <w:spacing w:val="-52"/>
        </w:rPr>
      </w:r>
      <w:r>
        <w:rPr>
          <w:spacing w:val="-2"/>
        </w:rPr>
        <w:t>约金人民币</w:t>
      </w:r>
      <w:r>
        <w:rPr>
          <w:rFonts w:ascii="宋体" w:hAnsi="宋体" w:cs="宋体" w:eastAsia="宋体" w:hint="default"/>
          <w:spacing w:val="-2"/>
        </w:rPr>
        <w:t>845,000.00</w:t>
      </w:r>
      <w:r>
        <w:rPr>
          <w:spacing w:val="-2"/>
        </w:rPr>
        <w:t>元；④请求裁决被申请人赔偿申请人律师费人民币</w:t>
      </w:r>
      <w:r>
        <w:rPr>
          <w:rFonts w:ascii="宋体" w:hAnsi="宋体" w:cs="宋体" w:eastAsia="宋体" w:hint="default"/>
          <w:spacing w:val="-2"/>
        </w:rPr>
        <w:t>180,000.00</w:t>
      </w:r>
      <w:r>
        <w:rPr>
          <w:spacing w:val="-2"/>
        </w:rPr>
        <w:t>元；⑤请求裁决由被申请人承担本案的</w:t>
      </w:r>
      <w:r>
        <w:rPr>
          <w:spacing w:val="-44"/>
        </w:rPr>
        <w:t> </w:t>
      </w:r>
      <w:r>
        <w:rPr>
          <w:spacing w:val="-44"/>
        </w:rPr>
      </w:r>
      <w:r>
        <w:rPr/>
        <w:t>仲裁费用。</w:t>
      </w:r>
    </w:p>
    <w:p>
      <w:pPr>
        <w:pStyle w:val="BodyText"/>
        <w:spacing w:line="316" w:lineRule="auto" w:before="139"/>
        <w:ind w:left="154" w:right="1042" w:firstLine="420"/>
        <w:jc w:val="both"/>
      </w:pP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25</w:t>
      </w:r>
      <w:r>
        <w:rPr/>
        <w:t>日，公司向深圳仲裁委员会提交《仲裁反请求申请书》，请求如下：①裁决反请求被申请人向反请求申请 </w:t>
      </w:r>
      <w:r>
        <w:rPr>
          <w:spacing w:val="-3"/>
        </w:rPr>
        <w:t>人支付工程款人民币</w:t>
      </w:r>
      <w:r>
        <w:rPr>
          <w:rFonts w:ascii="宋体" w:hAnsi="宋体" w:cs="宋体" w:eastAsia="宋体" w:hint="default"/>
          <w:spacing w:val="-3"/>
        </w:rPr>
        <w:t>9,962,485.31</w:t>
      </w:r>
      <w:r>
        <w:rPr>
          <w:spacing w:val="-3"/>
        </w:rPr>
        <w:t>元（不含</w:t>
      </w:r>
      <w:r>
        <w:rPr>
          <w:rFonts w:ascii="宋体" w:hAnsi="宋体" w:cs="宋体" w:eastAsia="宋体" w:hint="default"/>
          <w:spacing w:val="-3"/>
        </w:rPr>
        <w:t>3%</w:t>
      </w:r>
      <w:r>
        <w:rPr>
          <w:spacing w:val="-3"/>
        </w:rPr>
        <w:t>的质保金）；②裁决反请求被申请人向反请求申请人支付违约金人民币</w:t>
      </w:r>
      <w:r>
        <w:rPr>
          <w:rFonts w:ascii="宋体" w:hAnsi="宋体" w:cs="宋体" w:eastAsia="宋体" w:hint="default"/>
          <w:spacing w:val="-3"/>
        </w:rPr>
        <w:t>81</w:t>
      </w:r>
      <w:r>
        <w:rPr>
          <w:spacing w:val="-3"/>
        </w:rPr>
        <w:t>万元；</w:t>
      </w:r>
    </w:p>
    <w:p>
      <w:pPr>
        <w:pStyle w:val="BodyText"/>
        <w:spacing w:line="316" w:lineRule="auto" w:before="19"/>
        <w:ind w:right="1129"/>
        <w:jc w:val="both"/>
      </w:pPr>
      <w:r>
        <w:rPr>
          <w:spacing w:val="-2"/>
        </w:rPr>
        <w:t>③裁决反请求被申请人向反请求申请人支付滞纳金人民币</w:t>
      </w:r>
      <w:r>
        <w:rPr>
          <w:rFonts w:ascii="宋体" w:hAnsi="宋体" w:cs="宋体" w:eastAsia="宋体" w:hint="default"/>
          <w:spacing w:val="-2"/>
        </w:rPr>
        <w:t>4,841,767.86</w:t>
      </w:r>
      <w:r>
        <w:rPr>
          <w:spacing w:val="-2"/>
        </w:rPr>
        <w:t>元；④裁决反请求被申请人承担反请求申请人支付的</w:t>
      </w:r>
      <w:r>
        <w:rPr>
          <w:spacing w:val="-52"/>
        </w:rPr>
        <w:t> </w:t>
      </w:r>
      <w:r>
        <w:rPr>
          <w:spacing w:val="-52"/>
        </w:rPr>
      </w:r>
      <w:r>
        <w:rPr/>
        <w:t>律师费人民币</w:t>
      </w:r>
      <w:r>
        <w:rPr>
          <w:rFonts w:ascii="宋体" w:hAnsi="宋体" w:cs="宋体" w:eastAsia="宋体" w:hint="default"/>
        </w:rPr>
        <w:t>16</w:t>
      </w:r>
      <w:r>
        <w:rPr/>
        <w:t>万元；⑤裁决反请求被申请人承担该案的全部仲裁费用。上述金额合计人民币</w:t>
      </w:r>
      <w:r>
        <w:rPr>
          <w:rFonts w:ascii="宋体" w:hAnsi="宋体" w:cs="宋体" w:eastAsia="宋体" w:hint="default"/>
        </w:rPr>
        <w:t>15,614,253.17</w:t>
      </w:r>
      <w:r>
        <w:rPr/>
        <w:t>元。</w:t>
      </w:r>
      <w:r>
        <w:rPr>
          <w:rFonts w:ascii="宋体" w:hAnsi="宋体" w:cs="宋体" w:eastAsia="宋体" w:hint="default"/>
        </w:rPr>
        <w:t>2017</w:t>
      </w:r>
      <w:r>
        <w:rPr/>
        <w:t>年</w:t>
      </w:r>
      <w:r>
        <w:rPr>
          <w:rFonts w:ascii="宋体" w:hAnsi="宋体" w:cs="宋体" w:eastAsia="宋体" w:hint="default"/>
        </w:rPr>
        <w:t>8</w:t>
      </w:r>
      <w:r>
        <w:rPr>
          <w:rFonts w:ascii="宋体" w:hAnsi="宋体" w:cs="宋体" w:eastAsia="宋体" w:hint="default"/>
          <w:spacing w:val="-3"/>
        </w:rPr>
        <w:t> </w:t>
      </w:r>
      <w:r>
        <w:rPr>
          <w:spacing w:val="-2"/>
        </w:rPr>
        <w:t>月</w:t>
      </w:r>
      <w:r>
        <w:rPr>
          <w:rFonts w:ascii="宋体" w:hAnsi="宋体" w:cs="宋体" w:eastAsia="宋体" w:hint="default"/>
          <w:spacing w:val="-2"/>
        </w:rPr>
        <w:t>25</w:t>
      </w:r>
      <w:r>
        <w:rPr>
          <w:spacing w:val="-2"/>
        </w:rPr>
        <w:t>日，公司向深圳仲裁委员会提交《增加仲裁反请求申请书》，请求裁令反请求申请人就反请求被申请人的所欠工程款项</w:t>
      </w:r>
      <w:r>
        <w:rPr>
          <w:spacing w:val="-64"/>
        </w:rPr>
        <w:t> </w:t>
      </w:r>
      <w:r>
        <w:rPr>
          <w:spacing w:val="-64"/>
        </w:rPr>
      </w:r>
      <w:r>
        <w:rPr/>
        <w:t>对涉案工程折价或者拍卖的价款依法享有优先受偿权。</w:t>
      </w:r>
    </w:p>
    <w:p>
      <w:pPr>
        <w:pStyle w:val="BodyText"/>
        <w:spacing w:line="240" w:lineRule="auto" w:before="139"/>
        <w:ind w:left="574" w:right="889"/>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日止，上述案件尚在审理过程中。</w:t>
      </w:r>
    </w:p>
    <w:p>
      <w:pPr>
        <w:spacing w:line="240" w:lineRule="auto" w:before="0"/>
        <w:rPr>
          <w:rFonts w:ascii="宋体" w:hAnsi="宋体" w:cs="宋体" w:eastAsia="宋体" w:hint="default"/>
          <w:sz w:val="15"/>
          <w:szCs w:val="15"/>
        </w:rPr>
      </w:pPr>
    </w:p>
    <w:p>
      <w:pPr>
        <w:pStyle w:val="BodyText"/>
        <w:spacing w:line="316" w:lineRule="auto"/>
        <w:ind w:right="1130" w:firstLine="420"/>
        <w:jc w:val="both"/>
      </w:pPr>
      <w:r>
        <w:rPr>
          <w:spacing w:val="-1"/>
        </w:rPr>
        <w:t>（</w:t>
      </w:r>
      <w:r>
        <w:rPr>
          <w:rFonts w:ascii="宋体" w:hAnsi="宋体" w:cs="宋体" w:eastAsia="宋体" w:hint="default"/>
          <w:spacing w:val="-1"/>
        </w:rPr>
        <w:t>3</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w:t>
      </w:r>
      <w:r>
        <w:rPr>
          <w:spacing w:val="-1"/>
        </w:rPr>
        <w:t>日，郑州工业应用技术学院向新郑市人民法院起诉公司，以公司不按照施工工艺进行施工导致工程存</w:t>
      </w:r>
      <w:r>
        <w:rPr/>
        <w:t> </w:t>
      </w:r>
      <w:r>
        <w:rPr>
          <w:spacing w:val="-2"/>
        </w:rPr>
        <w:t>在严重问题为由，请求解除双方之间的合同关系，要求公司返还合同款</w:t>
      </w:r>
      <w:r>
        <w:rPr>
          <w:rFonts w:ascii="宋体" w:hAnsi="宋体" w:cs="宋体" w:eastAsia="宋体" w:hint="default"/>
          <w:spacing w:val="-2"/>
        </w:rPr>
        <w:t>153.09</w:t>
      </w:r>
      <w:r>
        <w:rPr>
          <w:spacing w:val="-2"/>
        </w:rPr>
        <w:t>万元，支付损失赔偿金</w:t>
      </w:r>
      <w:r>
        <w:rPr>
          <w:rFonts w:ascii="宋体" w:hAnsi="宋体" w:cs="宋体" w:eastAsia="宋体" w:hint="default"/>
          <w:spacing w:val="-2"/>
        </w:rPr>
        <w:t>600.00</w:t>
      </w:r>
      <w:r>
        <w:rPr>
          <w:spacing w:val="-2"/>
        </w:rPr>
        <w:t>万元，支付违约</w:t>
      </w:r>
      <w:r>
        <w:rPr>
          <w:spacing w:val="-54"/>
        </w:rPr>
        <w:t> </w:t>
      </w:r>
      <w:r>
        <w:rPr>
          <w:spacing w:val="-54"/>
        </w:rPr>
      </w:r>
      <w:r>
        <w:rPr/>
        <w:t>金</w:t>
      </w:r>
      <w:r>
        <w:rPr>
          <w:rFonts w:ascii="宋体" w:hAnsi="宋体" w:cs="宋体" w:eastAsia="宋体" w:hint="default"/>
        </w:rPr>
        <w:t>600.00</w:t>
      </w:r>
      <w:r>
        <w:rPr/>
        <w:t>万元，并由公司承担本案诉讼费用。</w:t>
      </w:r>
    </w:p>
    <w:p>
      <w:pPr>
        <w:pStyle w:val="BodyText"/>
        <w:spacing w:line="240" w:lineRule="auto" w:before="139"/>
        <w:ind w:left="573" w:right="889"/>
        <w:jc w:val="left"/>
      </w:pP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18</w:t>
      </w:r>
      <w:r>
        <w:rPr/>
        <w:t>日，郑州工业应用技术学院向新郑市人民法院提交《鉴定申请书》，申请对被申请人承建的郑州华信学院</w:t>
      </w:r>
    </w:p>
    <w:p>
      <w:pPr>
        <w:pStyle w:val="BodyText"/>
        <w:spacing w:line="316" w:lineRule="auto" w:before="76"/>
        <w:ind w:right="1033"/>
        <w:jc w:val="left"/>
      </w:pPr>
      <w:r>
        <w:rPr/>
        <w:t>（郑州工业应用技术学院前身）内墙装饰改造工程的施工工艺是否符合工艺要求进行司法鉴定，鉴定费用由被申请人承担。 </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27</w:t>
      </w:r>
      <w:r>
        <w:rPr/>
        <w:t>日，公司向新郑市人民法院提交《民事反诉状》，要求郑州工业应用技术学院向公司支付工程结算尾款</w:t>
      </w:r>
      <w:r>
        <w:rPr>
          <w:rFonts w:ascii="宋体" w:hAnsi="宋体" w:cs="宋体" w:eastAsia="宋体" w:hint="default"/>
        </w:rPr>
        <w:t>339.14</w:t>
      </w:r>
      <w:r>
        <w:rPr>
          <w:rFonts w:ascii="宋体" w:hAnsi="宋体" w:cs="宋体" w:eastAsia="宋体" w:hint="default"/>
          <w:spacing w:val="-82"/>
        </w:rPr>
        <w:t> </w:t>
      </w:r>
      <w:r>
        <w:rPr/>
        <w:t>万元，支付逾期付款违约金</w:t>
      </w:r>
      <w:r>
        <w:rPr>
          <w:rFonts w:ascii="宋体" w:hAnsi="宋体" w:cs="宋体" w:eastAsia="宋体" w:hint="default"/>
        </w:rPr>
        <w:t>1,302.11</w:t>
      </w:r>
      <w:r>
        <w:rPr/>
        <w:t>万元，并承担本案全部诉讼费用。</w:t>
      </w:r>
    </w:p>
    <w:p>
      <w:pPr>
        <w:pStyle w:val="BodyText"/>
        <w:spacing w:line="427" w:lineRule="auto" w:before="139"/>
        <w:ind w:left="573" w:right="5623"/>
        <w:jc w:val="left"/>
        <w:rPr>
          <w:sz w:val="21"/>
          <w:szCs w:val="21"/>
        </w:rPr>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日止，上述案件尚在审理过程中。 </w:t>
      </w:r>
      <w:r>
        <w:rPr>
          <w:rFonts w:ascii="宋体" w:hAnsi="宋体" w:cs="宋体" w:eastAsia="宋体" w:hint="default"/>
        </w:rPr>
        <w:t>2.</w:t>
      </w:r>
      <w:r>
        <w:rPr/>
        <w:t>未结保函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日止，本公司未结清保函明细列示如下</w:t>
      </w:r>
      <w:r>
        <w:rPr>
          <w:sz w:val="21"/>
          <w:szCs w:val="21"/>
        </w:rPr>
        <w:t>：</w:t>
      </w:r>
    </w:p>
    <w:p>
      <w:pPr>
        <w:spacing w:line="240" w:lineRule="auto" w:before="8"/>
        <w:rPr>
          <w:rFonts w:ascii="宋体" w:hAnsi="宋体" w:cs="宋体" w:eastAsia="宋体" w:hint="default"/>
          <w:sz w:val="3"/>
          <w:szCs w:val="3"/>
        </w:rPr>
      </w:pPr>
    </w:p>
    <w:p>
      <w:pPr>
        <w:spacing w:line="2390" w:lineRule="exact"/>
        <w:ind w:left="574" w:right="0" w:firstLine="0"/>
        <w:rPr>
          <w:rFonts w:ascii="宋体" w:hAnsi="宋体" w:cs="宋体" w:eastAsia="宋体" w:hint="default"/>
          <w:sz w:val="20"/>
          <w:szCs w:val="20"/>
        </w:rPr>
      </w:pPr>
      <w:r>
        <w:rPr>
          <w:rFonts w:ascii="宋体" w:hAnsi="宋体" w:cs="宋体" w:eastAsia="宋体" w:hint="default"/>
          <w:position w:val="-47"/>
          <w:sz w:val="20"/>
          <w:szCs w:val="20"/>
        </w:rPr>
        <w:drawing>
          <wp:inline distT="0" distB="0" distL="0" distR="0">
            <wp:extent cx="2753487" cy="1518189"/>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22" cstate="print"/>
                    <a:stretch>
                      <a:fillRect/>
                    </a:stretch>
                  </pic:blipFill>
                  <pic:spPr>
                    <a:xfrm>
                      <a:off x="0" y="0"/>
                      <a:ext cx="2753487" cy="1518189"/>
                    </a:xfrm>
                    <a:prstGeom prst="rect">
                      <a:avLst/>
                    </a:prstGeom>
                  </pic:spPr>
                </pic:pic>
              </a:graphicData>
            </a:graphic>
          </wp:inline>
        </w:drawing>
      </w:r>
      <w:r>
        <w:rPr>
          <w:rFonts w:ascii="宋体" w:hAnsi="宋体" w:cs="宋体" w:eastAsia="宋体" w:hint="default"/>
          <w:position w:val="-47"/>
          <w:sz w:val="20"/>
          <w:szCs w:val="20"/>
        </w:rPr>
      </w:r>
    </w:p>
    <w:p>
      <w:pPr>
        <w:spacing w:after="0" w:line="2390"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十三、资产负债表日后事项" w:id="316"/>
      <w:bookmarkEnd w:id="316"/>
      <w:r>
        <w:rPr>
          <w:b w:val="0"/>
          <w:bCs w:val="0"/>
        </w:rPr>
      </w: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其他资产负债表日后事项说明" w:id="317"/>
      <w:bookmarkEnd w:id="317"/>
      <w:r>
        <w:rPr>
          <w:b w:val="0"/>
          <w:bCs w:val="0"/>
        </w:rPr>
      </w:r>
      <w:r>
        <w:rPr>
          <w:rFonts w:ascii="Times New Roman" w:hAnsi="Times New Roman" w:cs="Times New Roman" w:eastAsia="Times New Roman" w:hint="default"/>
        </w:rPr>
        <w:t>1</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889"/>
        <w:jc w:val="left"/>
      </w:pPr>
      <w:r>
        <w:rPr>
          <w:rFonts w:ascii="宋体" w:hAnsi="宋体" w:cs="宋体" w:eastAsia="宋体" w:hint="default"/>
        </w:rPr>
        <w:t>1.</w:t>
      </w:r>
      <w:r>
        <w:rPr/>
        <w:t>期后借款</w:t>
      </w:r>
    </w:p>
    <w:p>
      <w:pPr>
        <w:spacing w:line="240" w:lineRule="auto" w:before="0"/>
        <w:rPr>
          <w:rFonts w:ascii="宋体" w:hAnsi="宋体" w:cs="宋体" w:eastAsia="宋体" w:hint="default"/>
          <w:sz w:val="15"/>
          <w:szCs w:val="15"/>
        </w:rPr>
      </w:pPr>
    </w:p>
    <w:p>
      <w:pPr>
        <w:pStyle w:val="BodyText"/>
        <w:spacing w:line="240" w:lineRule="auto"/>
        <w:ind w:left="573" w:right="889"/>
        <w:jc w:val="left"/>
      </w:pP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w:t>
      </w:r>
      <w:r>
        <w:rPr/>
        <w:t>日，本公司与交通银行股份有限公司深圳盐田支行签订《交通银行借款额度使用申请书》，本金为</w:t>
      </w:r>
    </w:p>
    <w:p>
      <w:pPr>
        <w:pStyle w:val="BodyText"/>
        <w:spacing w:line="240" w:lineRule="auto" w:before="76"/>
        <w:ind w:right="0"/>
        <w:jc w:val="both"/>
      </w:pPr>
      <w:r>
        <w:rPr>
          <w:rFonts w:ascii="宋体" w:hAnsi="宋体" w:cs="宋体" w:eastAsia="宋体" w:hint="default"/>
        </w:rPr>
        <w:t>50,000,000.00</w:t>
      </w:r>
      <w:r>
        <w:rPr/>
        <w:t>元，贷款期限自</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w:t>
      </w:r>
      <w:r>
        <w:rPr/>
        <w:t>日至</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w:t>
      </w:r>
      <w:r>
        <w:rPr/>
        <w:t>日。</w:t>
      </w:r>
    </w:p>
    <w:p>
      <w:pPr>
        <w:spacing w:line="240" w:lineRule="auto" w:before="0"/>
        <w:rPr>
          <w:rFonts w:ascii="宋体" w:hAnsi="宋体" w:cs="宋体" w:eastAsia="宋体" w:hint="default"/>
          <w:sz w:val="15"/>
          <w:szCs w:val="15"/>
        </w:rPr>
      </w:pPr>
    </w:p>
    <w:p>
      <w:pPr>
        <w:pStyle w:val="BodyText"/>
        <w:spacing w:line="316" w:lineRule="auto"/>
        <w:ind w:right="889" w:firstLine="420"/>
        <w:jc w:val="left"/>
      </w:pPr>
      <w:r>
        <w:rPr>
          <w:rFonts w:ascii="宋体" w:hAnsi="宋体" w:cs="宋体" w:eastAsia="宋体" w:hint="default"/>
          <w:spacing w:val="-4"/>
        </w:rPr>
        <w:t>2018</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10</w:t>
      </w:r>
      <w:r>
        <w:rPr>
          <w:spacing w:val="-4"/>
        </w:rPr>
        <w:t>日，本公司与中国农业银行股份有限公司深圳东部支行签订《流动资金借款合同》，本金为</w:t>
      </w:r>
      <w:r>
        <w:rPr>
          <w:rFonts w:ascii="宋体" w:hAnsi="宋体" w:cs="宋体" w:eastAsia="宋体" w:hint="default"/>
          <w:spacing w:val="-4"/>
        </w:rPr>
        <w:t>100,000,000.00</w:t>
      </w:r>
      <w:r>
        <w:rPr>
          <w:rFonts w:ascii="宋体" w:hAnsi="宋体" w:cs="宋体" w:eastAsia="宋体" w:hint="default"/>
        </w:rPr>
        <w:t> </w:t>
      </w:r>
      <w:r>
        <w:rPr/>
        <w:t>元，贷款期限自</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10</w:t>
      </w:r>
      <w:r>
        <w:rPr/>
        <w:t>日至</w:t>
      </w:r>
      <w:r>
        <w:rPr>
          <w:rFonts w:ascii="宋体" w:hAnsi="宋体" w:cs="宋体" w:eastAsia="宋体" w:hint="default"/>
        </w:rPr>
        <w:t>2021</w:t>
      </w:r>
      <w:r>
        <w:rPr/>
        <w:t>年</w:t>
      </w:r>
      <w:r>
        <w:rPr>
          <w:rFonts w:ascii="宋体" w:hAnsi="宋体" w:cs="宋体" w:eastAsia="宋体" w:hint="default"/>
        </w:rPr>
        <w:t>1</w:t>
      </w:r>
      <w:r>
        <w:rPr/>
        <w:t>月</w:t>
      </w:r>
      <w:r>
        <w:rPr>
          <w:rFonts w:ascii="宋体" w:hAnsi="宋体" w:cs="宋体" w:eastAsia="宋体" w:hint="default"/>
        </w:rPr>
        <w:t>9</w:t>
      </w:r>
      <w:r>
        <w:rPr/>
        <w:t>日。</w:t>
      </w:r>
    </w:p>
    <w:p>
      <w:pPr>
        <w:pStyle w:val="BodyText"/>
        <w:spacing w:line="316" w:lineRule="auto" w:before="139"/>
        <w:ind w:right="1153" w:firstLine="420"/>
        <w:jc w:val="left"/>
      </w:pP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18</w:t>
      </w:r>
      <w:r>
        <w:rPr/>
        <w:t>日，本公司与宁波银行股份有限公司深圳分行签订《流动资金贷款合同》，本金为</w:t>
      </w:r>
      <w:r>
        <w:rPr>
          <w:rFonts w:ascii="宋体" w:hAnsi="宋体" w:cs="宋体" w:eastAsia="宋体" w:hint="default"/>
        </w:rPr>
        <w:t>80,000,000.00</w:t>
      </w:r>
      <w:r>
        <w:rPr/>
        <w:t>元，贷 款期限自</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18</w:t>
      </w:r>
      <w:r>
        <w:rPr/>
        <w:t>日至</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18</w:t>
      </w:r>
      <w:r>
        <w:rPr/>
        <w:t>日。</w:t>
      </w:r>
    </w:p>
    <w:p>
      <w:pPr>
        <w:pStyle w:val="BodyText"/>
        <w:spacing w:line="316" w:lineRule="auto" w:before="139"/>
        <w:ind w:right="889" w:firstLine="420"/>
        <w:jc w:val="left"/>
      </w:pPr>
      <w:r>
        <w:rPr>
          <w:rFonts w:ascii="宋体" w:hAnsi="宋体" w:cs="宋体" w:eastAsia="宋体" w:hint="default"/>
          <w:spacing w:val="-3"/>
        </w:rPr>
        <w:t>2018</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18</w:t>
      </w:r>
      <w:r>
        <w:rPr>
          <w:spacing w:val="-3"/>
        </w:rPr>
        <w:t>日，本公司与中国工商银行股份有限公司深圳横岗支行签订《流动资金借款合同》，本金为</w:t>
      </w:r>
      <w:r>
        <w:rPr>
          <w:rFonts w:ascii="宋体" w:hAnsi="宋体" w:cs="宋体" w:eastAsia="宋体" w:hint="default"/>
          <w:spacing w:val="-3"/>
        </w:rPr>
        <w:t>40,000,000.00</w:t>
      </w:r>
      <w:r>
        <w:rPr>
          <w:rFonts w:ascii="宋体" w:hAnsi="宋体" w:cs="宋体" w:eastAsia="宋体" w:hint="default"/>
        </w:rPr>
        <w:t> </w:t>
      </w:r>
      <w:r>
        <w:rPr/>
        <w:t>元，贷款期限自</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30</w:t>
      </w:r>
      <w:r>
        <w:rPr/>
        <w:t>日至</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19</w:t>
      </w:r>
      <w:r>
        <w:rPr/>
        <w:t>日。</w:t>
      </w:r>
    </w:p>
    <w:p>
      <w:pPr>
        <w:pStyle w:val="BodyText"/>
        <w:spacing w:line="240" w:lineRule="auto" w:before="139"/>
        <w:ind w:left="574" w:right="889"/>
        <w:jc w:val="left"/>
      </w:pP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25</w:t>
      </w:r>
      <w:r>
        <w:rPr/>
        <w:t>日，本公司与招商银行股份有限公司深圳分行签订《借款合同》，本金为</w:t>
      </w:r>
      <w:r>
        <w:rPr>
          <w:rFonts w:ascii="宋体" w:hAnsi="宋体" w:cs="宋体" w:eastAsia="宋体" w:hint="default"/>
        </w:rPr>
        <w:t>100,000,000.00</w:t>
      </w:r>
      <w:r>
        <w:rPr/>
        <w:t>元，贷款期限自</w:t>
      </w:r>
    </w:p>
    <w:p>
      <w:pPr>
        <w:pStyle w:val="BodyText"/>
        <w:spacing w:line="240" w:lineRule="auto" w:before="76"/>
        <w:ind w:left="154" w:right="0"/>
        <w:jc w:val="both"/>
      </w:pP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25</w:t>
      </w:r>
      <w:r>
        <w:rPr/>
        <w:t>日至</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25</w:t>
      </w:r>
      <w:r>
        <w:rPr/>
        <w:t>日。</w:t>
      </w:r>
    </w:p>
    <w:p>
      <w:pPr>
        <w:spacing w:line="240" w:lineRule="auto" w:before="0"/>
        <w:rPr>
          <w:rFonts w:ascii="宋体" w:hAnsi="宋体" w:cs="宋体" w:eastAsia="宋体" w:hint="default"/>
          <w:sz w:val="15"/>
          <w:szCs w:val="15"/>
        </w:rPr>
      </w:pPr>
    </w:p>
    <w:p>
      <w:pPr>
        <w:pStyle w:val="BodyText"/>
        <w:spacing w:line="316" w:lineRule="auto"/>
        <w:ind w:left="154" w:right="1124" w:firstLine="420"/>
        <w:jc w:val="left"/>
      </w:pPr>
      <w:r>
        <w:rPr>
          <w:rFonts w:ascii="宋体" w:hAnsi="宋体" w:cs="宋体" w:eastAsia="宋体" w:hint="default"/>
          <w:spacing w:val="-1"/>
        </w:rPr>
        <w:t>2018</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31</w:t>
      </w:r>
      <w:r>
        <w:rPr>
          <w:spacing w:val="-1"/>
        </w:rPr>
        <w:t>日，中国农业银行股份有限公司深圳东部支行签订《流动资金借款合同》，本金为</w:t>
      </w:r>
      <w:r>
        <w:rPr>
          <w:rFonts w:ascii="宋体" w:hAnsi="宋体" w:cs="宋体" w:eastAsia="宋体" w:hint="default"/>
          <w:spacing w:val="-1"/>
        </w:rPr>
        <w:t>100,000,000.00</w:t>
      </w:r>
      <w:r>
        <w:rPr>
          <w:spacing w:val="-1"/>
        </w:rPr>
        <w:t>元，贷</w:t>
      </w:r>
      <w:r>
        <w:rPr/>
        <w:t> 款期限自</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31</w:t>
      </w:r>
      <w:r>
        <w:rPr/>
        <w:t>日至</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30</w:t>
      </w:r>
      <w:r>
        <w:rPr/>
        <w:t>日。</w:t>
      </w:r>
    </w:p>
    <w:p>
      <w:pPr>
        <w:pStyle w:val="BodyText"/>
        <w:spacing w:line="432" w:lineRule="exact" w:before="3"/>
        <w:ind w:left="573" w:right="1153"/>
        <w:jc w:val="left"/>
        <w:rPr>
          <w:rFonts w:ascii="宋体" w:hAnsi="宋体" w:cs="宋体" w:eastAsia="宋体" w:hint="default"/>
        </w:rPr>
      </w:pPr>
      <w:r>
        <w:rPr>
          <w:rFonts w:ascii="宋体" w:hAnsi="宋体" w:cs="宋体" w:eastAsia="宋体" w:hint="default"/>
        </w:rPr>
        <w:t>2.</w:t>
      </w:r>
      <w:r>
        <w:rPr/>
        <w:t>拟增资深圳南亿科技股份有限公司 公司拟以货币出资人民币</w:t>
      </w:r>
      <w:r>
        <w:rPr>
          <w:rFonts w:ascii="宋体" w:hAnsi="宋体" w:cs="宋体" w:eastAsia="宋体" w:hint="default"/>
        </w:rPr>
        <w:t>1500</w:t>
      </w:r>
      <w:r>
        <w:rPr/>
        <w:t>万元增资深圳南亿科技股份有限公司（以下简称“南亿科技”），认购南亿科技</w:t>
      </w:r>
      <w:r>
        <w:rPr>
          <w:rFonts w:ascii="宋体" w:hAnsi="宋体" w:cs="宋体" w:eastAsia="宋体" w:hint="default"/>
        </w:rPr>
        <w:t>317.65</w:t>
      </w:r>
    </w:p>
    <w:p>
      <w:pPr>
        <w:pStyle w:val="BodyText"/>
        <w:spacing w:line="439" w:lineRule="auto" w:before="15"/>
        <w:ind w:left="573" w:right="7063" w:hanging="420"/>
        <w:jc w:val="left"/>
      </w:pPr>
      <w:r>
        <w:rPr/>
        <w:t>万股，折合人民币</w:t>
      </w:r>
      <w:r>
        <w:rPr>
          <w:rFonts w:ascii="宋体" w:hAnsi="宋体" w:cs="宋体" w:eastAsia="宋体" w:hint="default"/>
        </w:rPr>
        <w:t>4.72</w:t>
      </w:r>
      <w:r>
        <w:rPr/>
        <w:t>元每股，持股比例</w:t>
      </w:r>
      <w:r>
        <w:rPr>
          <w:rFonts w:ascii="宋体" w:hAnsi="宋体" w:cs="宋体" w:eastAsia="宋体" w:hint="default"/>
        </w:rPr>
        <w:t>15%</w:t>
      </w:r>
      <w:r>
        <w:rPr/>
        <w:t>。 </w:t>
      </w:r>
      <w:r>
        <w:rPr>
          <w:rFonts w:ascii="宋体" w:hAnsi="宋体" w:cs="宋体" w:eastAsia="宋体" w:hint="default"/>
        </w:rPr>
        <w:t>3. 2017</w:t>
      </w:r>
      <w:r>
        <w:rPr/>
        <w:t>年度利润分配预案</w:t>
      </w:r>
    </w:p>
    <w:p>
      <w:pPr>
        <w:pStyle w:val="BodyText"/>
        <w:spacing w:line="316" w:lineRule="auto" w:before="47"/>
        <w:ind w:right="1132" w:firstLine="420"/>
        <w:jc w:val="both"/>
      </w:pPr>
      <w:r>
        <w:rPr>
          <w:spacing w:val="-1"/>
        </w:rPr>
        <w:t>根据公司</w:t>
      </w:r>
      <w:r>
        <w:rPr>
          <w:rFonts w:ascii="宋体" w:hAnsi="宋体" w:cs="宋体" w:eastAsia="宋体" w:hint="default"/>
          <w:spacing w:val="-1"/>
        </w:rPr>
        <w:t>2018</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13</w:t>
      </w:r>
      <w:r>
        <w:rPr>
          <w:spacing w:val="-1"/>
        </w:rPr>
        <w:t>日第二届董事会第十九次会议通过的决议，</w:t>
      </w:r>
      <w:r>
        <w:rPr>
          <w:rFonts w:ascii="宋体" w:hAnsi="宋体" w:cs="宋体" w:eastAsia="宋体" w:hint="default"/>
          <w:spacing w:val="-1"/>
        </w:rPr>
        <w:t>2017</w:t>
      </w:r>
      <w:r>
        <w:rPr>
          <w:spacing w:val="-1"/>
        </w:rPr>
        <w:t>年度公司利润分配方案为：公司拟以</w:t>
      </w:r>
      <w:r>
        <w:rPr>
          <w:rFonts w:ascii="宋体" w:hAnsi="宋体" w:cs="宋体" w:eastAsia="宋体" w:hint="default"/>
          <w:spacing w:val="-1"/>
        </w:rPr>
        <w:t>2017</w:t>
      </w:r>
      <w:r>
        <w:rPr>
          <w:spacing w:val="-1"/>
        </w:rPr>
        <w:t>年经审</w:t>
      </w:r>
      <w:r>
        <w:rPr/>
        <w:t> 计的可供分配利润向全体股东派发现金股利（含税）</w:t>
      </w:r>
      <w:r>
        <w:rPr>
          <w:rFonts w:ascii="宋体" w:hAnsi="宋体" w:cs="宋体" w:eastAsia="宋体" w:hint="default"/>
        </w:rPr>
        <w:t>3,000.00</w:t>
      </w:r>
      <w:r>
        <w:rPr/>
        <w:t>万元，即每</w:t>
      </w:r>
      <w:r>
        <w:rPr>
          <w:rFonts w:ascii="宋体" w:hAnsi="宋体" w:cs="宋体" w:eastAsia="宋体" w:hint="default"/>
        </w:rPr>
        <w:t>10</w:t>
      </w:r>
      <w:r>
        <w:rPr/>
        <w:t>股派发现金（含税）</w:t>
      </w:r>
      <w:r>
        <w:rPr>
          <w:rFonts w:ascii="宋体" w:hAnsi="宋体" w:cs="宋体" w:eastAsia="宋体" w:hint="default"/>
        </w:rPr>
        <w:t>0.5</w:t>
      </w:r>
      <w:r>
        <w:rPr/>
        <w:t>元。此分配预案待股东 大会审议通过。</w:t>
      </w:r>
    </w:p>
    <w:p>
      <w:pPr>
        <w:pStyle w:val="BodyText"/>
        <w:spacing w:line="240" w:lineRule="auto" w:before="139"/>
        <w:ind w:left="573" w:right="889"/>
        <w:jc w:val="left"/>
      </w:pPr>
      <w:r>
        <w:rPr>
          <w:rFonts w:ascii="宋体" w:hAnsi="宋体" w:cs="宋体" w:eastAsia="宋体" w:hint="default"/>
        </w:rPr>
        <w:t>4.</w:t>
      </w:r>
      <w:r>
        <w:rPr/>
        <w:t>拟设立全资二级子公司</w:t>
      </w:r>
    </w:p>
    <w:p>
      <w:pPr>
        <w:spacing w:line="240" w:lineRule="auto" w:before="0"/>
        <w:rPr>
          <w:rFonts w:ascii="宋体" w:hAnsi="宋体" w:cs="宋体" w:eastAsia="宋体" w:hint="default"/>
          <w:sz w:val="15"/>
          <w:szCs w:val="15"/>
        </w:rPr>
      </w:pPr>
    </w:p>
    <w:p>
      <w:pPr>
        <w:pStyle w:val="BodyText"/>
        <w:spacing w:line="316" w:lineRule="auto"/>
        <w:ind w:left="154" w:right="1132"/>
        <w:jc w:val="both"/>
      </w:pPr>
      <w:r>
        <w:rPr/>
        <w:t>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13</w:t>
      </w:r>
      <w:r>
        <w:rPr/>
        <w:t>日经第二届董事会第十九次会议审议通过《关于投资设立全资二级子公司的议案》，公司全资子公司惠</w:t>
      </w:r>
      <w:r>
        <w:rPr>
          <w:spacing w:val="-83"/>
        </w:rPr>
        <w:t> </w:t>
      </w:r>
      <w:r>
        <w:rPr>
          <w:spacing w:val="-83"/>
        </w:rPr>
      </w:r>
      <w:r>
        <w:rPr/>
        <w:t>州中装新材料有限公司拟使用自有资金</w:t>
      </w:r>
      <w:r>
        <w:rPr>
          <w:rFonts w:ascii="宋体" w:hAnsi="宋体" w:cs="宋体" w:eastAsia="宋体" w:hint="default"/>
        </w:rPr>
        <w:t>1,000</w:t>
      </w:r>
      <w:r>
        <w:rPr/>
        <w:t>万元设立全资二级子公司惠州（中装）智能绿建科技有限公司（暂定名，以工</w:t>
      </w:r>
      <w:r>
        <w:rPr>
          <w:spacing w:val="-83"/>
        </w:rPr>
        <w:t> </w:t>
      </w:r>
      <w:r>
        <w:rPr>
          <w:spacing w:val="-83"/>
        </w:rPr>
      </w:r>
      <w:r>
        <w:rPr/>
        <w:t>商注册结果为准）。</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spacing w:line="240" w:lineRule="auto"/>
        <w:ind w:left="574" w:right="889"/>
        <w:jc w:val="left"/>
      </w:pPr>
      <w:r>
        <w:rPr/>
        <w:t>除上述事项外，截至本财务报表批准报出日止，本公司不存在其他需要披露的重大资产负债表日后非调整事项。</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十四、母公司财务报表主要项目注释" w:id="318"/>
      <w:bookmarkEnd w:id="318"/>
      <w:r>
        <w:rPr>
          <w:b w:val="0"/>
          <w:bCs w:val="0"/>
        </w:rPr>
      </w:r>
      <w:r>
        <w:rPr/>
        <w:t>十四、母公司财务报表主要项目注释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应收账款" w:id="319"/>
      <w:bookmarkEnd w:id="31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应收账款分类披露" w:id="320"/>
      <w:bookmarkEnd w:id="3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2"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23"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23"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2,530,20</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8,690.33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253,146,</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961.30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2,277,061</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,729.03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38,079.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198,794,0</w:t>
            </w:r>
          </w:p>
          <w:p>
            <w:pPr>
              <w:pStyle w:val="TableParagraph"/>
              <w:spacing w:line="240" w:lineRule="auto" w:before="106"/>
              <w:ind w:left="376" w:right="0"/>
              <w:jc w:val="left"/>
              <w:rPr>
                <w:rFonts w:ascii="Times New Roman" w:hAnsi="Times New Roman" w:cs="Times New Roman" w:eastAsia="Times New Roman" w:hint="default"/>
                <w:sz w:val="18"/>
                <w:szCs w:val="18"/>
              </w:rPr>
            </w:pPr>
            <w:r>
              <w:rPr>
                <w:rFonts w:ascii="Times New Roman"/>
                <w:sz w:val="18"/>
              </w:rPr>
              <w:t>02.14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1,714,444,0</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77.39</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21,511,0</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44.18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21,511,0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44.18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19,103,</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025.18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19,103,02</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5.18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2,551,71</w:t>
            </w:r>
          </w:p>
          <w:p>
            <w:pPr>
              <w:pStyle w:val="TableParagraph"/>
              <w:spacing w:line="240" w:lineRule="auto" w:before="106"/>
              <w:ind w:left="93" w:right="0"/>
              <w:jc w:val="left"/>
              <w:rPr>
                <w:rFonts w:ascii="Times New Roman" w:hAnsi="Times New Roman" w:cs="Times New Roman" w:eastAsia="Times New Roman" w:hint="default"/>
                <w:sz w:val="18"/>
                <w:szCs w:val="18"/>
              </w:rPr>
            </w:pPr>
            <w:r>
              <w:rPr>
                <w:rFonts w:ascii="Times New Roman"/>
                <w:sz w:val="18"/>
              </w:rPr>
              <w:t>9,734.51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274,658,</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005.48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10.76%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2,277,061</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,729.03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41,104.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217,897,0</w:t>
            </w:r>
          </w:p>
          <w:p>
            <w:pPr>
              <w:pStyle w:val="TableParagraph"/>
              <w:spacing w:line="240" w:lineRule="auto" w:before="106"/>
              <w:ind w:left="376" w:right="0"/>
              <w:jc w:val="left"/>
              <w:rPr>
                <w:rFonts w:ascii="Times New Roman" w:hAnsi="Times New Roman" w:cs="Times New Roman" w:eastAsia="Times New Roman" w:hint="default"/>
                <w:sz w:val="18"/>
                <w:szCs w:val="18"/>
              </w:rPr>
            </w:pPr>
            <w:r>
              <w:rPr>
                <w:rFonts w:ascii="Times New Roman"/>
                <w:sz w:val="18"/>
              </w:rPr>
              <w:t>27.32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11.28%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1,714,444,0</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77.39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1,692,469,524.20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84,623,476.21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614,334,403.69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61,433,440.37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112,385,822.19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33,715,746.66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57,169,148.65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28,584,574.33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45,300,339.35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36,240,271.48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8,549,452.25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8,549,452.25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2,530,208,690.33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253,146,961.30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bl>
    <w:p>
      <w:pPr>
        <w:pStyle w:val="BodyText"/>
        <w:spacing w:line="357" w:lineRule="auto" w:before="51"/>
        <w:ind w:left="154" w:right="3321"/>
        <w:jc w:val="left"/>
      </w:pPr>
      <w:r>
        <w:rPr/>
        <w:t>确定该组合依据的说明： 公司应收账款的坏账风险主要与账龄相关，故以账龄作为信用风险组合依据。 组合中，采用余额百分比法计提坏账准备的应收账款：</w:t>
      </w:r>
    </w:p>
    <w:p>
      <w:pPr>
        <w:pStyle w:val="BodyText"/>
        <w:spacing w:line="240" w:lineRule="auto" w:before="29"/>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89"/>
        <w:jc w:val="left"/>
        <w:rPr>
          <w:b w:val="0"/>
          <w:bCs w:val="0"/>
        </w:rPr>
      </w:pPr>
      <w:bookmarkStart w:name="（2）本期计提、收回或转回的坏账准备情况" w:id="321"/>
      <w:bookmarkEnd w:id="32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t>本期计提坏账准备金额</w:t>
      </w:r>
      <w:r>
        <w:rPr>
          <w:spacing w:val="-47"/>
        </w:rPr>
        <w:t> </w:t>
      </w:r>
      <w:r>
        <w:rPr>
          <w:rFonts w:ascii="Times New Roman" w:hAnsi="Times New Roman" w:cs="Times New Roman" w:eastAsia="Times New Roman" w:hint="default"/>
        </w:rPr>
        <w:t>56,760,978.16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889"/>
        <w:jc w:val="left"/>
        <w:rPr>
          <w:b w:val="0"/>
          <w:bCs w:val="0"/>
        </w:rPr>
      </w:pPr>
      <w:bookmarkStart w:name="（3）按欠款方归集的期末余额前五名的应收账款情况" w:id="322"/>
      <w:bookmarkEnd w:id="322"/>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213" w:firstLine="360"/>
        <w:jc w:val="left"/>
      </w:pPr>
      <w:r>
        <w:rPr/>
        <w:t>本期按照欠款方归集的期末余额前五名应收账款汇总金额为</w:t>
      </w:r>
      <w:r>
        <w:rPr>
          <w:rFonts w:ascii="宋体" w:hAnsi="宋体" w:cs="宋体" w:eastAsia="宋体" w:hint="default"/>
        </w:rPr>
        <w:t>241,573,034.63</w:t>
      </w:r>
      <w:r>
        <w:rPr/>
        <w:t>元，占应收账款期末余额的合计数的比例 </w:t>
      </w:r>
      <w:r>
        <w:rPr>
          <w:rFonts w:ascii="宋体" w:hAnsi="宋体" w:cs="宋体" w:eastAsia="宋体" w:hint="default"/>
        </w:rPr>
        <w:t>9.47%</w:t>
      </w:r>
      <w:r>
        <w:rPr/>
        <w:t>，对应计提的坏账准备期末余额汇总金额</w:t>
      </w:r>
      <w:r>
        <w:rPr>
          <w:rFonts w:ascii="宋体" w:hAnsi="宋体" w:cs="宋体" w:eastAsia="宋体" w:hint="default"/>
        </w:rPr>
        <w:t>20,747,782.15</w:t>
      </w:r>
      <w:r>
        <w:rPr/>
        <w:t>元。</w:t>
      </w:r>
    </w:p>
    <w:p>
      <w:pPr>
        <w:spacing w:line="240" w:lineRule="auto" w:before="7"/>
        <w:rPr>
          <w:rFonts w:ascii="宋体" w:hAnsi="宋体" w:cs="宋体" w:eastAsia="宋体" w:hint="default"/>
          <w:sz w:val="22"/>
          <w:szCs w:val="22"/>
        </w:rPr>
      </w:pPr>
    </w:p>
    <w:p>
      <w:pPr>
        <w:pStyle w:val="Heading3"/>
        <w:spacing w:line="240" w:lineRule="auto"/>
        <w:ind w:right="889"/>
        <w:jc w:val="left"/>
        <w:rPr>
          <w:b w:val="0"/>
          <w:bCs w:val="0"/>
        </w:rPr>
      </w:pPr>
      <w:bookmarkStart w:name="2、其他应收款" w:id="323"/>
      <w:bookmarkEnd w:id="32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spacing w:before="0"/>
        <w:ind w:left="153" w:right="889" w:firstLine="0"/>
        <w:jc w:val="left"/>
        <w:rPr>
          <w:rFonts w:ascii="宋体" w:hAnsi="宋体" w:cs="宋体" w:eastAsia="宋体" w:hint="default"/>
          <w:sz w:val="21"/>
          <w:szCs w:val="21"/>
        </w:rPr>
      </w:pPr>
      <w:bookmarkStart w:name="（1）其他应收款分类披露" w:id="324"/>
      <w:bookmarkEnd w:id="3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105,244,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957.09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7,535,28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97,709,67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1.24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65,638,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993.30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4,346,127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61,292,865.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1,241,08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1,241,08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470,034</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470,034.0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106,486,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040.30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8,776,36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9.06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8.24%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97,709,67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1.24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66,109,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027.30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4,816,161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7.29%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61,292,865.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90,331,124.57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4,516,556.23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8,211,069.54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821,106.95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5,887,847.53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1,766,354.26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735,546.50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367,773.25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79,368.95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63,495.16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105,244,957.09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7,535,285.85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w:t>
            </w:r>
          </w:p>
        </w:tc>
      </w:tr>
    </w:tbl>
    <w:p>
      <w:pPr>
        <w:pStyle w:val="BodyText"/>
        <w:spacing w:line="360" w:lineRule="auto" w:before="51"/>
        <w:ind w:right="4273"/>
        <w:jc w:val="left"/>
      </w:pPr>
      <w:r>
        <w:rPr/>
        <w:t>确定该组合依据的说明： 公司其他应收账款的坏账风险主要与账龄相关，故以账龄作为信用风险组合依据。 组合中，采用余额百分比法计提坏账准备的其他应收款：</w:t>
      </w:r>
    </w:p>
    <w:p>
      <w:pPr>
        <w:pStyle w:val="BodyText"/>
        <w:spacing w:line="338" w:lineRule="auto" w:before="2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89"/>
        <w:jc w:val="left"/>
        <w:rPr>
          <w:b w:val="0"/>
          <w:bCs w:val="0"/>
        </w:rPr>
      </w:pPr>
      <w:bookmarkStart w:name="（2）本期计提、收回或转回的坏账准备情况" w:id="325"/>
      <w:bookmarkEnd w:id="32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889"/>
        <w:jc w:val="left"/>
      </w:pPr>
      <w:r>
        <w:rPr/>
        <w:t>本期计提坏账准备金额</w:t>
      </w:r>
      <w:r>
        <w:rPr>
          <w:spacing w:val="-47"/>
        </w:rPr>
        <w:t> </w:t>
      </w:r>
      <w:r>
        <w:rPr>
          <w:rFonts w:ascii="Times New Roman" w:hAnsi="Times New Roman" w:cs="Times New Roman" w:eastAsia="Times New Roman" w:hint="default"/>
        </w:rPr>
        <w:t>3,960,207.38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right="889"/>
        <w:jc w:val="left"/>
        <w:rPr>
          <w:b w:val="0"/>
          <w:bCs w:val="0"/>
        </w:rPr>
      </w:pPr>
      <w:bookmarkStart w:name="（3）其他应收款按款项性质分类情况" w:id="326"/>
      <w:bookmarkEnd w:id="326"/>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投标、履约及农民工保证金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54,768,492.17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33,474,092.37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32,661,409.34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19,815,161.39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6,625,698.47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7,625,606.64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诚意金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6,430,440.32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5,194,166.90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106,486,040.30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66,109,027.30</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4）按欠款方归集的期末余额前五名的其他应收款情况" w:id="327"/>
      <w:bookmarkEnd w:id="327"/>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16,379,907.49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818,995.37</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10,193,039.61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509,651.98</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诚意金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4,317,780.90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215,889.05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4,044,007.85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202,200.39</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40,934,735.85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2,046,736.79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89"/>
        <w:jc w:val="left"/>
        <w:rPr>
          <w:b w:val="0"/>
          <w:bCs w:val="0"/>
        </w:rPr>
      </w:pPr>
      <w:bookmarkStart w:name="3、长期股权投资" w:id="328"/>
      <w:bookmarkEnd w:id="32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152,435,540.42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152,435,540.42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100,435,540.42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100,435,540.42</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50,377,882.17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50,377,882.17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202,813,422.59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202,813,422.59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100,435,540.42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100,435,540.42</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1）对子公司投资" w:id="329"/>
      <w:bookmarkEnd w:id="32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中装智能</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696,627.90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696,627.90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南京卓佰年设计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465,171.02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465,171.02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中装光伏</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4,000,000.00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中装园林</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44,735,098.80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94,735,098.80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吉林中装</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惠州中装</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中装利丰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38,642.70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38,642.70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中装新能源</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100,435,540.42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4,000,000.00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152,435,540.42</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对联营、合营企业投资" w:id="330"/>
      <w:bookmarkEnd w:id="33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13"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赛格物业</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37,889,99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2,564,916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40,454,91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5.28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引爆互联 网</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w w:val="95"/>
                <w:sz w:val="18"/>
              </w:rPr>
              <w:t>-77,033.1</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9,922,966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50,377,88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2.17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47,889,99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50,377,88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4、营业收入和营业成本" w:id="331"/>
      <w:bookmarkEnd w:id="33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3,087,252,506.96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2,637,869,137.68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2,619,527,508.83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2,199,481,801.60</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240,847.39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3,087,493,354.35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2,637,869,137.68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2,619,619,908.83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2,199,481,801.60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889"/>
        <w:jc w:val="left"/>
        <w:rPr>
          <w:b w:val="0"/>
          <w:bCs w:val="0"/>
        </w:rPr>
      </w:pPr>
      <w:bookmarkStart w:name="5、投资收益" w:id="332"/>
      <w:bookmarkEnd w:id="33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2,487,883.69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-2,047,965.77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-69,403.47</w:t>
            </w:r>
            <w:r>
              <w:rPr>
                <w:rFonts w:ascii="Times New Roman"/>
                <w:sz w:val="18"/>
              </w:rPr>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-315,457.58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1,812,863.71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1,937,324.05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-69,403.47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889"/>
        <w:jc w:val="left"/>
        <w:rPr>
          <w:b w:val="0"/>
          <w:bCs w:val="0"/>
        </w:rPr>
      </w:pPr>
      <w:bookmarkStart w:name="十五、补充资料" w:id="333"/>
      <w:bookmarkEnd w:id="333"/>
      <w:r>
        <w:rPr>
          <w:b w:val="0"/>
          <w:bCs w:val="0"/>
        </w:rPr>
      </w:r>
      <w:r>
        <w:rPr/>
        <w:t>十五、补充资料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89"/>
        <w:jc w:val="left"/>
        <w:rPr>
          <w:b w:val="0"/>
          <w:bCs w:val="0"/>
        </w:rPr>
      </w:pPr>
      <w:bookmarkStart w:name="1、当期非经常性损益明细表" w:id="334"/>
      <w:bookmarkEnd w:id="33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-14,801.61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3,025,080.66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1,812,863.71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-315,457.58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-3,360,509.76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175,208.85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-8,230.45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980,197.02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889"/>
        <w:jc w:val="left"/>
        <w:rPr>
          <w:b w:val="0"/>
          <w:bCs w:val="0"/>
        </w:rPr>
      </w:pPr>
      <w:bookmarkStart w:name="2、净资产收益率及每股收益" w:id="335"/>
      <w:bookmarkEnd w:id="33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0.27</w:t>
            </w:r>
          </w:p>
        </w:tc>
      </w:tr>
      <w:tr>
        <w:trPr>
          <w:trHeight w:val="716"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spacing w:before="1"/>
        <w:ind w:left="3286" w:right="889" w:firstLine="0"/>
        <w:jc w:val="left"/>
        <w:rPr>
          <w:rFonts w:ascii="宋体" w:hAnsi="宋体" w:cs="宋体" w:eastAsia="宋体" w:hint="default"/>
          <w:sz w:val="32"/>
          <w:szCs w:val="32"/>
        </w:rPr>
      </w:pPr>
      <w:bookmarkStart w:name="第十二节 备查文件目录" w:id="336"/>
      <w:bookmarkEnd w:id="336"/>
      <w:r>
        <w:rPr/>
      </w:r>
      <w:r>
        <w:rPr>
          <w:rFonts w:ascii="宋体" w:hAnsi="宋体" w:cs="宋体" w:eastAsia="宋体" w:hint="default"/>
          <w:b/>
          <w:bCs/>
          <w:sz w:val="32"/>
          <w:szCs w:val="32"/>
        </w:rPr>
        <w:t>第十二节</w:t>
      </w:r>
      <w:r>
        <w:rPr>
          <w:rFonts w:ascii="宋体" w:hAnsi="宋体" w:cs="宋体" w:eastAsia="宋体" w:hint="default"/>
          <w:b/>
          <w:bCs/>
          <w:spacing w:val="-8"/>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8"/>
        <w:rPr>
          <w:rFonts w:ascii="宋体" w:hAnsi="宋体" w:cs="宋体" w:eastAsia="宋体" w:hint="default"/>
          <w:b/>
          <w:bCs/>
          <w:sz w:val="42"/>
          <w:szCs w:val="42"/>
        </w:rPr>
      </w:pPr>
    </w:p>
    <w:p>
      <w:pPr>
        <w:pStyle w:val="BodyText"/>
        <w:spacing w:line="360" w:lineRule="auto"/>
        <w:ind w:right="3643"/>
        <w:jc w:val="left"/>
      </w:pPr>
      <w:r>
        <w:rPr/>
        <w:t>一、载有公司法定代表人、主管会计工作负责人、会计机构负责人签名并盖章的财务报表</w:t>
      </w:r>
      <w:r>
        <w:rPr>
          <w:rFonts w:ascii="宋体" w:hAnsi="宋体" w:cs="宋体" w:eastAsia="宋体" w:hint="default"/>
        </w:rPr>
        <w:t>; </w:t>
      </w:r>
      <w:r>
        <w:rPr/>
        <w:t>二、载有会计师事务所盖章、注册会计师签名并盖章的审计报告原件</w:t>
      </w:r>
      <w:r>
        <w:rPr>
          <w:rFonts w:ascii="宋体" w:hAnsi="宋体" w:cs="宋体" w:eastAsia="宋体" w:hint="default"/>
        </w:rPr>
        <w:t>; </w:t>
      </w:r>
      <w:r>
        <w:rPr/>
        <w:t>三、报告期内在中国证监会指定网站上公开披露过的所有公司文件的正本及公告的原稿</w:t>
      </w:r>
      <w:r>
        <w:rPr>
          <w:rFonts w:ascii="宋体" w:hAnsi="宋体" w:cs="宋体" w:eastAsia="宋体" w:hint="default"/>
        </w:rPr>
        <w:t>; </w:t>
      </w:r>
      <w:r>
        <w:rPr/>
        <w:t>四、载有公司董事长签名并盖章的</w:t>
      </w:r>
      <w:r>
        <w:rPr>
          <w:rFonts w:ascii="宋体" w:hAnsi="宋体" w:cs="宋体" w:eastAsia="宋体" w:hint="default"/>
        </w:rPr>
        <w:t>2017</w:t>
      </w:r>
      <w:r>
        <w:rPr/>
        <w:t>年度报告原件</w:t>
      </w:r>
      <w:r>
        <w:rPr>
          <w:rFonts w:ascii="宋体" w:hAnsi="宋体" w:cs="宋体" w:eastAsia="宋体" w:hint="default"/>
        </w:rPr>
        <w:t>; </w:t>
      </w:r>
      <w:r>
        <w:rPr/>
        <w:t>五、以上备查文件置备于公司董事会办公室。</w:t>
      </w:r>
    </w:p>
    <w:p>
      <w:pPr>
        <w:spacing w:after="0" w:line="36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841" w:right="889"/>
        <w:jc w:val="left"/>
        <w:rPr>
          <w:b w:val="0"/>
          <w:bCs w:val="0"/>
        </w:rPr>
      </w:pPr>
      <w:bookmarkStart w:name="第十三节 上市公司内部控制规则落实自查表" w:id="337"/>
      <w:bookmarkEnd w:id="337"/>
      <w:r>
        <w:rPr>
          <w:b w:val="0"/>
          <w:bCs w:val="0"/>
        </w:rPr>
      </w:r>
      <w:r>
        <w:rPr/>
        <w:t>第十三节</w:t>
      </w:r>
      <w:r>
        <w:rPr>
          <w:spacing w:val="-16"/>
        </w:rPr>
        <w:t> </w:t>
      </w:r>
      <w:r>
        <w:rPr/>
        <w:t>上市公司内部控制规则落实自查表</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tbl>
      <w:tblPr>
        <w:tblW w:w="0" w:type="auto"/>
        <w:jc w:val="left"/>
        <w:tblInd w:w="160" w:type="dxa"/>
        <w:tblLayout w:type="fixed"/>
        <w:tblCellMar>
          <w:top w:w="0" w:type="dxa"/>
          <w:left w:w="0" w:type="dxa"/>
          <w:bottom w:w="0" w:type="dxa"/>
          <w:right w:w="0" w:type="dxa"/>
        </w:tblCellMar>
        <w:tblLook w:val="01E0"/>
      </w:tblPr>
      <w:tblGrid>
        <w:gridCol w:w="3542"/>
        <w:gridCol w:w="3189"/>
        <w:gridCol w:w="2826"/>
      </w:tblGrid>
      <w:tr>
        <w:trPr>
          <w:trHeight w:val="407"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2" w:right="0"/>
              <w:jc w:val="left"/>
              <w:rPr>
                <w:rFonts w:ascii="宋体" w:hAnsi="宋体" w:cs="宋体" w:eastAsia="宋体" w:hint="default"/>
                <w:sz w:val="18"/>
                <w:szCs w:val="18"/>
              </w:rPr>
            </w:pPr>
            <w:r>
              <w:rPr>
                <w:rFonts w:ascii="宋体" w:hAnsi="宋体" w:cs="宋体" w:eastAsia="宋体" w:hint="default"/>
                <w:sz w:val="18"/>
                <w:szCs w:val="18"/>
              </w:rPr>
              <w:t>内部控制规则落实自查事项</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一、内部审计运作</w:t>
            </w:r>
          </w:p>
        </w:tc>
      </w:tr>
      <w:tr>
        <w:trPr>
          <w:trHeight w:val="714"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、内部审计部门负责人是否为专职，并由董 事会或者其专门委员会提名，董事会任免。</w:t>
            </w:r>
          </w:p>
        </w:tc>
        <w:tc>
          <w:tcPr>
            <w:tcW w:w="3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、公司是否设立独立于财务部门的内部审计 部门，是否配置专职内部审计人员。</w:t>
            </w:r>
          </w:p>
        </w:tc>
        <w:tc>
          <w:tcPr>
            <w:tcW w:w="3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、内部审计部门是否至少每季度向董事会或 者其专门委员会报告一次。</w:t>
            </w:r>
          </w:p>
        </w:tc>
        <w:tc>
          <w:tcPr>
            <w:tcW w:w="3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542"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、内部审计部门是否至少每季度对如下事项 进行一次检查：</w:t>
            </w:r>
          </w:p>
        </w:tc>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8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542" w:type="dxa"/>
            <w:vMerge/>
            <w:tcBorders>
              <w:left w:val="single" w:sz="4" w:space="0" w:color="000000"/>
              <w:right w:val="single" w:sz="4" w:space="0" w:color="000000"/>
            </w:tcBorders>
            <w:shd w:val="clear" w:color="auto" w:fill="D2D2D2"/>
          </w:tcPr>
          <w:p>
            <w:pPr/>
          </w:p>
        </w:tc>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28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542" w:type="dxa"/>
            <w:vMerge/>
            <w:tcBorders>
              <w:left w:val="single" w:sz="4" w:space="0" w:color="000000"/>
              <w:bottom w:val="single" w:sz="4" w:space="0" w:color="000000"/>
              <w:right w:val="single" w:sz="4" w:space="0" w:color="000000"/>
            </w:tcBorders>
            <w:shd w:val="clear" w:color="auto" w:fill="D2D2D2"/>
          </w:tcPr>
          <w:p>
            <w:pPr/>
          </w:p>
        </w:tc>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28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）募集资金存放与使用</w:t>
            </w:r>
          </w:p>
        </w:tc>
        <w:tc>
          <w:tcPr>
            <w:tcW w:w="3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）对外担保</w:t>
            </w:r>
          </w:p>
        </w:tc>
        <w:tc>
          <w:tcPr>
            <w:tcW w:w="3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）关联交易</w:t>
            </w:r>
          </w:p>
        </w:tc>
        <w:tc>
          <w:tcPr>
            <w:tcW w:w="3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）证券投资</w:t>
            </w:r>
          </w:p>
        </w:tc>
        <w:tc>
          <w:tcPr>
            <w:tcW w:w="3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报告期内公司未进行证券投资</w:t>
            </w:r>
          </w:p>
        </w:tc>
      </w:tr>
      <w:tr>
        <w:trPr>
          <w:trHeight w:val="402"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）风险投资</w:t>
            </w:r>
          </w:p>
        </w:tc>
        <w:tc>
          <w:tcPr>
            <w:tcW w:w="3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报告期内公司未进行风险投资</w:t>
            </w:r>
          </w:p>
        </w:tc>
      </w:tr>
      <w:tr>
        <w:trPr>
          <w:trHeight w:val="402"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）对外提供财务资助</w:t>
            </w:r>
          </w:p>
        </w:tc>
        <w:tc>
          <w:tcPr>
            <w:tcW w:w="3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报告期内公司未对外提供财务资助</w:t>
            </w:r>
          </w:p>
        </w:tc>
      </w:tr>
      <w:tr>
        <w:trPr>
          <w:trHeight w:val="402"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）购买和出售资产</w:t>
            </w:r>
          </w:p>
        </w:tc>
        <w:tc>
          <w:tcPr>
            <w:tcW w:w="3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）对外投资</w:t>
            </w:r>
          </w:p>
        </w:tc>
        <w:tc>
          <w:tcPr>
            <w:tcW w:w="3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）公司大额非经营性资金往来</w:t>
            </w:r>
          </w:p>
        </w:tc>
        <w:tc>
          <w:tcPr>
            <w:tcW w:w="3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）公司与董事、监事、高级管理人员、 控股股东、实际控制人及其关联人资金往来 情况</w:t>
            </w:r>
          </w:p>
        </w:tc>
        <w:tc>
          <w:tcPr>
            <w:tcW w:w="3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、董事会或者其专门委员会是否至少每季度 召开一次会议，审议内部审计部门提交的工 作计划和报告。</w:t>
            </w:r>
          </w:p>
        </w:tc>
        <w:tc>
          <w:tcPr>
            <w:tcW w:w="3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、专门委员会是否至少每季度向董事会报告 一次内部审计工作进度、质量以及发现的重 大问题等内部审计工作情况。</w:t>
            </w:r>
          </w:p>
        </w:tc>
        <w:tc>
          <w:tcPr>
            <w:tcW w:w="3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、内部审计部门是否在每个会计年度结束前</w:t>
            </w:r>
          </w:p>
          <w:p>
            <w:pPr>
              <w:pStyle w:val="TableParagraph"/>
              <w:spacing w:line="307" w:lineRule="auto" w:before="63"/>
              <w:ind w:left="11"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个月内向董事会或者其专门委员会提交次 一年度内部审计工作计划，并在每个会计年 度结束后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个月内向董事会或其专门委员会 提交年度内部审计工作报告。</w:t>
            </w:r>
          </w:p>
        </w:tc>
        <w:tc>
          <w:tcPr>
            <w:tcW w:w="3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二、信息披露的内部控制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548"/>
        <w:gridCol w:w="3183"/>
        <w:gridCol w:w="2826"/>
      </w:tblGrid>
      <w:tr>
        <w:trPr>
          <w:trHeight w:val="714"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、公司是否建立信息披露事务管理制度和重 大信息的内部保密制度。</w:t>
            </w:r>
          </w:p>
        </w:tc>
        <w:tc>
          <w:tcPr>
            <w:tcW w:w="31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、公司是否指派或授权董事会秘书或者证券 事务代表负责查看互动易网站上的投资者提 问，并根据情况及时处理。</w:t>
            </w:r>
          </w:p>
        </w:tc>
        <w:tc>
          <w:tcPr>
            <w:tcW w:w="31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、公司与特定对象直接沟通前是否要求特定 对象签署承诺书。</w:t>
            </w:r>
          </w:p>
        </w:tc>
        <w:tc>
          <w:tcPr>
            <w:tcW w:w="31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、公司每次在投资者关系活动结束后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r>
              <w:rPr>
                <w:rFonts w:ascii="宋体" w:hAnsi="宋体" w:cs="宋体" w:eastAsia="宋体" w:hint="default"/>
                <w:spacing w:val="1"/>
                <w:sz w:val="18"/>
                <w:szCs w:val="18"/>
              </w:rPr>
              <w:t> </w:t>
            </w:r>
            <w:r>
              <w:rPr>
                <w:rFonts w:ascii="宋体" w:hAnsi="宋体" w:cs="宋体" w:eastAsia="宋体" w:hint="default"/>
                <w:sz w:val="18"/>
                <w:szCs w:val="18"/>
              </w:rPr>
              <w:t>易日内，是否编制《投资者关系活动记录表</w:t>
            </w:r>
            <w:r>
              <w:rPr>
                <w:rFonts w:ascii="宋体" w:hAnsi="宋体" w:cs="宋体" w:eastAsia="宋体" w:hint="default"/>
                <w:sz w:val="18"/>
                <w:szCs w:val="18"/>
              </w:rPr>
              <w:t> </w:t>
            </w:r>
            <w:r>
              <w:rPr>
                <w:rFonts w:ascii="宋体" w:hAnsi="宋体" w:cs="宋体" w:eastAsia="宋体" w:hint="default"/>
                <w:spacing w:val="-4"/>
                <w:sz w:val="18"/>
                <w:szCs w:val="18"/>
              </w:rPr>
              <w:t>并将该表及活动过程中所使用的演示文稿、提</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供的文档等附件（如有）及时在深交所互动易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网站刊载，同时在公司网站（如有）刊载。</w:t>
            </w:r>
          </w:p>
        </w:tc>
        <w:tc>
          <w:tcPr>
            <w:tcW w:w="31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46" w:right="0"/>
              <w:jc w:val="left"/>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624" w:lineRule="exact"/>
              <w:ind w:left="23"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156.950pt;height:31.2pt;mso-position-horizontal-relative:char;mso-position-vertical-relative:line" coordorigin="0,0" coordsize="3139,624">
                  <v:group style="position:absolute;left:0;top:0;width:3139;height:624" coordorigin="0,0" coordsize="3139,624">
                    <v:shape style="position:absolute;left:0;top:0;width:3139;height:624" coordorigin="0,0" coordsize="3139,624" path="m0,624l3138,624,3138,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三、内幕交易的内部控制</w:t>
            </w:r>
          </w:p>
        </w:tc>
      </w:tr>
      <w:tr>
        <w:trPr>
          <w:trHeight w:val="1338"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、公司是否建立内幕信息知情人员登记管理 制度，对内幕信息的保密管理及在内幕信息 依法公开披露前的内幕信息知情人员的登记 管理做出规定。</w:t>
            </w:r>
          </w:p>
        </w:tc>
        <w:tc>
          <w:tcPr>
            <w:tcW w:w="31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1"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、公司是否在内幕信息依法公开披露前，填 写《上市公司内幕信息知情人员档案》并在 筹划重大事项时形成重大事项进程备忘录， 相关人员是否在备忘录上签名确认。</w:t>
            </w:r>
          </w:p>
        </w:tc>
        <w:tc>
          <w:tcPr>
            <w:tcW w:w="31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、公司是否在年报、半年报和相关重大事项 公告后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个交易日内对内幕信息知情人员买 卖本公司证券及其衍生品种的情况进行自 查。发现内幕信息知情人员进行内幕交易、 泄露内幕信息或者建议他人利用内幕信息进 </w:t>
            </w:r>
            <w:r>
              <w:rPr>
                <w:rFonts w:ascii="宋体" w:hAnsi="宋体" w:cs="宋体" w:eastAsia="宋体" w:hint="default"/>
                <w:spacing w:val="-3"/>
                <w:sz w:val="18"/>
                <w:szCs w:val="18"/>
              </w:rPr>
              <w:t>行交易的，是否进行核实、追究责任，并在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个工作日内将有关情况及处理结果报送深交 所和当地证监局。</w:t>
            </w:r>
          </w:p>
        </w:tc>
        <w:tc>
          <w:tcPr>
            <w:tcW w:w="31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1"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、公司董事、监事、高级管理人员和证券事 务代表及前述人员的配偶买卖本公司股票及 其衍生品种前是否以书面方式将其买卖计划 通知董事会秘书。</w:t>
            </w:r>
          </w:p>
        </w:tc>
        <w:tc>
          <w:tcPr>
            <w:tcW w:w="31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90"/>
              <w:jc w:val="both"/>
              <w:rPr>
                <w:rFonts w:ascii="宋体" w:hAnsi="宋体" w:cs="宋体" w:eastAsia="宋体" w:hint="default"/>
                <w:sz w:val="18"/>
                <w:szCs w:val="18"/>
              </w:rPr>
            </w:pPr>
            <w:r>
              <w:rPr>
                <w:rFonts w:ascii="宋体" w:hAnsi="宋体" w:cs="宋体" w:eastAsia="宋体" w:hint="default"/>
                <w:sz w:val="18"/>
                <w:szCs w:val="18"/>
              </w:rPr>
              <w:t>报告期内未发生董事、监事、高级 管理人员和证券事务代表及前述人 员的配偶买卖本公司股票的行为</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四、募集资金的内部控制</w:t>
            </w:r>
          </w:p>
        </w:tc>
      </w:tr>
      <w:tr>
        <w:trPr>
          <w:trHeight w:val="1026"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、公司及实施募集资金项目的子公司是否对 募集资金进行专户存储并及时签订《募集资 </w:t>
            </w:r>
            <w:r>
              <w:rPr>
                <w:rFonts w:ascii="宋体" w:hAnsi="宋体" w:cs="宋体" w:eastAsia="宋体" w:hint="default"/>
                <w:spacing w:val="-10"/>
                <w:sz w:val="18"/>
                <w:szCs w:val="18"/>
              </w:rPr>
              <w:t>金三方监管协议》。</w:t>
            </w:r>
          </w:p>
        </w:tc>
        <w:tc>
          <w:tcPr>
            <w:tcW w:w="31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、内部审计部门是否至少每季度对募集资金 的使用和存放情况进行一次审计，并对募集 资金使用的真实性和合规性发表意见。</w:t>
            </w:r>
          </w:p>
        </w:tc>
        <w:tc>
          <w:tcPr>
            <w:tcW w:w="31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38.720001pt;margin-top:72.47998pt;width:254.9pt;height:46.8pt;mso-position-horizontal-relative:page;mso-position-vertical-relative:page;z-index:-8955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240" w:lineRule="auto"/>
                    <w:ind w:left="0" w:right="0"/>
                    <w:jc w:val="left"/>
                  </w:pPr>
                  <w:r>
                    <w:rPr/>
                    <w:t>委托理财等财务性投资，</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536"/>
        <w:gridCol w:w="3195"/>
        <w:gridCol w:w="2826"/>
      </w:tblGrid>
      <w:tr>
        <w:trPr>
          <w:trHeight w:val="2274"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、除金融类企业外，公司是否未将募集资金 投资于持有交易性金融资产和可供出售的金 融资产、借予他人、 未将募集资金用于风险投资、直接或者间接 投资于以买卖有价证券为主要业务的公司或 用于质押、委托贷款以及其他变相改变募集 资金用途的投资。</w:t>
            </w:r>
          </w:p>
        </w:tc>
        <w:tc>
          <w:tcPr>
            <w:tcW w:w="3195" w:type="dxa"/>
            <w:tcBorders>
              <w:top w:val="single" w:sz="4" w:space="0" w:color="000000"/>
              <w:left w:val="single" w:sz="13" w:space="0" w:color="D2D2D2"/>
              <w:bottom w:val="single" w:sz="4" w:space="0" w:color="000000"/>
              <w:right w:val="single" w:sz="4" w:space="0" w:color="000000"/>
            </w:tcBorders>
          </w:tcPr>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158.7pt;height:46.8pt;mso-position-horizontal-relative:char;mso-position-vertical-relative:line" coordorigin="0,0" coordsize="3174,936">
                  <v:group style="position:absolute;left:0;top:0;width:3174;height:936" coordorigin="0,0" coordsize="3174,936">
                    <v:shape style="position:absolute;left:0;top:0;width:3174;height:936" coordorigin="0,0" coordsize="3174,936" path="m0,936l3173,936,3173,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、公司在进行风险投资时后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个月内，是 否未使用闲置募集资金暂时补充流动资金， 未将募集资金投向变更为永久性补充流动资 金，未将超募资金永久性用于补充流动资金 或归还银行贷款。</w:t>
            </w:r>
          </w:p>
        </w:tc>
        <w:tc>
          <w:tcPr>
            <w:tcW w:w="3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五、关联交易的内部控制</w:t>
            </w:r>
          </w:p>
        </w:tc>
      </w:tr>
      <w:tr>
        <w:trPr>
          <w:trHeight w:val="196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1"/>
              <w:ind w:left="11"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、公司是否在首次公开发行股票上市后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个交易日内通过深交所业务专区</w:t>
            </w:r>
            <w:r>
              <w:rPr>
                <w:rFonts w:ascii="Times New Roman" w:hAnsi="Times New Roman" w:cs="Times New Roman" w:eastAsia="Times New Roman" w:hint="default"/>
                <w:sz w:val="18"/>
                <w:szCs w:val="18"/>
              </w:rPr>
              <w:t>“</w:t>
            </w:r>
            <w:r>
              <w:rPr>
                <w:rFonts w:ascii="宋体" w:hAnsi="宋体" w:cs="宋体" w:eastAsia="宋体" w:hint="default"/>
                <w:sz w:val="18"/>
                <w:szCs w:val="18"/>
              </w:rPr>
              <w:t>资料填报： 关联人数据填报</w:t>
            </w:r>
            <w:r>
              <w:rPr>
                <w:rFonts w:ascii="Times New Roman" w:hAnsi="Times New Roman" w:cs="Times New Roman" w:eastAsia="Times New Roman" w:hint="default"/>
                <w:sz w:val="18"/>
                <w:szCs w:val="18"/>
              </w:rPr>
              <w:t>”</w:t>
            </w:r>
            <w:r>
              <w:rPr>
                <w:rFonts w:ascii="宋体" w:hAnsi="宋体" w:cs="宋体" w:eastAsia="宋体" w:hint="default"/>
                <w:sz w:val="18"/>
                <w:szCs w:val="18"/>
              </w:rPr>
              <w:t>栏目向深交所报备关联人信 息。关联人及其信息发生变化的，公司是否 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个交易日内进行更新。公司报备的关联 人信息是否真实、准确、完整。</w:t>
            </w:r>
          </w:p>
        </w:tc>
        <w:tc>
          <w:tcPr>
            <w:tcW w:w="3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、公司是否明确股东大会、董事会对关联交 易的审批权限，制定相应的审议程序，并得 以执行。</w:t>
            </w:r>
          </w:p>
        </w:tc>
        <w:tc>
          <w:tcPr>
            <w:tcW w:w="3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536"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309" w:lineRule="auto" w:before="51"/>
              <w:ind w:left="11" w:right="-5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、公司董事、监事、高级管理人员、控股股 </w:t>
            </w:r>
            <w:r>
              <w:rPr>
                <w:rFonts w:ascii="宋体" w:hAnsi="宋体" w:cs="宋体" w:eastAsia="宋体" w:hint="default"/>
                <w:spacing w:val="-3"/>
                <w:sz w:val="18"/>
                <w:szCs w:val="18"/>
              </w:rPr>
              <w:t>东、实际控制人及其关联人是否不存在直接、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间接和变相占用上市公司资金的情况。</w:t>
            </w:r>
          </w:p>
        </w:tc>
        <w:tc>
          <w:tcPr>
            <w:tcW w:w="3195"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92"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156.4pt;height:19.650pt;mso-position-horizontal-relative:char;mso-position-vertical-relative:line" coordorigin="0,0" coordsize="3128,393">
                  <v:group style="position:absolute;left:0;top:0;width:3128;height:393" coordorigin="0,0" coordsize="3128,393">
                    <v:shape style="position:absolute;left:0;top:0;width:3128;height:393" coordorigin="0,0" coordsize="3128,393" path="m0,392l3128,392,3128,0,0,0,0,392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、公司关联交易是否严格执行审批权限、审 议程序并及时履行信息披露义务。</w:t>
            </w:r>
          </w:p>
        </w:tc>
        <w:tc>
          <w:tcPr>
            <w:tcW w:w="3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六、对外担保的内部控制</w:t>
            </w:r>
          </w:p>
        </w:tc>
      </w:tr>
      <w:tr>
        <w:trPr>
          <w:trHeight w:val="1026"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、公司是否在章程中明确股东大会、董事会 关于对外担保事项的审批权限以及违反审批 权限和审议程序的责任追究制度。</w:t>
            </w:r>
          </w:p>
        </w:tc>
        <w:tc>
          <w:tcPr>
            <w:tcW w:w="3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、公司对外担保是否严格执行审批权限、审 议程序并及时履行信息披露义务。</w:t>
            </w:r>
          </w:p>
        </w:tc>
        <w:tc>
          <w:tcPr>
            <w:tcW w:w="3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七、重大投资的内部控制</w:t>
            </w:r>
          </w:p>
        </w:tc>
      </w:tr>
      <w:tr>
        <w:trPr>
          <w:trHeight w:val="1338"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、公司是否在章程中明确股东大会、董事会 对重大投资的审批权限和审议程序，有关审 批权限和审议程序是否符合法律法规和深交 所业务规则的规定。</w:t>
            </w:r>
          </w:p>
        </w:tc>
        <w:tc>
          <w:tcPr>
            <w:tcW w:w="3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、公司重大投资是否严格执行审批权限、审 议程序并及时履行信息披露义务。</w:t>
            </w:r>
          </w:p>
        </w:tc>
        <w:tc>
          <w:tcPr>
            <w:tcW w:w="3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536"/>
        <w:gridCol w:w="3195"/>
        <w:gridCol w:w="1413"/>
        <w:gridCol w:w="1414"/>
      </w:tblGrid>
      <w:tr>
        <w:trPr>
          <w:trHeight w:val="196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、公司在以下期间，是否未进行风险投资：</w:t>
            </w:r>
          </w:p>
          <w:p>
            <w:pPr>
              <w:pStyle w:val="TableParagraph"/>
              <w:spacing w:line="304" w:lineRule="auto" w:before="63"/>
              <w:ind w:left="11" w:right="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）使用闲置募集资金暂时补充流动资金期 </w:t>
            </w:r>
            <w:r>
              <w:rPr>
                <w:rFonts w:ascii="宋体" w:hAnsi="宋体" w:cs="宋体" w:eastAsia="宋体" w:hint="default"/>
                <w:spacing w:val="-5"/>
                <w:sz w:val="18"/>
                <w:szCs w:val="18"/>
              </w:rPr>
              <w:t>间；（</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）将募集资金投向变更为永久性补充</w:t>
            </w:r>
            <w:r>
              <w:rPr>
                <w:rFonts w:ascii="宋体" w:hAnsi="宋体" w:cs="宋体" w:eastAsia="宋体" w:hint="default"/>
                <w:spacing w:val="-80"/>
                <w:sz w:val="18"/>
                <w:szCs w:val="18"/>
              </w:rPr>
              <w:t> </w:t>
            </w:r>
            <w:r>
              <w:rPr>
                <w:rFonts w:ascii="宋体" w:hAnsi="宋体" w:cs="宋体" w:eastAsia="宋体" w:hint="default"/>
                <w:spacing w:val="-5"/>
                <w:sz w:val="18"/>
                <w:szCs w:val="18"/>
              </w:rPr>
              <w:t>流动资金后十二个月内；（</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）将超募资金永</w:t>
            </w:r>
            <w:r>
              <w:rPr>
                <w:rFonts w:ascii="宋体" w:hAnsi="宋体" w:cs="宋体" w:eastAsia="宋体" w:hint="default"/>
                <w:spacing w:val="-80"/>
                <w:sz w:val="18"/>
                <w:szCs w:val="18"/>
              </w:rPr>
              <w:t> </w:t>
            </w:r>
            <w:r>
              <w:rPr>
                <w:rFonts w:ascii="宋体" w:hAnsi="宋体" w:cs="宋体" w:eastAsia="宋体" w:hint="default"/>
                <w:sz w:val="18"/>
                <w:szCs w:val="18"/>
              </w:rPr>
              <w:t>久性用于补充流动资金或归还银行贷款后的 十二个月内。</w:t>
            </w:r>
          </w:p>
        </w:tc>
        <w:tc>
          <w:tcPr>
            <w:tcW w:w="3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八、其他重要事项</w:t>
            </w:r>
          </w:p>
        </w:tc>
      </w:tr>
      <w:tr>
        <w:trPr>
          <w:trHeight w:val="2274"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、公司控股股东、实际控制人是否签署了《控</w:t>
            </w:r>
            <w:r>
              <w:rPr>
                <w:rFonts w:ascii="宋体" w:hAnsi="宋体" w:cs="宋体" w:eastAsia="宋体" w:hint="default"/>
                <w:sz w:val="18"/>
                <w:szCs w:val="18"/>
              </w:rPr>
              <w:t> 股股东、实际控制人声明及承诺书》并报深 交所和公司董事会备案。控股股东、实际控 制人发生变化的，新的控股股东、实际控制 人是否在其完成变更的一个月内完成《控股 股东、实际控制人声明及承诺书》的签署和 备案工作。</w:t>
            </w:r>
          </w:p>
        </w:tc>
        <w:tc>
          <w:tcPr>
            <w:tcW w:w="3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826"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1" w:right="1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、公司董事、监事、高级管理人员是否已签</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署并及时更新《董事、监事、高级管理人员 声明及承诺书》后报深交所和公司董事会备 案。</w:t>
            </w:r>
          </w:p>
        </w:tc>
        <w:tc>
          <w:tcPr>
            <w:tcW w:w="3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gridSpan w:val="2"/>
            <w:tcBorders>
              <w:top w:val="single" w:sz="4" w:space="0" w:color="000000"/>
              <w:left w:val="single" w:sz="4" w:space="0" w:color="000000"/>
              <w:bottom w:val="single" w:sz="4" w:space="0" w:color="000000"/>
              <w:right w:val="single" w:sz="4" w:space="0" w:color="000000"/>
            </w:tcBorders>
          </w:tcPr>
          <w:p>
            <w:pPr/>
          </w:p>
        </w:tc>
      </w:tr>
      <w:tr>
        <w:trPr>
          <w:trHeight w:val="140" w:hRule="exact"/>
        </w:trPr>
        <w:tc>
          <w:tcPr>
            <w:tcW w:w="353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5" w:type="dxa"/>
            <w:vMerge w:val="restart"/>
            <w:tcBorders>
              <w:top w:val="single" w:sz="4" w:space="0" w:color="000000"/>
              <w:left w:val="single" w:sz="13"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4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独董姓名</w:t>
            </w: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天数</w:t>
            </w:r>
          </w:p>
        </w:tc>
      </w:tr>
      <w:tr>
        <w:trPr>
          <w:trHeight w:val="262" w:hRule="exact"/>
        </w:trPr>
        <w:tc>
          <w:tcPr>
            <w:tcW w:w="3536"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、除参加董事会会议外，独立董事是否每年 保证安排合理时间，对公司生产经营状况、 管理和内部控制等制度的建设及执行情况、 董事会决议执行情况等进行现场检查。</w:t>
            </w:r>
          </w:p>
        </w:tc>
        <w:tc>
          <w:tcPr>
            <w:tcW w:w="3195" w:type="dxa"/>
            <w:vMerge/>
            <w:tcBorders>
              <w:left w:val="single" w:sz="13" w:space="0" w:color="D2D2D2"/>
              <w:right w:val="single" w:sz="9" w:space="0" w:color="D2D2D2"/>
            </w:tcBorders>
          </w:tcPr>
          <w:p>
            <w:pPr/>
          </w:p>
        </w:tc>
        <w:tc>
          <w:tcPr>
            <w:tcW w:w="1413" w:type="dxa"/>
            <w:vMerge/>
            <w:tcBorders>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536" w:type="dxa"/>
            <w:vMerge/>
            <w:tcBorders>
              <w:left w:val="single" w:sz="4" w:space="0" w:color="000000"/>
              <w:right w:val="single" w:sz="4" w:space="0" w:color="000000"/>
            </w:tcBorders>
            <w:shd w:val="clear" w:color="auto" w:fill="D2D2D2"/>
          </w:tcPr>
          <w:p>
            <w:pPr/>
          </w:p>
        </w:tc>
        <w:tc>
          <w:tcPr>
            <w:tcW w:w="3195" w:type="dxa"/>
            <w:vMerge/>
            <w:tcBorders>
              <w:left w:val="single" w:sz="13" w:space="0" w:color="D2D2D2"/>
              <w:right w:val="single" w:sz="9" w:space="0" w:color="D2D2D2"/>
            </w:tcBorders>
          </w:tcPr>
          <w:p>
            <w:pP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肖幼美</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536" w:type="dxa"/>
            <w:vMerge/>
            <w:tcBorders>
              <w:left w:val="single" w:sz="4" w:space="0" w:color="000000"/>
              <w:right w:val="single" w:sz="4" w:space="0" w:color="000000"/>
            </w:tcBorders>
            <w:shd w:val="clear" w:color="auto" w:fill="D2D2D2"/>
          </w:tcPr>
          <w:p>
            <w:pPr/>
          </w:p>
        </w:tc>
        <w:tc>
          <w:tcPr>
            <w:tcW w:w="3195" w:type="dxa"/>
            <w:vMerge/>
            <w:tcBorders>
              <w:left w:val="single" w:sz="13" w:space="0" w:color="D2D2D2"/>
              <w:right w:val="single" w:sz="9" w:space="0" w:color="D2D2D2"/>
            </w:tcBorders>
          </w:tcPr>
          <w:p>
            <w:pP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袁易明</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262" w:hRule="exact"/>
        </w:trPr>
        <w:tc>
          <w:tcPr>
            <w:tcW w:w="3536" w:type="dxa"/>
            <w:vMerge/>
            <w:tcBorders>
              <w:left w:val="single" w:sz="4" w:space="0" w:color="000000"/>
              <w:bottom w:val="nil" w:sz="6" w:space="0" w:color="auto"/>
              <w:right w:val="single" w:sz="4" w:space="0" w:color="000000"/>
            </w:tcBorders>
            <w:shd w:val="clear" w:color="auto" w:fill="D2D2D2"/>
          </w:tcPr>
          <w:p>
            <w:pPr/>
          </w:p>
        </w:tc>
        <w:tc>
          <w:tcPr>
            <w:tcW w:w="3195" w:type="dxa"/>
            <w:vMerge/>
            <w:tcBorders>
              <w:left w:val="single" w:sz="13" w:space="0" w:color="D2D2D2"/>
              <w:right w:val="single" w:sz="9" w:space="0" w:color="D2D2D2"/>
            </w:tcBorders>
          </w:tcPr>
          <w:p>
            <w:pPr/>
          </w:p>
        </w:tc>
        <w:tc>
          <w:tcPr>
            <w:tcW w:w="1413"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高刚</w:t>
            </w:r>
          </w:p>
        </w:tc>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140" w:hRule="exact"/>
        </w:trPr>
        <w:tc>
          <w:tcPr>
            <w:tcW w:w="3536"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5" w:type="dxa"/>
            <w:vMerge/>
            <w:tcBorders>
              <w:left w:val="single" w:sz="13" w:space="0" w:color="D2D2D2"/>
              <w:bottom w:val="single" w:sz="4" w:space="0" w:color="000000"/>
              <w:right w:val="single" w:sz="9" w:space="0" w:color="D2D2D2"/>
            </w:tcBorders>
          </w:tcPr>
          <w:p>
            <w:pPr/>
          </w:p>
        </w:tc>
        <w:tc>
          <w:tcPr>
            <w:tcW w:w="1413" w:type="dxa"/>
            <w:vMerge/>
            <w:tcBorders>
              <w:left w:val="single" w:sz="4" w:space="0" w:color="000000"/>
              <w:bottom w:val="single" w:sz="4" w:space="0" w:color="000000"/>
              <w:right w:val="single" w:sz="4" w:space="0" w:color="000000"/>
            </w:tcBorders>
          </w:tcPr>
          <w:p>
            <w:pPr/>
          </w:p>
        </w:tc>
        <w:tc>
          <w:tcPr>
            <w:tcW w:w="141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889"/>
        <w:jc w:val="left"/>
      </w:pPr>
      <w:r>
        <w:rPr/>
        <w:t>注：</w:t>
      </w:r>
      <w:r>
        <w:rPr>
          <w:rFonts w:ascii="Times New Roman" w:hAnsi="Times New Roman" w:cs="Times New Roman" w:eastAsia="Times New Roman" w:hint="default"/>
        </w:rPr>
        <w:t>1</w:t>
      </w:r>
      <w:r>
        <w:rPr/>
        <w:t>、包含两个以上事项，如有一项不符，请选</w:t>
      </w:r>
      <w:r>
        <w:rPr>
          <w:rFonts w:ascii="Times New Roman" w:hAnsi="Times New Roman" w:cs="Times New Roman" w:eastAsia="Times New Roman" w:hint="default"/>
        </w:rPr>
        <w:t>“</w:t>
      </w:r>
      <w:r>
        <w:rPr/>
        <w:t>否</w:t>
      </w:r>
      <w:r>
        <w:rPr>
          <w:rFonts w:ascii="Times New Roman" w:hAnsi="Times New Roman" w:cs="Times New Roman" w:eastAsia="Times New Roman" w:hint="default"/>
        </w:rPr>
        <w:t>”</w:t>
      </w:r>
      <w:r>
        <w:rPr/>
        <w:t>，并具体说明。</w:t>
      </w:r>
    </w:p>
    <w:p>
      <w:pPr>
        <w:pStyle w:val="BodyText"/>
        <w:spacing w:line="240" w:lineRule="auto" w:before="103"/>
        <w:ind w:left="154" w:right="889"/>
        <w:jc w:val="left"/>
      </w:pPr>
      <w:r>
        <w:rPr>
          <w:rFonts w:ascii="Times New Roman" w:hAnsi="Times New Roman" w:cs="Times New Roman" w:eastAsia="Times New Roman" w:hint="default"/>
        </w:rPr>
        <w:t>2</w:t>
      </w:r>
      <w:r>
        <w:rPr/>
        <w:t>、逐一说明每名独立董事现场检查的天数及发现的主要问题。</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889"/>
        <w:jc w:val="left"/>
        <w:rPr>
          <w:b w:val="0"/>
          <w:bCs w:val="0"/>
        </w:rPr>
      </w:pPr>
      <w:bookmarkStart w:name="第十四节 摘要数据报送" w:id="338"/>
      <w:bookmarkEnd w:id="338"/>
      <w:r>
        <w:rPr>
          <w:b w:val="0"/>
          <w:bCs w:val="0"/>
        </w:rPr>
      </w:r>
      <w:r>
        <w:rPr/>
        <w:t>第十四节</w:t>
      </w:r>
      <w:r>
        <w:rPr>
          <w:spacing w:val="-8"/>
        </w:rPr>
        <w:t> </w:t>
      </w:r>
      <w:r>
        <w:rPr/>
        <w:t>摘要数据报送</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89"/>
        <w:jc w:val="left"/>
        <w:rPr>
          <w:b w:val="0"/>
          <w:bCs w:val="0"/>
        </w:rPr>
      </w:pPr>
      <w:bookmarkStart w:name="一、重要提示" w:id="339"/>
      <w:bookmarkEnd w:id="339"/>
      <w:r>
        <w:rPr>
          <w:b w:val="0"/>
          <w:bCs w:val="0"/>
        </w:rPr>
      </w:r>
      <w:r>
        <w:rPr/>
        <w:t>一、重要提示</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889"/>
        <w:jc w:val="left"/>
      </w:pPr>
      <w:r>
        <w:rPr>
          <w:spacing w:val="-2"/>
        </w:rPr>
        <w:t>本年度报告摘要来自年度报告全文，为全面了解本公司的经营成果、财务状况及未来发展规划，投资者应当到证监会指定媒</w:t>
      </w:r>
      <w:r>
        <w:rPr>
          <w:spacing w:val="-66"/>
        </w:rPr>
        <w:t> </w:t>
      </w:r>
      <w:r>
        <w:rPr>
          <w:spacing w:val="-66"/>
        </w:rPr>
      </w:r>
      <w:r>
        <w:rPr/>
        <w:t>体仔细阅读年度报告全文。</w:t>
      </w:r>
    </w:p>
    <w:p>
      <w:pPr>
        <w:pStyle w:val="BodyText"/>
        <w:spacing w:line="240" w:lineRule="auto" w:before="58"/>
        <w:ind w:right="889"/>
        <w:jc w:val="left"/>
      </w:pPr>
      <w:r>
        <w:rPr/>
        <w:t>董事、监事、高级管理人员异议声明</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26"/>
        <w:gridCol w:w="2927"/>
        <w:gridCol w:w="3717"/>
      </w:tblGrid>
      <w:tr>
        <w:trPr>
          <w:trHeight w:val="402" w:hRule="exact"/>
        </w:trPr>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内容和原因</w:t>
            </w:r>
          </w:p>
        </w:tc>
      </w:tr>
      <w:tr>
        <w:trPr>
          <w:trHeight w:val="402" w:hRule="exact"/>
        </w:trPr>
        <w:tc>
          <w:tcPr>
            <w:tcW w:w="2926" w:type="dxa"/>
            <w:tcBorders>
              <w:top w:val="single" w:sz="4" w:space="0" w:color="000000"/>
              <w:left w:val="single" w:sz="4" w:space="0" w:color="000000"/>
              <w:bottom w:val="single" w:sz="4" w:space="0" w:color="000000"/>
              <w:right w:val="single" w:sz="4" w:space="0" w:color="000000"/>
            </w:tcBorders>
          </w:tcPr>
          <w:p>
            <w:pPr/>
          </w:p>
        </w:tc>
        <w:tc>
          <w:tcPr>
            <w:tcW w:w="2927" w:type="dxa"/>
            <w:tcBorders>
              <w:top w:val="single" w:sz="4" w:space="0" w:color="000000"/>
              <w:left w:val="single" w:sz="4" w:space="0" w:color="000000"/>
              <w:bottom w:val="single" w:sz="4" w:space="0" w:color="000000"/>
              <w:right w:val="single" w:sz="4" w:space="0" w:color="000000"/>
            </w:tcBorders>
          </w:tcPr>
          <w:p>
            <w:pPr/>
          </w:p>
        </w:tc>
        <w:tc>
          <w:tcPr>
            <w:tcW w:w="37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889"/>
        <w:jc w:val="left"/>
      </w:pPr>
      <w:r>
        <w:rPr/>
        <w:t>声明</w:t>
      </w:r>
    </w:p>
    <w:p>
      <w:pPr>
        <w:pStyle w:val="BodyText"/>
        <w:spacing w:line="319" w:lineRule="auto" w:before="116"/>
        <w:ind w:right="889"/>
        <w:jc w:val="left"/>
      </w:pPr>
      <w:r>
        <w:rPr>
          <w:spacing w:val="-4"/>
        </w:rPr>
        <w:t>注：如有个别董事、监事、高级管理人员对年度报告内容的真实性、准确性、完整性无法保证或存在异议的，应当声明：</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董事、监事、高级管理人员无法保证本报告内容的真实性、准确性和完整性，理由是：</w:t>
      </w:r>
      <w:r>
        <w:rPr>
          <w:rFonts w:ascii="Times New Roman" w:hAnsi="Times New Roman" w:cs="Times New Roman" w:eastAsia="Times New Roman" w:hint="default"/>
        </w:rPr>
        <w:t>……</w:t>
      </w:r>
      <w:r>
        <w:rPr/>
        <w:t>，请投资者特别关注。</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除下列董事外，其他董事亲自出席了审议本次年报的董事会会议</w:t>
      </w:r>
    </w:p>
    <w:p>
      <w:pPr>
        <w:spacing w:line="240" w:lineRule="auto" w:before="7"/>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889"/>
        <w:jc w:val="left"/>
      </w:pPr>
      <w:r>
        <w:rPr/>
        <w:t>非标准审计意见提示</w:t>
      </w:r>
    </w:p>
    <w:p>
      <w:pPr>
        <w:pStyle w:val="BodyText"/>
        <w:spacing w:line="240" w:lineRule="auto" w:before="117"/>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1"/>
        <w:ind w:right="1033"/>
        <w:jc w:val="left"/>
      </w:pPr>
      <w:r>
        <w:rPr/>
        <w:t>注：如果执行审计的会计师事务所对公司出具了非标准审计报告，重要提示中应当增加以下陈述：</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会计师事务所为本公 司出具了带强调事项段的无保留意见（或带其他事项段的无保留意见、保留意见、否定意见、无法表示意见）的审计报告， 本公司董事会、监事会对相关事项亦有详细说明，请投资者注意阅读。</w:t>
      </w:r>
    </w:p>
    <w:p>
      <w:pPr>
        <w:pStyle w:val="BodyText"/>
        <w:spacing w:line="240" w:lineRule="auto" w:before="64"/>
        <w:ind w:right="889"/>
        <w:jc w:val="left"/>
      </w:pPr>
      <w:r>
        <w:rPr/>
        <w:t>董事会审议的报告期普通股利润分配预案或公积金转增股本预案</w:t>
      </w:r>
    </w:p>
    <w:p>
      <w:pPr>
        <w:pStyle w:val="BodyText"/>
        <w:spacing w:line="338" w:lineRule="auto" w:before="117"/>
        <w:ind w:right="8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是否以公积金转增股本</w:t>
      </w:r>
    </w:p>
    <w:p>
      <w:pPr>
        <w:pStyle w:val="BodyText"/>
        <w:spacing w:line="240" w:lineRule="auto" w:before="42"/>
        <w:ind w:right="8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889"/>
        <w:jc w:val="left"/>
      </w:pPr>
      <w:r>
        <w:rPr/>
        <w:t>公司经本次董事会审议通过的普通股利润分配预案为：以</w:t>
      </w:r>
      <w:r>
        <w:rPr>
          <w:spacing w:val="-47"/>
        </w:rPr>
        <w:t> </w:t>
      </w:r>
      <w:r>
        <w:rPr>
          <w:rFonts w:ascii="Times New Roman" w:hAnsi="Times New Roman" w:cs="Times New Roman" w:eastAsia="Times New Roman" w:hint="default"/>
        </w:rPr>
        <w:t>300,000,000.00</w:t>
      </w:r>
      <w:r>
        <w:rPr>
          <w:rFonts w:ascii="Times New Roman" w:hAnsi="Times New Roman" w:cs="Times New Roman" w:eastAsia="Times New Roman" w:hint="default"/>
          <w:spacing w:val="-2"/>
        </w:rPr>
        <w:t> </w:t>
      </w:r>
      <w:r>
        <w:rPr/>
        <w:t>为基数，向全体股东每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47"/>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元</w:t>
      </w:r>
    </w:p>
    <w:p>
      <w:pPr>
        <w:pStyle w:val="BodyText"/>
        <w:spacing w:line="240" w:lineRule="auto" w:before="64"/>
        <w:ind w:right="889"/>
        <w:jc w:val="left"/>
      </w:pPr>
      <w:r>
        <w:rPr/>
        <w:t>（含税</w:t>
      </w:r>
      <w:r>
        <w:rPr>
          <w:spacing w:val="-90"/>
        </w:rPr>
        <w:t>）</w:t>
      </w:r>
      <w:r>
        <w:rPr/>
        <w:t>，送红股</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股（含税</w:t>
      </w:r>
      <w:r>
        <w:rPr>
          <w:spacing w:val="-89"/>
        </w:rPr>
        <w:t>）</w:t>
      </w:r>
      <w:r>
        <w:rPr/>
        <w:t>，以资本公积金向全体股东每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p>
    <w:p>
      <w:pPr>
        <w:pStyle w:val="BodyText"/>
        <w:spacing w:line="240" w:lineRule="auto" w:before="101"/>
        <w:ind w:right="889"/>
        <w:jc w:val="left"/>
      </w:pPr>
      <w:r>
        <w:rPr/>
        <w:t>公司经本次董事会审议通过的普通股利润分配预案为：以</w:t>
      </w:r>
      <w:r>
        <w:rPr>
          <w:spacing w:val="-46"/>
        </w:rPr>
        <w:t> </w:t>
      </w:r>
      <w:r>
        <w:rPr>
          <w:rFonts w:ascii="Times New Roman" w:hAnsi="Times New Roman" w:cs="Times New Roman" w:eastAsia="Times New Roman" w:hint="default"/>
        </w:rPr>
        <w:t>300,000,000.00</w:t>
      </w:r>
      <w:r>
        <w:rPr>
          <w:rFonts w:ascii="Times New Roman" w:hAnsi="Times New Roman" w:cs="Times New Roman" w:eastAsia="Times New Roman" w:hint="default"/>
          <w:spacing w:val="-2"/>
        </w:rPr>
        <w:t> </w:t>
      </w:r>
      <w:r>
        <w:rPr/>
        <w:t>为基数，向全体股东每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47"/>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元</w:t>
      </w:r>
    </w:p>
    <w:p>
      <w:pPr>
        <w:pStyle w:val="BodyText"/>
        <w:spacing w:line="348" w:lineRule="auto" w:before="64"/>
        <w:ind w:right="5893"/>
        <w:jc w:val="left"/>
      </w:pPr>
      <w:r>
        <w:rPr>
          <w:spacing w:val="-12"/>
        </w:rPr>
        <w:t>（含税），送红股</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6"/>
        </w:rPr>
        <w:t>股（含税），不以公积金转增股本。</w:t>
      </w:r>
      <w:r>
        <w:rPr>
          <w:spacing w:val="-79"/>
        </w:rPr>
        <w:t> </w:t>
      </w:r>
      <w:r>
        <w:rPr>
          <w:spacing w:val="-79"/>
        </w:rPr>
      </w:r>
      <w:r>
        <w:rPr/>
        <w:t>公司计划不派发现金红利，不送红股，不以公积金转增股本。 董事会决议通过的本报告期优先股利润分配预案</w:t>
      </w:r>
    </w:p>
    <w:p>
      <w:pPr>
        <w:pStyle w:val="BodyText"/>
        <w:spacing w:line="240" w:lineRule="auto" w:before="35"/>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分配时间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股息率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 w:right="0"/>
              <w:jc w:val="center"/>
              <w:rPr>
                <w:rFonts w:ascii="宋体" w:hAnsi="宋体" w:cs="宋体" w:eastAsia="宋体" w:hint="default"/>
                <w:sz w:val="18"/>
                <w:szCs w:val="18"/>
              </w:rPr>
            </w:pPr>
            <w:r>
              <w:rPr>
                <w:rFonts w:ascii="宋体" w:hAnsi="宋体" w:cs="宋体" w:eastAsia="宋体" w:hint="default"/>
                <w:sz w:val="18"/>
                <w:szCs w:val="18"/>
              </w:rPr>
              <w:t>分配金额（元）</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7" w:right="47" w:hanging="90"/>
              <w:jc w:val="left"/>
              <w:rPr>
                <w:rFonts w:ascii="宋体" w:hAnsi="宋体" w:cs="宋体" w:eastAsia="宋体" w:hint="default"/>
                <w:sz w:val="18"/>
                <w:szCs w:val="18"/>
              </w:rPr>
            </w:pPr>
            <w:r>
              <w:rPr>
                <w:rFonts w:ascii="宋体" w:hAnsi="宋体" w:cs="宋体" w:eastAsia="宋体" w:hint="default"/>
                <w:sz w:val="18"/>
                <w:szCs w:val="18"/>
              </w:rPr>
              <w:t>是否符合分配条 件和相关程序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股息支付方式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股息是否累积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7" w:right="47" w:hanging="360"/>
              <w:jc w:val="left"/>
              <w:rPr>
                <w:rFonts w:ascii="宋体" w:hAnsi="宋体" w:cs="宋体" w:eastAsia="宋体" w:hint="default"/>
                <w:sz w:val="18"/>
                <w:szCs w:val="18"/>
              </w:rPr>
            </w:pPr>
            <w:r>
              <w:rPr>
                <w:rFonts w:ascii="宋体" w:hAnsi="宋体" w:cs="宋体" w:eastAsia="宋体" w:hint="default"/>
                <w:sz w:val="18"/>
                <w:szCs w:val="18"/>
              </w:rPr>
              <w:t>是否参与剩余利 润分配</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889"/>
        <w:jc w:val="left"/>
        <w:rPr>
          <w:b w:val="0"/>
          <w:bCs w:val="0"/>
        </w:rPr>
      </w:pPr>
      <w:bookmarkStart w:name="二、公司基本情况" w:id="340"/>
      <w:bookmarkEnd w:id="340"/>
      <w:r>
        <w:rPr>
          <w:b w:val="0"/>
          <w:bCs w:val="0"/>
        </w:rPr>
      </w:r>
      <w:r>
        <w:rPr/>
        <w:t>二、公司基本情况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89"/>
        <w:jc w:val="left"/>
        <w:rPr>
          <w:b w:val="0"/>
          <w:bCs w:val="0"/>
        </w:rPr>
      </w:pPr>
      <w:bookmarkStart w:name="1、公司简介" w:id="341"/>
      <w:bookmarkEnd w:id="341"/>
      <w:r>
        <w:rPr>
          <w:b w:val="0"/>
          <w:bCs w:val="0"/>
        </w:rPr>
      </w:r>
      <w:r>
        <w:rPr>
          <w:rFonts w:ascii="Times New Roman" w:hAnsi="Times New Roman" w:cs="Times New Roman" w:eastAsia="Times New Roman" w:hint="default"/>
        </w:rPr>
        <w:t>1</w:t>
      </w:r>
      <w:r>
        <w:rPr/>
        <w:t>、公司简介</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873"/>
        <w:gridCol w:w="2219"/>
        <w:gridCol w:w="1123"/>
        <w:gridCol w:w="1031"/>
        <w:gridCol w:w="2311"/>
      </w:tblGrid>
      <w:tr>
        <w:trPr>
          <w:trHeight w:val="402"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21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中装建设</w:t>
            </w:r>
          </w:p>
        </w:tc>
        <w:tc>
          <w:tcPr>
            <w:tcW w:w="21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002822</w:t>
            </w:r>
          </w:p>
        </w:tc>
      </w:tr>
      <w:tr>
        <w:trPr>
          <w:trHeight w:val="402"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股票上市交易所</w:t>
            </w:r>
          </w:p>
        </w:tc>
        <w:tc>
          <w:tcPr>
            <w:tcW w:w="668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变更前的股票简称（如有）</w:t>
            </w:r>
          </w:p>
        </w:tc>
        <w:tc>
          <w:tcPr>
            <w:tcW w:w="6684" w:type="dxa"/>
            <w:gridSpan w:val="4"/>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1" w:right="0"/>
              <w:jc w:val="left"/>
              <w:rPr>
                <w:rFonts w:ascii="宋体" w:hAnsi="宋体" w:cs="宋体" w:eastAsia="宋体" w:hint="default"/>
                <w:sz w:val="18"/>
                <w:szCs w:val="18"/>
              </w:rPr>
            </w:pPr>
            <w:r>
              <w:rPr>
                <w:rFonts w:ascii="宋体" w:hAnsi="宋体" w:cs="宋体" w:eastAsia="宋体" w:hint="default"/>
                <w:sz w:val="18"/>
                <w:szCs w:val="18"/>
              </w:rPr>
              <w:t>联系人和联系方式</w:t>
            </w:r>
          </w:p>
        </w:tc>
        <w:tc>
          <w:tcPr>
            <w:tcW w:w="33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3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34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于桂添</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陈琳</w:t>
            </w:r>
          </w:p>
        </w:tc>
      </w:tr>
      <w:tr>
        <w:trPr>
          <w:trHeight w:val="161" w:hRule="exact"/>
        </w:trPr>
        <w:tc>
          <w:tcPr>
            <w:tcW w:w="287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2" w:type="dxa"/>
            <w:gridSpan w:val="2"/>
            <w:vMerge w:val="restart"/>
            <w:tcBorders>
              <w:top w:val="single" w:sz="4" w:space="0" w:color="000000"/>
              <w:left w:val="single" w:sz="9" w:space="0" w:color="D2D2D2"/>
              <w:right w:val="single" w:sz="4" w:space="0" w:color="000000"/>
            </w:tcBorders>
          </w:tcPr>
          <w:p>
            <w:pPr>
              <w:pStyle w:val="TableParagraph"/>
              <w:spacing w:line="302" w:lineRule="auto" w:before="51"/>
              <w:ind w:left="28" w:right="144"/>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深圳市罗湖区深南东路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4002 </w:t>
            </w:r>
            <w:r>
              <w:rPr>
                <w:rFonts w:ascii="宋体" w:hAnsi="宋体" w:cs="宋体" w:eastAsia="宋体" w:hint="default"/>
                <w:sz w:val="18"/>
                <w:szCs w:val="18"/>
              </w:rPr>
              <w:t>号鸿隆世纪 广场四</w:t>
            </w:r>
            <w:r>
              <w:rPr>
                <w:rFonts w:ascii="Times New Roman" w:hAnsi="Times New Roman" w:cs="Times New Roman" w:eastAsia="Times New Roman" w:hint="default"/>
                <w:sz w:val="18"/>
                <w:szCs w:val="18"/>
              </w:rPr>
              <w:t>-</w:t>
            </w:r>
            <w:r>
              <w:rPr>
                <w:rFonts w:ascii="宋体" w:hAnsi="宋体" w:cs="宋体" w:eastAsia="宋体" w:hint="default"/>
                <w:sz w:val="18"/>
                <w:szCs w:val="18"/>
              </w:rPr>
              <w:t>五层</w:t>
            </w:r>
            <w:r>
              <w:rPr>
                <w:rFonts w:ascii="Times New Roman" w:hAnsi="Times New Roman" w:cs="Times New Roman" w:eastAsia="Times New Roman" w:hint="default"/>
                <w:sz w:val="18"/>
                <w:szCs w:val="18"/>
              </w:rPr>
              <w:t>(</w:t>
            </w:r>
            <w:r>
              <w:rPr>
                <w:rFonts w:ascii="宋体" w:hAnsi="宋体" w:cs="宋体" w:eastAsia="宋体" w:hint="default"/>
                <w:sz w:val="18"/>
                <w:szCs w:val="18"/>
              </w:rPr>
              <w:t>仅限办公</w:t>
            </w:r>
            <w:r>
              <w:rPr>
                <w:rFonts w:ascii="Times New Roman" w:hAnsi="Times New Roman" w:cs="Times New Roman" w:eastAsia="Times New Roman" w:hint="default"/>
                <w:sz w:val="18"/>
                <w:szCs w:val="18"/>
              </w:rPr>
              <w:t>)</w:t>
            </w:r>
          </w:p>
        </w:tc>
        <w:tc>
          <w:tcPr>
            <w:tcW w:w="3342" w:type="dxa"/>
            <w:gridSpan w:val="2"/>
            <w:vMerge w:val="restart"/>
            <w:tcBorders>
              <w:top w:val="single" w:sz="4" w:space="0" w:color="000000"/>
              <w:left w:val="single" w:sz="4" w:space="0" w:color="000000"/>
              <w:right w:val="single" w:sz="4" w:space="0" w:color="000000"/>
            </w:tcBorders>
          </w:tcPr>
          <w:p>
            <w:pPr>
              <w:pStyle w:val="TableParagraph"/>
              <w:spacing w:line="302" w:lineRule="auto" w:before="51"/>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深圳市罗湖区深南东路</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4002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号鸿隆世纪广 场四</w:t>
            </w:r>
            <w:r>
              <w:rPr>
                <w:rFonts w:ascii="Times New Roman" w:hAnsi="Times New Roman" w:cs="Times New Roman" w:eastAsia="Times New Roman" w:hint="default"/>
                <w:sz w:val="18"/>
                <w:szCs w:val="18"/>
              </w:rPr>
              <w:t>-</w:t>
            </w:r>
            <w:r>
              <w:rPr>
                <w:rFonts w:ascii="宋体" w:hAnsi="宋体" w:cs="宋体" w:eastAsia="宋体" w:hint="default"/>
                <w:sz w:val="18"/>
                <w:szCs w:val="18"/>
              </w:rPr>
              <w:t>五层</w:t>
            </w:r>
            <w:r>
              <w:rPr>
                <w:rFonts w:ascii="Times New Roman" w:hAnsi="Times New Roman" w:cs="Times New Roman" w:eastAsia="Times New Roman" w:hint="default"/>
                <w:sz w:val="18"/>
                <w:szCs w:val="18"/>
              </w:rPr>
              <w:t>(</w:t>
            </w:r>
            <w:r>
              <w:rPr>
                <w:rFonts w:ascii="宋体" w:hAnsi="宋体" w:cs="宋体" w:eastAsia="宋体" w:hint="default"/>
                <w:sz w:val="18"/>
                <w:szCs w:val="18"/>
              </w:rPr>
              <w:t>仅限办公</w:t>
            </w:r>
            <w:r>
              <w:rPr>
                <w:rFonts w:ascii="Times New Roman" w:hAnsi="Times New Roman" w:cs="Times New Roman" w:eastAsia="Times New Roman" w:hint="default"/>
                <w:sz w:val="18"/>
                <w:szCs w:val="18"/>
              </w:rPr>
              <w:t>)</w:t>
            </w:r>
          </w:p>
        </w:tc>
      </w:tr>
      <w:tr>
        <w:trPr>
          <w:trHeight w:val="39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342" w:type="dxa"/>
            <w:gridSpan w:val="2"/>
            <w:vMerge/>
            <w:tcBorders>
              <w:left w:val="single" w:sz="9" w:space="0" w:color="D2D2D2"/>
              <w:right w:val="single" w:sz="4" w:space="0" w:color="000000"/>
            </w:tcBorders>
          </w:tcPr>
          <w:p>
            <w:pPr/>
          </w:p>
        </w:tc>
        <w:tc>
          <w:tcPr>
            <w:tcW w:w="3342" w:type="dxa"/>
            <w:gridSpan w:val="2"/>
            <w:vMerge/>
            <w:tcBorders>
              <w:left w:val="single" w:sz="4" w:space="0" w:color="000000"/>
              <w:right w:val="single" w:sz="4" w:space="0" w:color="000000"/>
            </w:tcBorders>
          </w:tcPr>
          <w:p>
            <w:pPr/>
          </w:p>
        </w:tc>
      </w:tr>
      <w:tr>
        <w:trPr>
          <w:trHeight w:val="161" w:hRule="exact"/>
        </w:trPr>
        <w:tc>
          <w:tcPr>
            <w:tcW w:w="287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2" w:type="dxa"/>
            <w:gridSpan w:val="2"/>
            <w:vMerge/>
            <w:tcBorders>
              <w:left w:val="single" w:sz="9" w:space="0" w:color="D2D2D2"/>
              <w:bottom w:val="single" w:sz="4" w:space="0" w:color="000000"/>
              <w:right w:val="single" w:sz="4" w:space="0" w:color="000000"/>
            </w:tcBorders>
          </w:tcPr>
          <w:p>
            <w:pPr/>
          </w:p>
        </w:tc>
        <w:tc>
          <w:tcPr>
            <w:tcW w:w="3342" w:type="dxa"/>
            <w:gridSpan w:val="2"/>
            <w:vMerge/>
            <w:tcBorders>
              <w:left w:val="single" w:sz="4" w:space="0" w:color="000000"/>
              <w:bottom w:val="single" w:sz="4" w:space="0" w:color="000000"/>
              <w:right w:val="single" w:sz="4" w:space="0" w:color="000000"/>
            </w:tcBorders>
          </w:tcPr>
          <w:p>
            <w:pPr/>
          </w:p>
        </w:tc>
      </w:tr>
      <w:tr>
        <w:trPr>
          <w:trHeight w:val="402"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34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0755-83599233</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0755-83599233</w:t>
            </w:r>
          </w:p>
        </w:tc>
      </w:tr>
      <w:tr>
        <w:trPr>
          <w:trHeight w:val="402"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34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yuguitian@zhongzhuang.com</w:t>
              </w:r>
            </w:hyperlink>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chenlin@zhongzhuang.com</w:t>
              </w:r>
            </w:hyperlink>
          </w:p>
        </w:tc>
      </w:tr>
    </w:tbl>
    <w:p>
      <w:pPr>
        <w:pStyle w:val="BodyText"/>
        <w:spacing w:line="240" w:lineRule="auto" w:before="51"/>
        <w:ind w:left="154" w:right="0"/>
        <w:jc w:val="both"/>
      </w:pPr>
      <w:r>
        <w:rPr/>
        <w:t>注：若报告期初至报告披露日期间公司股票简称发生变更，还应当同时披露变更前的股票简称。</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2、报告期主要业务或产品简介" w:id="342"/>
      <w:bookmarkEnd w:id="342"/>
      <w:r>
        <w:rPr>
          <w:b w:val="0"/>
          <w:bCs w:val="0"/>
        </w:rPr>
      </w:r>
      <w:r>
        <w:rPr>
          <w:rFonts w:ascii="Times New Roman" w:hAnsi="Times New Roman" w:cs="Times New Roman" w:eastAsia="Times New Roman" w:hint="default"/>
        </w:rPr>
        <w:t>2</w:t>
      </w:r>
      <w:r>
        <w:rPr/>
        <w:t>、报告期主要业务或产品简介</w:t>
      </w:r>
      <w:r>
        <w:rPr>
          <w:b w:val="0"/>
          <w:bCs w:val="0"/>
        </w:rPr>
      </w:r>
    </w:p>
    <w:p>
      <w:pPr>
        <w:spacing w:line="240" w:lineRule="auto" w:before="9"/>
        <w:rPr>
          <w:rFonts w:ascii="宋体" w:hAnsi="宋体" w:cs="宋体" w:eastAsia="宋体" w:hint="default"/>
          <w:b/>
          <w:bCs/>
          <w:sz w:val="26"/>
          <w:szCs w:val="26"/>
        </w:rPr>
      </w:pPr>
    </w:p>
    <w:p>
      <w:pPr>
        <w:spacing w:line="357" w:lineRule="auto" w:before="0"/>
        <w:ind w:left="513" w:right="889" w:firstLine="60"/>
        <w:jc w:val="left"/>
        <w:rPr>
          <w:rFonts w:ascii="宋体" w:hAnsi="宋体" w:cs="宋体" w:eastAsia="宋体" w:hint="default"/>
          <w:sz w:val="18"/>
          <w:szCs w:val="18"/>
        </w:rPr>
      </w:pPr>
      <w:r>
        <w:rPr>
          <w:rFonts w:ascii="宋体" w:hAnsi="宋体" w:cs="宋体" w:eastAsia="宋体" w:hint="default"/>
          <w:b/>
          <w:bCs/>
          <w:sz w:val="18"/>
          <w:szCs w:val="18"/>
        </w:rPr>
        <w:t>（一）报告期内，公司的主营业务及其变化情况</w:t>
      </w:r>
      <w:r>
        <w:rPr>
          <w:rFonts w:ascii="宋体" w:hAnsi="宋体" w:cs="宋体" w:eastAsia="宋体" w:hint="default"/>
          <w:b/>
          <w:bCs/>
          <w:w w:val="99"/>
          <w:sz w:val="18"/>
          <w:szCs w:val="18"/>
        </w:rPr>
        <w:t> </w:t>
      </w:r>
      <w:r>
        <w:rPr>
          <w:rFonts w:ascii="宋体" w:hAnsi="宋体" w:cs="宋体" w:eastAsia="宋体" w:hint="default"/>
          <w:spacing w:val="-2"/>
          <w:sz w:val="18"/>
          <w:szCs w:val="18"/>
        </w:rPr>
        <w:t>公司是一家以室内外装饰为主，融合幕墙、建筑智能、机电、园林、新能源、物业管理等业务为一体的、致力打造成国</w:t>
      </w:r>
    </w:p>
    <w:p>
      <w:pPr>
        <w:pStyle w:val="BodyText"/>
        <w:spacing w:line="224" w:lineRule="exact"/>
        <w:ind w:right="0"/>
        <w:jc w:val="both"/>
      </w:pPr>
      <w:r>
        <w:rPr/>
        <w:t>内知名的城乡建设综合服务商。公司主要承接办公楼、商业建筑、高档酒店、文教体卫设施、交通基础设施等公共建筑和普</w:t>
      </w:r>
    </w:p>
    <w:p>
      <w:pPr>
        <w:pStyle w:val="BodyText"/>
        <w:spacing w:line="319" w:lineRule="auto" w:before="77"/>
        <w:ind w:right="1131"/>
        <w:jc w:val="both"/>
      </w:pPr>
      <w:r>
        <w:rPr>
          <w:spacing w:val="-2"/>
        </w:rPr>
        <w:t>通住宅、别墅等住宅建筑的装饰施工和设计业务。近年来，凭借着全面的业务资质和优秀的施工能力，公司在全国范围内成</w:t>
      </w:r>
      <w:r>
        <w:rPr>
          <w:spacing w:val="-66"/>
        </w:rPr>
        <w:t> </w:t>
      </w:r>
      <w:r>
        <w:rPr>
          <w:spacing w:val="-66"/>
        </w:rPr>
      </w:r>
      <w:r>
        <w:rPr>
          <w:spacing w:val="-2"/>
        </w:rPr>
        <w:t>功完成了一系列的代表性装饰工程项目，并连续入选“中国建筑装饰行业百强”排名前十。</w:t>
      </w:r>
      <w:r>
        <w:rPr>
          <w:rFonts w:ascii="宋体" w:hAnsi="宋体" w:cs="宋体" w:eastAsia="宋体" w:hint="default"/>
          <w:spacing w:val="-2"/>
        </w:rPr>
        <w:t>2017</w:t>
      </w:r>
      <w:r>
        <w:rPr>
          <w:spacing w:val="-2"/>
        </w:rPr>
        <w:t>年，公司主营业务未发生重</w:t>
      </w:r>
      <w:r>
        <w:rPr>
          <w:spacing w:val="-62"/>
        </w:rPr>
        <w:t> </w:t>
      </w:r>
      <w:r>
        <w:rPr>
          <w:spacing w:val="-62"/>
        </w:rPr>
      </w:r>
      <w:r>
        <w:rPr/>
        <w:t>大变化。</w:t>
      </w:r>
    </w:p>
    <w:p>
      <w:pPr>
        <w:pStyle w:val="BodyText"/>
        <w:spacing w:line="357" w:lineRule="auto" w:before="58"/>
        <w:ind w:left="513" w:right="889" w:firstLine="60"/>
        <w:jc w:val="left"/>
      </w:pPr>
      <w:r>
        <w:rPr>
          <w:rFonts w:ascii="宋体" w:hAnsi="宋体" w:cs="宋体" w:eastAsia="宋体" w:hint="default"/>
          <w:b/>
          <w:bCs/>
        </w:rPr>
        <w:t>（二）行业发展概况</w:t>
      </w:r>
      <w:r>
        <w:rPr>
          <w:rFonts w:ascii="宋体" w:hAnsi="宋体" w:cs="宋体" w:eastAsia="宋体" w:hint="default"/>
          <w:b/>
          <w:bCs/>
          <w:w w:val="99"/>
        </w:rPr>
        <w:t> </w:t>
      </w:r>
      <w:r>
        <w:rPr>
          <w:spacing w:val="-2"/>
        </w:rPr>
        <w:t>近五年装饰行业在不断洗牌，行业业绩、利润增长也遇到瓶颈，市场在不断变化，同质化的竞争日益激烈，行业内逐步</w:t>
      </w:r>
    </w:p>
    <w:p>
      <w:pPr>
        <w:pStyle w:val="BodyText"/>
        <w:spacing w:line="224" w:lineRule="exact"/>
        <w:ind w:right="0"/>
        <w:jc w:val="both"/>
      </w:pPr>
      <w:r>
        <w:rPr/>
        <w:t>呈现两级分化趋势。 “十三五”期间，随着我国经济进入“新常态”，建筑装饰行业由高速增长期步入中速调整期，行业</w:t>
      </w:r>
    </w:p>
    <w:p>
      <w:pPr>
        <w:pStyle w:val="BodyText"/>
        <w:spacing w:line="319" w:lineRule="auto" w:before="76"/>
        <w:ind w:right="1131"/>
        <w:jc w:val="both"/>
      </w:pPr>
      <w:r>
        <w:rPr>
          <w:spacing w:val="-2"/>
        </w:rPr>
        <w:t>总体上保持平稳发展。然而，在国民经济持续增长、城镇化建设稳步推进和居民消费水平持续提高的推动下，我国的建筑装</w:t>
      </w:r>
      <w:r>
        <w:rPr>
          <w:spacing w:val="-66"/>
        </w:rPr>
        <w:t> </w:t>
      </w:r>
      <w:r>
        <w:rPr>
          <w:spacing w:val="-66"/>
        </w:rPr>
      </w:r>
      <w:r>
        <w:rPr>
          <w:spacing w:val="-2"/>
        </w:rPr>
        <w:t>饰行业仍保持巨大的市场需求。政府出台多项措施，如进一步深化对建筑装饰行业的简政放权、改革建筑业企业资质管理制</w:t>
      </w:r>
      <w:r>
        <w:rPr>
          <w:spacing w:val="-66"/>
        </w:rPr>
        <w:t> </w:t>
      </w:r>
      <w:r>
        <w:rPr>
          <w:spacing w:val="-66"/>
        </w:rPr>
      </w:r>
      <w:r>
        <w:rPr/>
        <w:t>度、招投标管理制度及推行“营改增”税制改革等，为行业发展提供政策支持。</w:t>
      </w:r>
    </w:p>
    <w:p>
      <w:pPr>
        <w:pStyle w:val="Heading5"/>
        <w:spacing w:line="360" w:lineRule="auto" w:before="56"/>
        <w:ind w:right="8164"/>
        <w:jc w:val="left"/>
        <w:rPr>
          <w:b w:val="0"/>
          <w:bCs w:val="0"/>
        </w:rPr>
      </w:pPr>
      <w:r>
        <w:rPr/>
        <w:t>（三）影响行业发展的因素</w:t>
      </w:r>
      <w:r>
        <w:rPr>
          <w:w w:val="99"/>
        </w:rPr>
        <w:t> </w:t>
      </w:r>
      <w:r>
        <w:rPr>
          <w:rFonts w:ascii="宋体" w:hAnsi="宋体" w:cs="宋体" w:eastAsia="宋体" w:hint="default"/>
        </w:rPr>
        <w:t>1</w:t>
      </w:r>
      <w:r>
        <w:rPr/>
        <w:t>、宏观经济和政策影响</w:t>
      </w:r>
      <w:r>
        <w:rPr>
          <w:b w:val="0"/>
          <w:bCs w:val="0"/>
        </w:rPr>
      </w:r>
    </w:p>
    <w:p>
      <w:pPr>
        <w:pStyle w:val="BodyText"/>
        <w:spacing w:line="319" w:lineRule="auto" w:before="25"/>
        <w:ind w:right="889" w:firstLine="420"/>
        <w:jc w:val="left"/>
      </w:pPr>
      <w:r>
        <w:rPr/>
        <w:t>宏观经济的周期性波动对建筑装饰行业存在重要影响，其市场需求与国民经济发展、全社会固定资产投资等关联度较 </w:t>
      </w:r>
      <w:r>
        <w:rPr>
          <w:spacing w:val="-2"/>
        </w:rPr>
        <w:t>高。近年来，尽管存在全球金融危机带来的负面影响，但受益于中国采取的积极财政政策和稳健的货币政策等应对措施，中</w:t>
      </w:r>
      <w:r>
        <w:rPr>
          <w:spacing w:val="-66"/>
        </w:rPr>
        <w:t> </w:t>
      </w:r>
      <w:r>
        <w:rPr>
          <w:spacing w:val="-66"/>
        </w:rPr>
      </w:r>
      <w:r>
        <w:rPr>
          <w:spacing w:val="-2"/>
        </w:rPr>
        <w:t>国建筑装饰行业仍保持较快的增长速度，但如果宏观经济增长发生较大波动乃至大幅下降，将可能对建筑装饰行业产生较大</w:t>
      </w:r>
      <w:r>
        <w:rPr>
          <w:spacing w:val="-64"/>
        </w:rPr>
        <w:t> </w:t>
      </w:r>
      <w:r>
        <w:rPr>
          <w:spacing w:val="-64"/>
        </w:rPr>
      </w:r>
      <w:r>
        <w:rPr>
          <w:spacing w:val="-2"/>
        </w:rPr>
        <w:t>不利影响。此外，房地产行业的政策和发展环境对建筑装饰行业也会产生重要影响。建筑装饰行业企业的主要业务之一为住</w:t>
      </w:r>
      <w:r>
        <w:rPr>
          <w:spacing w:val="-66"/>
        </w:rPr>
        <w:t> </w:t>
      </w:r>
      <w:r>
        <w:rPr>
          <w:spacing w:val="-66"/>
        </w:rPr>
      </w:r>
      <w:r>
        <w:rPr>
          <w:spacing w:val="-4"/>
        </w:rPr>
        <w:t>宅精装修。住宅精装修业务主要面向大型房地产开发商。但随着国家对房地产行业的持续宏观调控，如开发商开发进度减缓，</w:t>
      </w:r>
      <w:r>
        <w:rPr>
          <w:spacing w:val="-44"/>
        </w:rPr>
        <w:t> </w:t>
      </w:r>
      <w:r>
        <w:rPr>
          <w:spacing w:val="-44"/>
        </w:rPr>
      </w:r>
      <w:r>
        <w:rPr>
          <w:spacing w:val="-2"/>
        </w:rPr>
        <w:t>则可能导致住宅精装修业务订单的下滑。我国固定资产投资增速也将影响城市基础设施和公共建筑的增量，若未来我国全社</w:t>
      </w:r>
      <w:r>
        <w:rPr>
          <w:spacing w:val="-64"/>
        </w:rPr>
        <w:t> </w:t>
      </w:r>
      <w:r>
        <w:rPr>
          <w:spacing w:val="-64"/>
        </w:rPr>
      </w:r>
      <w:r>
        <w:rPr/>
        <w:t>会固定资产投资增速下降将直接导致公共建筑装饰业务的增速趋缓。</w:t>
      </w:r>
    </w:p>
    <w:p>
      <w:pPr>
        <w:spacing w:line="357" w:lineRule="auto" w:before="56"/>
        <w:ind w:left="574" w:right="889"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、城镇化水平不断提高，有利于推动行业平稳发展</w:t>
      </w:r>
      <w:r>
        <w:rPr>
          <w:rFonts w:ascii="宋体" w:hAnsi="宋体" w:cs="宋体" w:eastAsia="宋体" w:hint="default"/>
          <w:b/>
          <w:bCs/>
          <w:w w:val="99"/>
          <w:sz w:val="18"/>
          <w:szCs w:val="18"/>
        </w:rPr>
        <w:t> </w:t>
      </w:r>
      <w:r>
        <w:rPr>
          <w:rFonts w:ascii="宋体" w:hAnsi="宋体" w:cs="宋体" w:eastAsia="宋体" w:hint="default"/>
          <w:spacing w:val="-3"/>
          <w:sz w:val="18"/>
          <w:szCs w:val="18"/>
        </w:rPr>
        <w:t>据中国建筑装饰协会编订的《中国建筑装饰行业“十二五”发展规划纲要》，到</w:t>
      </w:r>
      <w:r>
        <w:rPr>
          <w:rFonts w:ascii="宋体" w:hAnsi="宋体" w:cs="宋体" w:eastAsia="宋体" w:hint="default"/>
          <w:spacing w:val="-3"/>
          <w:sz w:val="18"/>
          <w:szCs w:val="18"/>
        </w:rPr>
        <w:t>2020</w:t>
      </w:r>
      <w:r>
        <w:rPr>
          <w:rFonts w:ascii="宋体" w:hAnsi="宋体" w:cs="宋体" w:eastAsia="宋体" w:hint="default"/>
          <w:spacing w:val="-3"/>
          <w:sz w:val="18"/>
          <w:szCs w:val="18"/>
        </w:rPr>
        <w:t>年，我国城市化率将达到</w:t>
      </w:r>
      <w:r>
        <w:rPr>
          <w:rFonts w:ascii="宋体" w:hAnsi="宋体" w:cs="宋体" w:eastAsia="宋体" w:hint="default"/>
          <w:spacing w:val="-3"/>
          <w:sz w:val="18"/>
          <w:szCs w:val="18"/>
        </w:rPr>
        <w:t>60%</w:t>
      </w:r>
      <w:r>
        <w:rPr>
          <w:rFonts w:ascii="宋体" w:hAnsi="宋体" w:cs="宋体" w:eastAsia="宋体" w:hint="default"/>
          <w:spacing w:val="-3"/>
          <w:sz w:val="18"/>
          <w:szCs w:val="18"/>
        </w:rPr>
        <w:t>左右，</w:t>
      </w:r>
    </w:p>
    <w:p>
      <w:pPr>
        <w:pStyle w:val="BodyText"/>
        <w:spacing w:line="224" w:lineRule="exact"/>
        <w:ind w:right="0"/>
        <w:jc w:val="both"/>
        <w:rPr>
          <w:rFonts w:ascii="宋体" w:hAnsi="宋体" w:cs="宋体" w:eastAsia="宋体" w:hint="default"/>
        </w:rPr>
      </w:pPr>
      <w:r>
        <w:rPr/>
        <w:t>而城镇化率每年平均增长</w:t>
      </w:r>
      <w:r>
        <w:rPr>
          <w:rFonts w:ascii="宋体" w:hAnsi="宋体" w:cs="宋体" w:eastAsia="宋体" w:hint="default"/>
        </w:rPr>
        <w:t>1</w:t>
      </w:r>
      <w:r>
        <w:rPr/>
        <w:t>个百分点，每年将新增城镇人口</w:t>
      </w:r>
      <w:r>
        <w:rPr>
          <w:rFonts w:ascii="宋体" w:hAnsi="宋体" w:cs="宋体" w:eastAsia="宋体" w:hint="default"/>
        </w:rPr>
        <w:t>1,300</w:t>
      </w:r>
      <w:r>
        <w:rPr/>
        <w:t>万，以全国城镇人均住房面积</w:t>
      </w:r>
      <w:r>
        <w:rPr>
          <w:rFonts w:ascii="宋体" w:hAnsi="宋体" w:cs="宋体" w:eastAsia="宋体" w:hint="default"/>
        </w:rPr>
        <w:t>30</w:t>
      </w:r>
      <w:r>
        <w:rPr/>
        <w:t>平方米测算，每年带来</w:t>
      </w:r>
      <w:r>
        <w:rPr>
          <w:rFonts w:ascii="宋体" w:hAnsi="宋体" w:cs="宋体" w:eastAsia="宋体" w:hint="default"/>
        </w:rPr>
        <w:t>3.9</w:t>
      </w:r>
    </w:p>
    <w:p>
      <w:pPr>
        <w:spacing w:after="0" w:line="224" w:lineRule="exact"/>
        <w:jc w:val="both"/>
        <w:rPr>
          <w:rFonts w:ascii="宋体" w:hAnsi="宋体" w:cs="宋体" w:eastAsia="宋体" w:hint="default"/>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889"/>
        <w:jc w:val="left"/>
      </w:pPr>
      <w:r>
        <w:rPr>
          <w:spacing w:val="-2"/>
        </w:rPr>
        <w:t>亿平方米的新建住房需求，按每平方米产生</w:t>
      </w:r>
      <w:r>
        <w:rPr>
          <w:rFonts w:ascii="宋体" w:hAnsi="宋体" w:cs="宋体" w:eastAsia="宋体" w:hint="default"/>
          <w:spacing w:val="-2"/>
        </w:rPr>
        <w:t>600-1,000</w:t>
      </w:r>
      <w:r>
        <w:rPr>
          <w:spacing w:val="-2"/>
        </w:rPr>
        <w:t>元的基础装饰费用保守估算，由此将带来每年</w:t>
      </w:r>
      <w:r>
        <w:rPr>
          <w:rFonts w:ascii="宋体" w:hAnsi="宋体" w:cs="宋体" w:eastAsia="宋体" w:hint="default"/>
          <w:spacing w:val="-2"/>
        </w:rPr>
        <w:t>2,400-4,000</w:t>
      </w:r>
      <w:r>
        <w:rPr>
          <w:spacing w:val="-2"/>
        </w:rPr>
        <w:t>亿元的住宅</w:t>
      </w:r>
      <w:r>
        <w:rPr>
          <w:spacing w:val="-44"/>
        </w:rPr>
        <w:t> </w:t>
      </w:r>
      <w:r>
        <w:rPr/>
        <w:t>装饰市场需求。</w:t>
      </w:r>
    </w:p>
    <w:p>
      <w:pPr>
        <w:pStyle w:val="BodyText"/>
        <w:spacing w:line="319" w:lineRule="auto" w:before="55"/>
        <w:ind w:right="1130" w:firstLine="420"/>
        <w:jc w:val="both"/>
      </w:pPr>
      <w:r>
        <w:rPr>
          <w:spacing w:val="-7"/>
        </w:rPr>
        <w:t>同时，国内二、三线城市经济发展迅速，在各自区域内的经济影响力逐渐增大。新城建设、旧城改造，都将促进各地</w:t>
      </w:r>
      <w:r>
        <w:rPr>
          <w:spacing w:val="33"/>
        </w:rPr>
        <w:t> </w:t>
      </w:r>
      <w:r>
        <w:rPr>
          <w:rFonts w:ascii="宋体" w:hAnsi="宋体" w:cs="宋体" w:eastAsia="宋体" w:hint="default"/>
        </w:rPr>
        <w:t>GDP </w:t>
      </w:r>
      <w:r>
        <w:rPr>
          <w:spacing w:val="-2"/>
        </w:rPr>
        <w:t>的快速增长和固定资产投资规模的快速扩大。同时，二、三线城市的商业贸易、旅游业快速发展，也带动了写字楼、商业中</w:t>
      </w:r>
      <w:r>
        <w:rPr>
          <w:spacing w:val="-67"/>
        </w:rPr>
        <w:t> </w:t>
      </w:r>
      <w:r>
        <w:rPr>
          <w:spacing w:val="-67"/>
        </w:rPr>
      </w:r>
      <w:r>
        <w:rPr>
          <w:spacing w:val="-2"/>
        </w:rPr>
        <w:t>心、星级酒店、购物广场以及旅游地产等商旅配套的新建和改造，这在给建筑装饰行业带来需求的同时，也对建筑装饰行业</w:t>
      </w:r>
      <w:r>
        <w:rPr>
          <w:spacing w:val="-66"/>
        </w:rPr>
        <w:t> </w:t>
      </w:r>
      <w:r>
        <w:rPr>
          <w:spacing w:val="-66"/>
        </w:rPr>
      </w:r>
      <w:r>
        <w:rPr/>
        <w:t>的品质提出了更高的要求。</w:t>
      </w:r>
    </w:p>
    <w:p>
      <w:pPr>
        <w:pStyle w:val="BodyText"/>
        <w:spacing w:line="319" w:lineRule="auto" w:before="56"/>
        <w:ind w:right="1170" w:firstLine="420"/>
        <w:jc w:val="both"/>
      </w:pPr>
      <w:r>
        <w:rPr/>
        <w:t>伴随着经济稳步增长、固定资产投资规模不断扩大、城镇化进程不断加快等，我国房地产、建筑行业蓬勃发展，建筑 装饰行业也显现出了稳健的发展态势。</w:t>
      </w:r>
    </w:p>
    <w:p>
      <w:pPr>
        <w:spacing w:line="357" w:lineRule="auto" w:before="56"/>
        <w:ind w:left="573" w:right="1153"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、公共建筑装饰增量放缓，存量市场改造空间大</w:t>
      </w:r>
      <w:r>
        <w:rPr>
          <w:rFonts w:ascii="宋体" w:hAnsi="宋体" w:cs="宋体" w:eastAsia="宋体" w:hint="default"/>
          <w:b/>
          <w:bCs/>
          <w:w w:val="99"/>
          <w:sz w:val="18"/>
          <w:szCs w:val="18"/>
        </w:rPr>
        <w:t> </w:t>
      </w:r>
      <w:r>
        <w:rPr>
          <w:rFonts w:ascii="宋体" w:hAnsi="宋体" w:cs="宋体" w:eastAsia="宋体" w:hint="default"/>
          <w:sz w:val="18"/>
          <w:szCs w:val="18"/>
        </w:rPr>
        <w:t>公共建筑装饰市场的发展主要受两大因素驱动：一是随固定资产投资增加而新建的公共建筑所产生的增量市场；二是</w:t>
      </w:r>
    </w:p>
    <w:p>
      <w:pPr>
        <w:pStyle w:val="BodyText"/>
        <w:spacing w:line="357" w:lineRule="auto"/>
        <w:ind w:left="573" w:right="1153" w:hanging="420"/>
        <w:jc w:val="left"/>
      </w:pPr>
      <w:r>
        <w:rPr/>
        <w:t>随经济发展、需求升级而对已有建筑定期翻新的存量市场。 近年来，公共建筑装饰市场规模总体上稳步上升，但增速有所放缓。增速下调的原因主要是新建公共建筑增量放缓，</w:t>
      </w:r>
    </w:p>
    <w:p>
      <w:pPr>
        <w:pStyle w:val="BodyText"/>
        <w:spacing w:line="224" w:lineRule="exact"/>
        <w:ind w:right="889"/>
        <w:jc w:val="left"/>
      </w:pPr>
      <w:r>
        <w:rPr/>
        <w:t>带来装饰业务规模增速下调。在中短期内公共建筑装饰增量市场发展趋势整体较为平稳；同时，前期积累的改造需求、以及</w:t>
      </w:r>
    </w:p>
    <w:p>
      <w:pPr>
        <w:pStyle w:val="BodyText"/>
        <w:spacing w:line="357" w:lineRule="auto" w:before="77"/>
        <w:ind w:left="573" w:right="1153" w:hanging="420"/>
        <w:jc w:val="left"/>
      </w:pPr>
      <w:r>
        <w:rPr/>
        <w:t>装饰市场的产业升级将促使公共建筑装饰行业存量市场改造规模迅速扩大。 近十年来，我国公共建筑市场发展迅速，商务酒店、城市商业综合体、文教体卫建筑、交通基建建筑等存量市场已十</w:t>
      </w:r>
    </w:p>
    <w:p>
      <w:pPr>
        <w:pStyle w:val="BodyText"/>
        <w:spacing w:line="224" w:lineRule="exact"/>
        <w:ind w:right="889"/>
        <w:jc w:val="left"/>
      </w:pPr>
      <w:r>
        <w:rPr/>
        <w:t>分巨大。随着国内商务活动的逐渐增多和旅游的兴起，国内星级酒店得到了快速发展。未来十年新开业的高端星级酒店，特</w:t>
      </w:r>
    </w:p>
    <w:p>
      <w:pPr>
        <w:pStyle w:val="BodyText"/>
        <w:spacing w:line="357" w:lineRule="auto" w:before="77"/>
        <w:ind w:left="573" w:right="1153" w:hanging="420"/>
        <w:jc w:val="left"/>
      </w:pPr>
      <w:r>
        <w:rPr/>
        <w:t>别是五星、四星酒店将迎来重新装饰改造的高峰。 公共建筑物在整个使用寿命期内需要进行多次装饰装修，据统计，一般旅游饭店、写字楼的装饰周期是</w:t>
      </w:r>
      <w:r>
        <w:rPr>
          <w:rFonts w:ascii="宋体" w:hAnsi="宋体" w:cs="宋体" w:eastAsia="宋体" w:hint="default"/>
        </w:rPr>
        <w:t>6</w:t>
      </w:r>
      <w:r>
        <w:rPr/>
        <w:t>至</w:t>
      </w:r>
      <w:r>
        <w:rPr>
          <w:rFonts w:ascii="宋体" w:hAnsi="宋体" w:cs="宋体" w:eastAsia="宋体" w:hint="default"/>
        </w:rPr>
        <w:t>8</w:t>
      </w:r>
      <w:r>
        <w:rPr/>
        <w:t>年，而娱</w:t>
      </w:r>
    </w:p>
    <w:p>
      <w:pPr>
        <w:pStyle w:val="BodyText"/>
        <w:spacing w:line="224" w:lineRule="exact"/>
        <w:ind w:right="889"/>
        <w:jc w:val="left"/>
      </w:pPr>
      <w:r>
        <w:rPr/>
        <w:t>乐场所、商务用房的装饰周期还会更短，其他建筑一般</w:t>
      </w:r>
      <w:r>
        <w:rPr>
          <w:rFonts w:ascii="宋体" w:hAnsi="宋体" w:cs="宋体" w:eastAsia="宋体" w:hint="default"/>
        </w:rPr>
        <w:t>10</w:t>
      </w:r>
      <w:r>
        <w:rPr/>
        <w:t>年更新一次；市场增量转化为存量的扩容，存量市场的定期装饰装</w:t>
      </w:r>
    </w:p>
    <w:p>
      <w:pPr>
        <w:spacing w:line="357" w:lineRule="auto" w:before="77"/>
        <w:ind w:left="574" w:right="1032" w:hanging="420"/>
        <w:jc w:val="left"/>
        <w:rPr>
          <w:rFonts w:ascii="宋体" w:hAnsi="宋体" w:cs="宋体" w:eastAsia="宋体" w:hint="default"/>
          <w:sz w:val="18"/>
          <w:szCs w:val="18"/>
        </w:rPr>
      </w:pPr>
      <w:r>
        <w:rPr>
          <w:rFonts w:ascii="宋体" w:hAnsi="宋体" w:cs="宋体" w:eastAsia="宋体" w:hint="default"/>
          <w:sz w:val="18"/>
          <w:szCs w:val="18"/>
        </w:rPr>
        <w:t>修，加之客户标准不断提高产生的装饰需求，这些都为资质种类齐全、追求高品质的大型装饰企业提供了广阔的市场空间。 </w:t>
      </w:r>
      <w:r>
        <w:rPr>
          <w:rFonts w:ascii="宋体" w:hAnsi="宋体" w:cs="宋体" w:eastAsia="宋体" w:hint="default"/>
          <w:b/>
          <w:bCs/>
          <w:sz w:val="18"/>
          <w:szCs w:val="18"/>
        </w:rPr>
        <w:t>4</w:t>
      </w:r>
      <w:r>
        <w:rPr>
          <w:rFonts w:ascii="宋体" w:hAnsi="宋体" w:cs="宋体" w:eastAsia="宋体" w:hint="default"/>
          <w:b/>
          <w:bCs/>
          <w:sz w:val="18"/>
          <w:szCs w:val="18"/>
        </w:rPr>
        <w:t>、国家政策方向和市场认可度提升共同推动住宅精装修业务发展</w:t>
      </w:r>
      <w:r>
        <w:rPr>
          <w:rFonts w:ascii="宋体" w:hAnsi="宋体" w:cs="宋体" w:eastAsia="宋体" w:hint="default"/>
          <w:b/>
          <w:bCs/>
          <w:w w:val="99"/>
          <w:sz w:val="18"/>
          <w:szCs w:val="18"/>
        </w:rPr>
        <w:t> </w:t>
      </w:r>
      <w:r>
        <w:rPr>
          <w:rFonts w:ascii="宋体" w:hAnsi="宋体" w:cs="宋体" w:eastAsia="宋体" w:hint="default"/>
          <w:sz w:val="18"/>
          <w:szCs w:val="18"/>
        </w:rPr>
        <w:t>住宅精装修具有节能、环保的显著特点，国家政策层面一直鼓励支持住宅精装修行业发展。</w:t>
      </w:r>
      <w:r>
        <w:rPr>
          <w:rFonts w:ascii="宋体" w:hAnsi="宋体" w:cs="宋体" w:eastAsia="宋体" w:hint="default"/>
          <w:sz w:val="18"/>
          <w:szCs w:val="18"/>
        </w:rPr>
        <w:t>1999</w:t>
      </w:r>
      <w:r>
        <w:rPr>
          <w:rFonts w:ascii="宋体" w:hAnsi="宋体" w:cs="宋体" w:eastAsia="宋体" w:hint="default"/>
          <w:sz w:val="18"/>
          <w:szCs w:val="18"/>
        </w:rPr>
        <w:t>年，国务院办公厅下</w:t>
      </w:r>
    </w:p>
    <w:p>
      <w:pPr>
        <w:pStyle w:val="BodyText"/>
        <w:spacing w:line="224" w:lineRule="exact"/>
        <w:ind w:right="889"/>
        <w:jc w:val="left"/>
      </w:pPr>
      <w:r>
        <w:rPr/>
        <w:t>发《关于推进住宅产业现代化提高住宅质量若干意见的通知》，提出要加强对住宅装修的管理，积极推广一次性装修或菜单</w:t>
      </w:r>
    </w:p>
    <w:p>
      <w:pPr>
        <w:pStyle w:val="BodyText"/>
        <w:spacing w:line="319" w:lineRule="auto" w:before="76"/>
        <w:ind w:right="1130"/>
        <w:jc w:val="both"/>
      </w:pPr>
      <w:r>
        <w:rPr>
          <w:spacing w:val="-2"/>
        </w:rPr>
        <w:t>式装修模式，避免二次装修造成的破坏结构、浪费和扰民等现象。</w:t>
      </w:r>
      <w:r>
        <w:rPr>
          <w:rFonts w:ascii="宋体" w:hAnsi="宋体" w:cs="宋体" w:eastAsia="宋体" w:hint="default"/>
          <w:spacing w:val="-2"/>
        </w:rPr>
        <w:t>2002</w:t>
      </w:r>
      <w:r>
        <w:rPr>
          <w:spacing w:val="-2"/>
        </w:rPr>
        <w:t>年，《住宅室内装饰装修管理办法》颁布实施，规范</w:t>
      </w:r>
      <w:r>
        <w:rPr>
          <w:spacing w:val="-65"/>
        </w:rPr>
        <w:t> </w:t>
      </w:r>
      <w:r>
        <w:rPr>
          <w:spacing w:val="-65"/>
        </w:rPr>
      </w:r>
      <w:r>
        <w:rPr>
          <w:spacing w:val="-2"/>
        </w:rPr>
        <w:t>和推动了住宅装饰装修行业的发展，提出住宅设计从粗放型向集约型转变，向精细化发展，提倡住宅装修的一体化设计和菜</w:t>
      </w:r>
      <w:r>
        <w:rPr>
          <w:spacing w:val="-66"/>
        </w:rPr>
        <w:t> </w:t>
      </w:r>
      <w:r>
        <w:rPr>
          <w:spacing w:val="-66"/>
        </w:rPr>
      </w:r>
      <w:r>
        <w:rPr>
          <w:spacing w:val="-2"/>
        </w:rPr>
        <w:t>单式服务。</w:t>
      </w:r>
      <w:r>
        <w:rPr>
          <w:rFonts w:ascii="宋体" w:hAnsi="宋体" w:cs="宋体" w:eastAsia="宋体" w:hint="default"/>
          <w:spacing w:val="-2"/>
        </w:rPr>
        <w:t>2008</w:t>
      </w:r>
      <w:r>
        <w:rPr>
          <w:spacing w:val="-2"/>
        </w:rPr>
        <w:t>年，住房和城乡建设部发布《关于进一步加强住宅装饰装修管理的通知》，提出制定出台相关扶持政策，引</w:t>
      </w:r>
      <w:r>
        <w:rPr>
          <w:spacing w:val="-63"/>
        </w:rPr>
        <w:t> </w:t>
      </w:r>
      <w:r>
        <w:rPr>
          <w:spacing w:val="-63"/>
        </w:rPr>
      </w:r>
      <w:r>
        <w:rPr>
          <w:spacing w:val="-2"/>
        </w:rPr>
        <w:t>导和鼓励新建商品住宅一次装修到位或菜单式装修模式。要根据本地实际，科学规划，分步实施，逐步达到取消毛坯房，直</w:t>
      </w:r>
      <w:r>
        <w:rPr>
          <w:spacing w:val="-66"/>
        </w:rPr>
        <w:t> </w:t>
      </w:r>
      <w:r>
        <w:rPr>
          <w:spacing w:val="-66"/>
        </w:rPr>
      </w:r>
      <w:r>
        <w:rPr/>
        <w:t>接向消费者提供精装修成品房的目标。</w:t>
      </w:r>
    </w:p>
    <w:p>
      <w:pPr>
        <w:pStyle w:val="BodyText"/>
        <w:spacing w:line="319" w:lineRule="auto" w:before="55"/>
        <w:ind w:right="1028" w:firstLine="420"/>
        <w:jc w:val="left"/>
      </w:pPr>
      <w:r>
        <w:rPr>
          <w:rFonts w:ascii="宋体" w:hAnsi="宋体" w:cs="宋体" w:eastAsia="宋体" w:hint="default"/>
          <w:spacing w:val="-1"/>
        </w:rPr>
        <w:t>2013</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日，国务院办公厅转发了发展改革委和住房城乡建设部的《绿色建筑行动方案》，提出要推动建筑工业化，</w:t>
      </w:r>
      <w:r>
        <w:rPr/>
        <w:t> </w:t>
      </w:r>
      <w:r>
        <w:rPr>
          <w:spacing w:val="-2"/>
        </w:rPr>
        <w:t>积极推行住宅全装修，鼓励新住宅一次装修到位或菜单式装修，促进个性化装修和产业化装修相统一。</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6</w:t>
      </w:r>
      <w:r>
        <w:rPr>
          <w:spacing w:val="-2"/>
        </w:rPr>
        <w:t>日国务院</w:t>
      </w:r>
      <w:r>
        <w:rPr>
          <w:spacing w:val="-59"/>
        </w:rPr>
        <w:t> </w:t>
      </w:r>
      <w:r>
        <w:rPr/>
        <w:t>发布的《关于进一步加强城市规划建设管理工作的若干意见》提出装配式住宅要在未来</w:t>
      </w:r>
      <w:r>
        <w:rPr>
          <w:rFonts w:ascii="宋体" w:hAnsi="宋体" w:cs="宋体" w:eastAsia="宋体" w:hint="default"/>
        </w:rPr>
        <w:t>10</w:t>
      </w:r>
      <w:r>
        <w:rPr/>
        <w:t>年左右占比达到</w:t>
      </w:r>
      <w:r>
        <w:rPr>
          <w:rFonts w:ascii="宋体" w:hAnsi="宋体" w:cs="宋体" w:eastAsia="宋体" w:hint="default"/>
        </w:rPr>
        <w:t>30%</w:t>
      </w:r>
      <w:r>
        <w:rPr/>
        <w:t>，要求以京津 冀、长三角、珠三角城市群和常住人口超过</w:t>
      </w:r>
      <w:r>
        <w:rPr>
          <w:rFonts w:ascii="宋体" w:hAnsi="宋体" w:cs="宋体" w:eastAsia="宋体" w:hint="default"/>
        </w:rPr>
        <w:t>300</w:t>
      </w:r>
      <w:r>
        <w:rPr/>
        <w:t>万的其他城市为重点，加快提高装配式建筑占新建建筑面积的比例。近期， 上海、浙江、海南等地纷纷出台相关文件进一步落实国务院的若干意见，推进住宅全装修。</w:t>
      </w:r>
    </w:p>
    <w:p>
      <w:pPr>
        <w:pStyle w:val="BodyText"/>
        <w:spacing w:line="319" w:lineRule="auto" w:before="56"/>
        <w:ind w:right="1133" w:firstLine="420"/>
        <w:jc w:val="both"/>
      </w:pPr>
      <w:r>
        <w:rPr/>
        <w:t>我国住宅精装修行业起步较晚，发展历程尚短，消费者对于精装修住宅的认识程度参差不齐。但随着国家住宅精装修 </w:t>
      </w:r>
      <w:r>
        <w:rPr>
          <w:spacing w:val="-2"/>
        </w:rPr>
        <w:t>政策的不断推进，以及精装修对商品房销售存在的附加值影响，目前国内主流房地产开发商均大力发展精装修住宅，重点城</w:t>
      </w:r>
      <w:r>
        <w:rPr>
          <w:spacing w:val="-66"/>
        </w:rPr>
        <w:t> </w:t>
      </w:r>
      <w:r>
        <w:rPr>
          <w:spacing w:val="-66"/>
        </w:rPr>
      </w:r>
      <w:r>
        <w:rPr/>
        <w:t>市的新楼盘中精装修比例逐步提高，消费者对于精装修房的接受程度逐步提高。</w:t>
      </w:r>
    </w:p>
    <w:p>
      <w:pPr>
        <w:spacing w:line="357" w:lineRule="auto" w:before="56"/>
        <w:ind w:left="573" w:right="889" w:firstLine="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、国家大力发展特色小镇和</w:t>
      </w:r>
      <w:r>
        <w:rPr>
          <w:rFonts w:ascii="宋体" w:hAnsi="宋体" w:cs="宋体" w:eastAsia="宋体" w:hint="default"/>
          <w:b/>
          <w:bCs/>
          <w:sz w:val="18"/>
          <w:szCs w:val="18"/>
        </w:rPr>
        <w:t>PPP</w:t>
      </w:r>
      <w:r>
        <w:rPr>
          <w:rFonts w:ascii="宋体" w:hAnsi="宋体" w:cs="宋体" w:eastAsia="宋体" w:hint="default"/>
          <w:b/>
          <w:bCs/>
          <w:sz w:val="18"/>
          <w:szCs w:val="18"/>
        </w:rPr>
        <w:t>项目建设，带来新的行业需求</w:t>
      </w:r>
      <w:r>
        <w:rPr>
          <w:rFonts w:ascii="宋体" w:hAnsi="宋体" w:cs="宋体" w:eastAsia="宋体" w:hint="default"/>
          <w:b/>
          <w:bCs/>
          <w:w w:val="99"/>
          <w:sz w:val="18"/>
          <w:szCs w:val="18"/>
        </w:rPr>
        <w:t> </w:t>
      </w:r>
      <w:r>
        <w:rPr>
          <w:rFonts w:ascii="宋体" w:hAnsi="宋体" w:cs="宋体" w:eastAsia="宋体" w:hint="default"/>
          <w:spacing w:val="-2"/>
          <w:sz w:val="18"/>
          <w:szCs w:val="18"/>
        </w:rPr>
        <w:t>一般来说，旅游产业具有三大动力效应</w:t>
      </w:r>
      <w:r>
        <w:rPr>
          <w:rFonts w:ascii="宋体" w:hAnsi="宋体" w:cs="宋体" w:eastAsia="宋体" w:hint="default"/>
          <w:spacing w:val="-2"/>
          <w:sz w:val="18"/>
          <w:szCs w:val="18"/>
        </w:rPr>
        <w:t>:</w:t>
      </w:r>
      <w:r>
        <w:rPr>
          <w:rFonts w:ascii="宋体" w:hAnsi="宋体" w:cs="宋体" w:eastAsia="宋体" w:hint="default"/>
          <w:spacing w:val="-2"/>
          <w:sz w:val="18"/>
          <w:szCs w:val="18"/>
        </w:rPr>
        <w:t>直接消费动力、产业发展动力、城镇化动力。旅游产业的发展将会为地区带来</w:t>
      </w:r>
    </w:p>
    <w:p>
      <w:pPr>
        <w:pStyle w:val="BodyText"/>
        <w:spacing w:line="224" w:lineRule="exact"/>
        <w:ind w:right="889"/>
        <w:jc w:val="left"/>
      </w:pPr>
      <w:r>
        <w:rPr/>
        <w:t>价值提升效应、品牌效应、生态效应、幸福价值效应，是国家大力要发展的产业。根据《住房城乡建设部国家发展改革委财</w:t>
      </w:r>
    </w:p>
    <w:p>
      <w:pPr>
        <w:pStyle w:val="BodyText"/>
        <w:spacing w:line="316" w:lineRule="auto" w:before="76"/>
        <w:ind w:right="1033"/>
        <w:jc w:val="left"/>
      </w:pPr>
      <w:r>
        <w:rPr/>
        <w:t>政部关于开展特色小镇培育工作的通知》，到</w:t>
      </w:r>
      <w:r>
        <w:rPr>
          <w:rFonts w:ascii="宋体" w:hAnsi="宋体" w:cs="宋体" w:eastAsia="宋体" w:hint="default"/>
        </w:rPr>
        <w:t>2020</w:t>
      </w:r>
      <w:r>
        <w:rPr/>
        <w:t>年，我国将培育</w:t>
      </w:r>
      <w:r>
        <w:rPr>
          <w:rFonts w:ascii="宋体" w:hAnsi="宋体" w:cs="宋体" w:eastAsia="宋体" w:hint="default"/>
        </w:rPr>
        <w:t>1000</w:t>
      </w:r>
      <w:r>
        <w:rPr/>
        <w:t>个左右各具特色、富有活力的休闲旅游、商贸物流、 </w:t>
      </w:r>
      <w:r>
        <w:rPr>
          <w:spacing w:val="-2"/>
        </w:rPr>
        <w:t>现代制造、教育科技、传统文化、美丽宜居等特色小镇。由于特色小镇的初始投入规模较大，一般地方政府采用政策性银行</w:t>
      </w:r>
      <w:r>
        <w:rPr>
          <w:spacing w:val="-66"/>
        </w:rPr>
        <w:t> </w:t>
      </w:r>
      <w:r>
        <w:rPr>
          <w:spacing w:val="-66"/>
        </w:rPr>
      </w:r>
      <w:r>
        <w:rPr>
          <w:spacing w:val="-2"/>
        </w:rPr>
        <w:t>贷款、债券计划、信托计划、证券资管、</w:t>
      </w:r>
      <w:r>
        <w:rPr>
          <w:rFonts w:ascii="宋体" w:hAnsi="宋体" w:cs="宋体" w:eastAsia="宋体" w:hint="default"/>
          <w:spacing w:val="-2"/>
        </w:rPr>
        <w:t>PPP</w:t>
      </w:r>
      <w:r>
        <w:rPr>
          <w:spacing w:val="-2"/>
        </w:rPr>
        <w:t>融资等方式实施。尤其是特色小镇</w:t>
      </w:r>
      <w:r>
        <w:rPr>
          <w:rFonts w:ascii="宋体" w:hAnsi="宋体" w:cs="宋体" w:eastAsia="宋体" w:hint="default"/>
          <w:spacing w:val="-2"/>
        </w:rPr>
        <w:t>PPP</w:t>
      </w:r>
      <w:r>
        <w:rPr>
          <w:spacing w:val="-2"/>
        </w:rPr>
        <w:t>融资模式，由于其金融优越性和政府大力</w:t>
      </w:r>
      <w:r>
        <w:rPr>
          <w:spacing w:val="-61"/>
        </w:rPr>
        <w:t> </w:t>
      </w:r>
      <w:r>
        <w:rPr>
          <w:spacing w:val="-61"/>
        </w:rPr>
      </w:r>
      <w:r>
        <w:rPr/>
        <w:t>支持，在特色小镇开发过程中所占比例不断上升。随着特色小镇的兴起和</w:t>
      </w:r>
      <w:r>
        <w:rPr>
          <w:rFonts w:ascii="宋体" w:hAnsi="宋体" w:cs="宋体" w:eastAsia="宋体" w:hint="default"/>
        </w:rPr>
        <w:t>PPP</w:t>
      </w:r>
      <w:r>
        <w:rPr/>
        <w:t>项目建设的政策不断完善，将会给建筑装饰行</w:t>
      </w:r>
    </w:p>
    <w:p>
      <w:pPr>
        <w:spacing w:after="0" w:line="316"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573" w:right="6628" w:hanging="420"/>
        <w:jc w:val="left"/>
        <w:rPr>
          <w:rFonts w:ascii="宋体" w:hAnsi="宋体" w:cs="宋体" w:eastAsia="宋体" w:hint="default"/>
          <w:sz w:val="18"/>
          <w:szCs w:val="18"/>
        </w:rPr>
      </w:pPr>
      <w:r>
        <w:rPr>
          <w:rFonts w:ascii="宋体" w:hAnsi="宋体" w:cs="宋体" w:eastAsia="宋体" w:hint="default"/>
          <w:sz w:val="18"/>
          <w:szCs w:val="18"/>
        </w:rPr>
        <w:t>业带来新的行业需求和业务增量。 </w:t>
      </w:r>
      <w:r>
        <w:rPr>
          <w:rFonts w:ascii="宋体" w:hAnsi="宋体" w:cs="宋体" w:eastAsia="宋体" w:hint="default"/>
          <w:b/>
          <w:bCs/>
          <w:sz w:val="18"/>
          <w:szCs w:val="18"/>
        </w:rPr>
        <w:t>6</w:t>
      </w:r>
      <w:r>
        <w:rPr>
          <w:rFonts w:ascii="宋体" w:hAnsi="宋体" w:cs="宋体" w:eastAsia="宋体" w:hint="default"/>
          <w:b/>
          <w:bCs/>
          <w:sz w:val="18"/>
          <w:szCs w:val="18"/>
        </w:rPr>
        <w:t>、消费结构升级促进住宅装饰市场的快速发展</w:t>
      </w:r>
      <w:r>
        <w:rPr>
          <w:rFonts w:ascii="宋体" w:hAnsi="宋体" w:cs="宋体" w:eastAsia="宋体" w:hint="default"/>
          <w:sz w:val="18"/>
          <w:szCs w:val="18"/>
        </w:rPr>
      </w:r>
    </w:p>
    <w:p>
      <w:pPr>
        <w:pStyle w:val="BodyText"/>
        <w:spacing w:line="319" w:lineRule="auto" w:before="28"/>
        <w:ind w:right="1130" w:firstLine="420"/>
        <w:jc w:val="both"/>
      </w:pPr>
      <w:r>
        <w:rPr/>
        <w:t>国家人均收入水平的逐年提高带动消费结构的升级，人们对居住环境的品质也提出了更高要求，高档次、个性化住宅 </w:t>
      </w:r>
      <w:r>
        <w:rPr>
          <w:spacing w:val="-2"/>
        </w:rPr>
        <w:t>装饰消费需求逐步扩大，配套服务的标准也在不断提升，住宅装饰需求由简单的满足基本居住属性向家居文化转移，由此不</w:t>
      </w:r>
      <w:r>
        <w:rPr>
          <w:spacing w:val="-66"/>
        </w:rPr>
        <w:t> </w:t>
      </w:r>
      <w:r>
        <w:rPr>
          <w:spacing w:val="-66"/>
        </w:rPr>
      </w:r>
      <w:r>
        <w:rPr>
          <w:spacing w:val="-2"/>
        </w:rPr>
        <w:t>仅增加了建筑装饰的市场需求规模，而且对装饰的工艺、材料、质量、档次、精细化程度均提出了更高的要求，推动了装饰</w:t>
      </w:r>
      <w:r>
        <w:rPr>
          <w:spacing w:val="-67"/>
        </w:rPr>
        <w:t> </w:t>
      </w:r>
      <w:r>
        <w:rPr>
          <w:spacing w:val="-67"/>
        </w:rPr>
      </w:r>
      <w:r>
        <w:rPr/>
        <w:t>行业整体水平向更高层次发展。</w:t>
      </w:r>
    </w:p>
    <w:p>
      <w:pPr>
        <w:spacing w:line="357" w:lineRule="auto" w:before="56"/>
        <w:ind w:left="574" w:right="1152" w:firstLine="0"/>
        <w:jc w:val="left"/>
        <w:rPr>
          <w:rFonts w:ascii="宋体" w:hAnsi="宋体" w:cs="宋体" w:eastAsia="宋体" w:hint="default"/>
          <w:sz w:val="18"/>
          <w:szCs w:val="18"/>
        </w:rPr>
      </w:pPr>
      <w:r>
        <w:rPr>
          <w:rFonts w:ascii="宋体" w:hAnsi="宋体" w:cs="宋体" w:eastAsia="宋体" w:hint="default"/>
          <w:b/>
          <w:bCs/>
          <w:sz w:val="18"/>
          <w:szCs w:val="18"/>
        </w:rPr>
        <w:t>7</w:t>
      </w:r>
      <w:r>
        <w:rPr>
          <w:rFonts w:ascii="宋体" w:hAnsi="宋体" w:cs="宋体" w:eastAsia="宋体" w:hint="default"/>
          <w:b/>
          <w:bCs/>
          <w:sz w:val="18"/>
          <w:szCs w:val="18"/>
        </w:rPr>
        <w:t>、智慧装饰将成为建筑装饰行业的新方向</w:t>
      </w:r>
      <w:r>
        <w:rPr>
          <w:rFonts w:ascii="宋体" w:hAnsi="宋体" w:cs="宋体" w:eastAsia="宋体" w:hint="default"/>
          <w:b/>
          <w:bCs/>
          <w:w w:val="99"/>
          <w:sz w:val="18"/>
          <w:szCs w:val="18"/>
        </w:rPr>
        <w:t> </w:t>
      </w:r>
      <w:r>
        <w:rPr>
          <w:rFonts w:ascii="宋体" w:hAnsi="宋体" w:cs="宋体" w:eastAsia="宋体" w:hint="default"/>
          <w:sz w:val="18"/>
          <w:szCs w:val="18"/>
        </w:rPr>
        <w:t>智能生活理念将随着智能体验产品的普及而进入每个人的生活，智能家居将引爆智能装饰市场的巨大需求，为建筑装</w:t>
      </w:r>
    </w:p>
    <w:p>
      <w:pPr>
        <w:pStyle w:val="BodyText"/>
        <w:spacing w:line="224" w:lineRule="exact"/>
        <w:ind w:left="154" w:right="889"/>
        <w:jc w:val="left"/>
      </w:pPr>
      <w:r>
        <w:rPr/>
        <w:t>饰产业带来新的增长点。随着“互联网</w:t>
      </w:r>
      <w:r>
        <w:rPr>
          <w:rFonts w:ascii="宋体" w:hAnsi="宋体" w:cs="宋体" w:eastAsia="宋体" w:hint="default"/>
        </w:rPr>
        <w:t>+</w:t>
      </w:r>
      <w:r>
        <w:rPr/>
        <w:t>”的普及，互联网思维对社会传统思维模式、生活模式的冲击将不可避免，甚至将</w:t>
      </w:r>
    </w:p>
    <w:p>
      <w:pPr>
        <w:pStyle w:val="BodyText"/>
        <w:spacing w:line="240" w:lineRule="auto" w:before="77"/>
        <w:ind w:right="889"/>
        <w:jc w:val="left"/>
      </w:pPr>
      <w:r>
        <w:rPr/>
        <w:t>极大地影响装饰行业的传统盈利模式，能否帮助客户实现价值最大化将成为装饰企业持续发展的根本保障。</w:t>
      </w:r>
    </w:p>
    <w:p>
      <w:pPr>
        <w:pStyle w:val="Heading5"/>
        <w:spacing w:line="357" w:lineRule="auto" w:before="117"/>
        <w:ind w:right="8435"/>
        <w:jc w:val="left"/>
        <w:rPr>
          <w:b w:val="0"/>
          <w:bCs w:val="0"/>
        </w:rPr>
      </w:pPr>
      <w:r>
        <w:rPr/>
        <w:t>（四）行业竞争格局</w:t>
      </w:r>
      <w:r>
        <w:rPr>
          <w:w w:val="99"/>
        </w:rPr>
        <w:t> </w:t>
      </w:r>
      <w:r>
        <w:rPr>
          <w:rFonts w:ascii="宋体" w:hAnsi="宋体" w:cs="宋体" w:eastAsia="宋体" w:hint="default"/>
        </w:rPr>
        <w:t>1</w:t>
      </w:r>
      <w:r>
        <w:rPr/>
        <w:t>、“大行业、小公司”</w:t>
      </w:r>
      <w:r>
        <w:rPr>
          <w:b w:val="0"/>
          <w:bCs w:val="0"/>
        </w:rPr>
      </w:r>
    </w:p>
    <w:p>
      <w:pPr>
        <w:pStyle w:val="BodyText"/>
        <w:spacing w:line="319" w:lineRule="auto" w:before="26"/>
        <w:ind w:right="1129" w:firstLine="420"/>
        <w:jc w:val="both"/>
      </w:pPr>
      <w:r>
        <w:rPr>
          <w:spacing w:val="-3"/>
        </w:rPr>
        <w:t>建筑装饰行业市场空间广阔，行业内企业数量众多，市场竞争激烈，行业集中度偏低。</w:t>
      </w:r>
      <w:r>
        <w:rPr>
          <w:rFonts w:ascii="宋体" w:hAnsi="宋体" w:cs="宋体" w:eastAsia="宋体" w:hint="default"/>
          <w:spacing w:val="-3"/>
        </w:rPr>
        <w:t>2016</w:t>
      </w:r>
      <w:r>
        <w:rPr>
          <w:spacing w:val="-3"/>
        </w:rPr>
        <w:t>年全行业企业数量约为</w:t>
      </w:r>
      <w:r>
        <w:rPr>
          <w:rFonts w:ascii="宋体" w:hAnsi="宋体" w:cs="宋体" w:eastAsia="宋体" w:hint="default"/>
          <w:spacing w:val="-3"/>
        </w:rPr>
        <w:t>13.2</w:t>
      </w:r>
      <w:r>
        <w:rPr>
          <w:rFonts w:ascii="宋体" w:hAnsi="宋体" w:cs="宋体" w:eastAsia="宋体" w:hint="default"/>
        </w:rPr>
        <w:t> </w:t>
      </w:r>
      <w:r>
        <w:rPr>
          <w:spacing w:val="-2"/>
        </w:rPr>
        <w:t>万家，其中上市企业、百强企业、一级资质企业数量约为</w:t>
      </w:r>
      <w:r>
        <w:rPr>
          <w:rFonts w:ascii="宋体" w:hAnsi="宋体" w:cs="宋体" w:eastAsia="宋体" w:hint="default"/>
          <w:spacing w:val="-2"/>
        </w:rPr>
        <w:t>3300</w:t>
      </w:r>
      <w:r>
        <w:rPr>
          <w:spacing w:val="-2"/>
        </w:rPr>
        <w:t>家，非一级资质企业、有执照无资质的企业约为</w:t>
      </w:r>
      <w:r>
        <w:rPr>
          <w:rFonts w:ascii="宋体" w:hAnsi="宋体" w:cs="宋体" w:eastAsia="宋体" w:hint="default"/>
          <w:spacing w:val="-2"/>
        </w:rPr>
        <w:t>13</w:t>
      </w:r>
      <w:r>
        <w:rPr>
          <w:spacing w:val="-2"/>
        </w:rPr>
        <w:t>万家，中小</w:t>
      </w:r>
      <w:r>
        <w:rPr>
          <w:spacing w:val="-62"/>
        </w:rPr>
        <w:t> </w:t>
      </w:r>
      <w:r>
        <w:rPr>
          <w:spacing w:val="-62"/>
        </w:rPr>
      </w:r>
      <w:r>
        <w:rPr/>
        <w:t>企业数量比重较高。</w:t>
      </w:r>
    </w:p>
    <w:p>
      <w:pPr>
        <w:spacing w:line="357" w:lineRule="auto" w:before="58"/>
        <w:ind w:left="573" w:right="1153"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、具备跨区域经营能力企业不多，以区域性市场竞争为主</w:t>
      </w:r>
      <w:r>
        <w:rPr>
          <w:rFonts w:ascii="宋体" w:hAnsi="宋体" w:cs="宋体" w:eastAsia="宋体" w:hint="default"/>
          <w:b/>
          <w:bCs/>
          <w:w w:val="99"/>
          <w:sz w:val="18"/>
          <w:szCs w:val="18"/>
        </w:rPr>
        <w:t> </w:t>
      </w:r>
      <w:r>
        <w:rPr>
          <w:rFonts w:ascii="宋体" w:hAnsi="宋体" w:cs="宋体" w:eastAsia="宋体" w:hint="default"/>
          <w:sz w:val="18"/>
          <w:szCs w:val="18"/>
        </w:rPr>
        <w:t>受各地区经济发展不平衡、风俗习惯和审美标准差异以及劳务工人和原材料供应限制等因素的制约，建筑装饰行业呈</w:t>
      </w:r>
    </w:p>
    <w:p>
      <w:pPr>
        <w:pStyle w:val="BodyText"/>
        <w:spacing w:line="224" w:lineRule="exact"/>
        <w:ind w:right="889"/>
        <w:jc w:val="left"/>
      </w:pPr>
      <w:r>
        <w:rPr/>
        <w:t>现较强的区域性特征</w:t>
      </w:r>
      <w:r>
        <w:rPr>
          <w:spacing w:val="-87"/>
        </w:rPr>
        <w:t>，</w:t>
      </w:r>
      <w:r>
        <w:rPr/>
        <w:t>大多数建筑装饰企业经营区域局限在所在省份或所在城市</w:t>
      </w:r>
      <w:r>
        <w:rPr>
          <w:spacing w:val="-87"/>
        </w:rPr>
        <w:t>，</w:t>
      </w:r>
      <w:r>
        <w:rPr/>
        <w:t>具备跨区域经营建筑装饰业务的企业不多，</w:t>
      </w:r>
    </w:p>
    <w:p>
      <w:pPr>
        <w:spacing w:line="357" w:lineRule="auto" w:before="77"/>
        <w:ind w:left="573" w:right="6793" w:hanging="420"/>
        <w:jc w:val="left"/>
        <w:rPr>
          <w:rFonts w:ascii="宋体" w:hAnsi="宋体" w:cs="宋体" w:eastAsia="宋体" w:hint="default"/>
          <w:sz w:val="18"/>
          <w:szCs w:val="18"/>
        </w:rPr>
      </w:pPr>
      <w:r>
        <w:rPr>
          <w:rFonts w:ascii="宋体" w:hAnsi="宋体" w:cs="宋体" w:eastAsia="宋体" w:hint="default"/>
          <w:sz w:val="18"/>
          <w:szCs w:val="18"/>
        </w:rPr>
        <w:t>目前我国建筑装饰行业竞争仍以区域性竞争为主。 </w:t>
      </w:r>
      <w:r>
        <w:rPr>
          <w:rFonts w:ascii="宋体" w:hAnsi="宋体" w:cs="宋体" w:eastAsia="宋体" w:hint="default"/>
          <w:b/>
          <w:bCs/>
          <w:sz w:val="18"/>
          <w:szCs w:val="18"/>
        </w:rPr>
        <w:t>3</w:t>
      </w:r>
      <w:r>
        <w:rPr>
          <w:rFonts w:ascii="宋体" w:hAnsi="宋体" w:cs="宋体" w:eastAsia="宋体" w:hint="default"/>
          <w:b/>
          <w:bCs/>
          <w:sz w:val="18"/>
          <w:szCs w:val="18"/>
        </w:rPr>
        <w:t>、行业集中度不断提高</w:t>
      </w:r>
      <w:r>
        <w:rPr>
          <w:rFonts w:ascii="宋体" w:hAnsi="宋体" w:cs="宋体" w:eastAsia="宋体" w:hint="default"/>
          <w:sz w:val="18"/>
          <w:szCs w:val="18"/>
        </w:rPr>
      </w:r>
    </w:p>
    <w:p>
      <w:pPr>
        <w:pStyle w:val="BodyText"/>
        <w:spacing w:line="319" w:lineRule="auto" w:before="28"/>
        <w:ind w:right="1130" w:firstLine="420"/>
        <w:jc w:val="both"/>
      </w:pPr>
      <w:r>
        <w:rPr/>
        <w:t>近几年，我国建筑装饰市场日益成熟，品牌、资金实力、人才资源、管理水平在工程资源分配中的作用越来越明显。 </w:t>
      </w:r>
      <w:r>
        <w:rPr>
          <w:spacing w:val="-2"/>
        </w:rPr>
        <w:t>知名度高、资金实力强、人才资源丰富、管理水平高的企业，其发展速度远高于行业的平均水平，市场份额逐年提升。中国</w:t>
      </w:r>
      <w:r>
        <w:rPr>
          <w:spacing w:val="-68"/>
        </w:rPr>
        <w:t> </w:t>
      </w:r>
      <w:r>
        <w:rPr>
          <w:spacing w:val="-68"/>
        </w:rPr>
      </w:r>
      <w:r>
        <w:rPr>
          <w:spacing w:val="-2"/>
        </w:rPr>
        <w:t>建筑装饰行业协会发布的《</w:t>
      </w:r>
      <w:r>
        <w:rPr>
          <w:rFonts w:ascii="宋体" w:hAnsi="宋体" w:cs="宋体" w:eastAsia="宋体" w:hint="default"/>
          <w:spacing w:val="-2"/>
        </w:rPr>
        <w:t>2015</w:t>
      </w:r>
      <w:r>
        <w:rPr>
          <w:spacing w:val="-2"/>
        </w:rPr>
        <w:t>年中国建筑装饰行业发展报告》显示：</w:t>
      </w:r>
      <w:r>
        <w:rPr>
          <w:rFonts w:ascii="宋体" w:hAnsi="宋体" w:cs="宋体" w:eastAsia="宋体" w:hint="default"/>
          <w:spacing w:val="-2"/>
        </w:rPr>
        <w:t>2015</w:t>
      </w:r>
      <w:r>
        <w:rPr>
          <w:spacing w:val="-2"/>
        </w:rPr>
        <w:t>年，全行业企业总数约为</w:t>
      </w:r>
      <w:r>
        <w:rPr>
          <w:rFonts w:ascii="宋体" w:hAnsi="宋体" w:cs="宋体" w:eastAsia="宋体" w:hint="default"/>
          <w:spacing w:val="-2"/>
        </w:rPr>
        <w:t>13.5</w:t>
      </w:r>
      <w:r>
        <w:rPr>
          <w:spacing w:val="-2"/>
        </w:rPr>
        <w:t>万家左右，比</w:t>
      </w:r>
      <w:r>
        <w:rPr>
          <w:rFonts w:ascii="宋体" w:hAnsi="宋体" w:cs="宋体" w:eastAsia="宋体" w:hint="default"/>
          <w:spacing w:val="-2"/>
        </w:rPr>
        <w:t>2014</w:t>
      </w:r>
      <w:r>
        <w:rPr>
          <w:rFonts w:ascii="宋体" w:hAnsi="宋体" w:cs="宋体" w:eastAsia="宋体" w:hint="default"/>
          <w:spacing w:val="-50"/>
        </w:rPr>
        <w:t> </w:t>
      </w:r>
      <w:r>
        <w:rPr/>
        <w:t>年减少了约</w:t>
      </w:r>
      <w:r>
        <w:rPr>
          <w:rFonts w:ascii="宋体" w:hAnsi="宋体" w:cs="宋体" w:eastAsia="宋体" w:hint="default"/>
        </w:rPr>
        <w:t>0.5</w:t>
      </w:r>
      <w:r>
        <w:rPr/>
        <w:t>万家，虽然中小企业数量比重依然较高，但是行业的集中度将逐步提高。</w:t>
      </w:r>
    </w:p>
    <w:p>
      <w:pPr>
        <w:pStyle w:val="BodyText"/>
        <w:spacing w:line="357" w:lineRule="auto" w:before="56"/>
        <w:ind w:left="573" w:right="1153"/>
        <w:jc w:val="left"/>
      </w:pPr>
      <w:r>
        <w:rPr>
          <w:rFonts w:ascii="宋体" w:hAnsi="宋体" w:cs="宋体" w:eastAsia="宋体" w:hint="default"/>
          <w:b/>
          <w:bCs/>
        </w:rPr>
        <w:t>（五）公司的经营模式</w:t>
      </w:r>
      <w:r>
        <w:rPr>
          <w:rFonts w:ascii="宋体" w:hAnsi="宋体" w:cs="宋体" w:eastAsia="宋体" w:hint="default"/>
          <w:b/>
          <w:bCs/>
          <w:w w:val="99"/>
        </w:rPr>
        <w:t> </w:t>
      </w:r>
      <w:r>
        <w:rPr/>
        <w:t>公司在承接业务及管理方面，逐步形成“小总部、大区域”的模式，通过区域营销中心的建设，将营销功能进一步向</w:t>
      </w:r>
    </w:p>
    <w:p>
      <w:pPr>
        <w:pStyle w:val="BodyText"/>
        <w:spacing w:line="357" w:lineRule="auto"/>
        <w:ind w:left="573" w:right="1153" w:hanging="420"/>
        <w:jc w:val="left"/>
      </w:pPr>
      <w:r>
        <w:rPr/>
        <w:t>一线延伸，同时总部的工程管控职能也适度地下放至区域，为项目部的工程施工、管控提供强大的支持。 公司所承接工程均采用自主组织施工、劳务分包用工的经营模式。对施工材料、施工过程、工程资料等与产品实现相</w:t>
      </w:r>
    </w:p>
    <w:p>
      <w:pPr>
        <w:pStyle w:val="BodyText"/>
        <w:spacing w:line="224" w:lineRule="exact"/>
        <w:ind w:right="889"/>
        <w:jc w:val="left"/>
      </w:pPr>
      <w:r>
        <w:rPr/>
        <w:t>关的关键环节加以控制。公司根据自主组织施工、劳务分包用工的经营模式，针对质量控制采取的主要措施包括质量目标管</w:t>
      </w:r>
    </w:p>
    <w:p>
      <w:pPr>
        <w:pStyle w:val="BodyText"/>
        <w:spacing w:line="319" w:lineRule="auto" w:before="76"/>
        <w:ind w:right="1130"/>
        <w:jc w:val="both"/>
      </w:pPr>
      <w:r>
        <w:rPr>
          <w:spacing w:val="-2"/>
        </w:rPr>
        <w:t>理、施工材料管理、施工过程管理、工程资料管理、保修回访管理等环节，并对各个环节进行细分，与公司合作的劳务分包</w:t>
      </w:r>
      <w:r>
        <w:rPr>
          <w:spacing w:val="-68"/>
        </w:rPr>
        <w:t> </w:t>
      </w:r>
      <w:r>
        <w:rPr>
          <w:spacing w:val="-68"/>
        </w:rPr>
      </w:r>
      <w:r>
        <w:rPr>
          <w:spacing w:val="-2"/>
        </w:rPr>
        <w:t>商具备相应的业务资质，公司与分包商关于工程质量和安全生产的责任分担与追偿有明确的合同约定，符合有关法律法规的</w:t>
      </w:r>
      <w:r>
        <w:rPr>
          <w:spacing w:val="-63"/>
        </w:rPr>
        <w:t> </w:t>
      </w:r>
      <w:r>
        <w:rPr>
          <w:spacing w:val="-63"/>
        </w:rPr>
      </w:r>
      <w:r>
        <w:rPr/>
        <w:t>规定。</w:t>
      </w:r>
    </w:p>
    <w:p>
      <w:pPr>
        <w:pStyle w:val="BodyText"/>
        <w:spacing w:line="319" w:lineRule="auto" w:before="55"/>
        <w:ind w:right="1033" w:firstLine="420"/>
        <w:jc w:val="left"/>
      </w:pPr>
      <w:r>
        <w:rPr/>
        <w:t>公司非常重视工程质量，严格执行国际质量管理标准并已通过</w:t>
      </w:r>
      <w:r>
        <w:rPr>
          <w:rFonts w:ascii="宋体" w:hAnsi="宋体" w:cs="宋体" w:eastAsia="宋体" w:hint="default"/>
        </w:rPr>
        <w:t>ISO9001</w:t>
      </w:r>
      <w:r>
        <w:rPr/>
        <w:t>质量管理体系认证和</w:t>
      </w:r>
      <w:r>
        <w:rPr>
          <w:rFonts w:ascii="宋体" w:hAnsi="宋体" w:cs="宋体" w:eastAsia="宋体" w:hint="default"/>
        </w:rPr>
        <w:t>GB/T50430</w:t>
      </w:r>
      <w:r>
        <w:rPr/>
        <w:t>质量管理体系认 </w:t>
      </w:r>
      <w:r>
        <w:rPr>
          <w:spacing w:val="-2"/>
        </w:rPr>
        <w:t>证。为了确保施工质量符合国家规范要求，公司建立了由总经理、分管副总经理、质量安全部和项目经理组成的质量安全架</w:t>
      </w:r>
      <w:r>
        <w:rPr>
          <w:spacing w:val="-66"/>
        </w:rPr>
        <w:t> </w:t>
      </w:r>
      <w:r>
        <w:rPr>
          <w:spacing w:val="-66"/>
        </w:rPr>
      </w:r>
      <w:r>
        <w:rPr/>
        <w:t>构，设专人负责施工现场的质量检查、监督、验收、考核工作，并做好记录。公司质量控制活动贯穿于施工质量管理策划、 施工组织设计、施工准备、施工实施、竣工验收和保修服务等环节，形成了全过程、全流程的管理控制体系。</w:t>
      </w:r>
    </w:p>
    <w:p>
      <w:pPr>
        <w:pStyle w:val="BodyText"/>
        <w:spacing w:line="240" w:lineRule="auto" w:before="56"/>
        <w:ind w:left="573" w:right="889"/>
        <w:jc w:val="left"/>
      </w:pPr>
      <w:r>
        <w:rPr/>
        <w:t>报告期内，公司未出现重大项目质量问题。</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89"/>
        <w:jc w:val="left"/>
        <w:rPr>
          <w:b w:val="0"/>
          <w:bCs w:val="0"/>
        </w:rPr>
      </w:pPr>
      <w:bookmarkStart w:name="3、主要会计数据和财务指标" w:id="343"/>
      <w:bookmarkEnd w:id="343"/>
      <w:r>
        <w:rPr>
          <w:b w:val="0"/>
          <w:bCs w:val="0"/>
        </w:rPr>
      </w:r>
      <w:r>
        <w:rPr>
          <w:rFonts w:ascii="Times New Roman" w:hAnsi="Times New Roman" w:cs="Times New Roman" w:eastAsia="Times New Roman" w:hint="default"/>
        </w:rPr>
        <w:t>3</w:t>
      </w:r>
      <w:r>
        <w:rPr/>
        <w:t>、主要会计数据和财务指标</w:t>
      </w:r>
      <w:r>
        <w:rPr>
          <w:b w:val="0"/>
          <w:bCs w:val="0"/>
        </w:rPr>
      </w:r>
    </w:p>
    <w:p>
      <w:pPr>
        <w:spacing w:line="240" w:lineRule="auto" w:before="10"/>
        <w:rPr>
          <w:rFonts w:ascii="宋体" w:hAnsi="宋体" w:cs="宋体" w:eastAsia="宋体" w:hint="default"/>
          <w:b/>
          <w:bCs/>
          <w:sz w:val="24"/>
          <w:szCs w:val="24"/>
        </w:rPr>
      </w:pPr>
    </w:p>
    <w:p>
      <w:pPr>
        <w:spacing w:before="0"/>
        <w:ind w:left="153" w:right="889" w:firstLine="0"/>
        <w:jc w:val="left"/>
        <w:rPr>
          <w:rFonts w:ascii="宋体" w:hAnsi="宋体" w:cs="宋体" w:eastAsia="宋体" w:hint="default"/>
          <w:sz w:val="21"/>
          <w:szCs w:val="21"/>
        </w:rPr>
      </w:pPr>
      <w:bookmarkStart w:name="（1）近三年主要会计数据和财务指标" w:id="344"/>
      <w:bookmarkEnd w:id="3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）近三年主要会计数据和财务指标</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公司是否需追溯调整或重述以前年度会计数据</w:t>
      </w:r>
    </w:p>
    <w:p>
      <w:pPr>
        <w:pStyle w:val="BodyText"/>
        <w:spacing w:line="240" w:lineRule="auto" w:before="116"/>
        <w:ind w:right="-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单位：人民币元</w:t>
      </w:r>
    </w:p>
    <w:p>
      <w:pPr>
        <w:spacing w:after="0" w:line="240" w:lineRule="auto"/>
        <w:jc w:val="left"/>
        <w:sectPr>
          <w:type w:val="continuous"/>
          <w:pgSz w:w="11910" w:h="16840"/>
          <w:pgMar w:top="1060" w:bottom="1160" w:left="980" w:right="0"/>
          <w:cols w:num="2" w:equalWidth="0">
            <w:col w:w="3755" w:space="4625"/>
            <w:col w:w="255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3,172,996,288.26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2,691,714,149.77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2,598,806,004.07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160,749,979.46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156,183,203.24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153,811,235.88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159,769,782.44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156,875,746.52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143,744,269.58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-178,298,572.42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-111,879,567.68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23,027,526.17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4,129,952,298.48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3,367,565,949.14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2,295,753,017.66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2,035,391,961.74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1,934,606,136.37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1,097,560,513.85</w:t>
            </w:r>
          </w:p>
        </w:tc>
      </w:tr>
    </w:tbl>
    <w:p>
      <w:pPr>
        <w:pStyle w:val="BodyText"/>
        <w:spacing w:line="240" w:lineRule="auto" w:before="51"/>
        <w:ind w:left="154" w:right="889"/>
        <w:jc w:val="left"/>
      </w:pPr>
      <w:r>
        <w:rPr/>
        <w:t>追溯调整或重述原因</w:t>
      </w:r>
    </w:p>
    <w:p>
      <w:pPr>
        <w:pStyle w:val="BodyText"/>
        <w:spacing w:line="240" w:lineRule="auto" w:before="117"/>
        <w:ind w:left="0" w:right="1130"/>
        <w:jc w:val="right"/>
      </w:pPr>
      <w:r>
        <w:rPr/>
        <w:t>单位：人民币元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37"/>
        <w:gridCol w:w="1212"/>
        <w:gridCol w:w="1202"/>
        <w:gridCol w:w="1200"/>
        <w:gridCol w:w="1202"/>
        <w:gridCol w:w="1202"/>
        <w:gridCol w:w="1202"/>
      </w:tblGrid>
      <w:tr>
        <w:trPr>
          <w:trHeight w:val="162" w:hRule="exact"/>
        </w:trPr>
        <w:tc>
          <w:tcPr>
            <w:tcW w:w="2337"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506" w:right="53"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0" w:hRule="exact"/>
        </w:trPr>
        <w:tc>
          <w:tcPr>
            <w:tcW w:w="2337"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337"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337"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2" w:hRule="exact"/>
        </w:trPr>
        <w:tc>
          <w:tcPr>
            <w:tcW w:w="2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2"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3,172,996,288.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1202" w:type="dxa"/>
            <w:vMerge w:val="restart"/>
            <w:tcBorders>
              <w:top w:val="single" w:sz="4" w:space="0" w:color="000000"/>
              <w:left w:val="single" w:sz="4" w:space="0" w:color="000000"/>
              <w:right w:val="single" w:sz="4" w:space="0" w:color="000000"/>
            </w:tcBorders>
          </w:tcPr>
          <w:p>
            <w:pP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2,691,714,149.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17.88%</w:t>
            </w:r>
          </w:p>
        </w:tc>
        <w:tc>
          <w:tcPr>
            <w:tcW w:w="1202" w:type="dxa"/>
            <w:vMerge w:val="restart"/>
            <w:tcBorders>
              <w:top w:val="single" w:sz="4" w:space="0" w:color="000000"/>
              <w:left w:val="single" w:sz="4" w:space="0" w:color="000000"/>
              <w:right w:val="single" w:sz="4" w:space="0" w:color="000000"/>
            </w:tcBorders>
          </w:tcPr>
          <w:p>
            <w:pP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2,598,806,004.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r>
      <w:tr>
        <w:trPr>
          <w:trHeight w:val="391" w:hRule="exact"/>
        </w:trPr>
        <w:tc>
          <w:tcPr>
            <w:tcW w:w="23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12" w:type="dxa"/>
            <w:vMerge/>
            <w:tcBorders>
              <w:left w:val="single" w:sz="9"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vMerge/>
            <w:tcBorders>
              <w:left w:val="single" w:sz="9"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4"/>
              <w:jc w:val="left"/>
              <w:rPr>
                <w:rFonts w:ascii="宋体" w:hAnsi="宋体" w:cs="宋体" w:eastAsia="宋体" w:hint="default"/>
                <w:sz w:val="18"/>
                <w:szCs w:val="18"/>
              </w:rPr>
            </w:pPr>
            <w:r>
              <w:rPr>
                <w:rFonts w:ascii="宋体" w:hAnsi="宋体" w:cs="宋体" w:eastAsia="宋体" w:hint="default"/>
                <w:sz w:val="18"/>
                <w:szCs w:val="18"/>
              </w:rPr>
              <w:t>归属于上市公司股东的净利 润</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160,749,979.46</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156,183,203.24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153,811,235.88</w:t>
            </w:r>
          </w:p>
        </w:tc>
      </w:tr>
      <w:tr>
        <w:trPr>
          <w:trHeight w:val="714"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4"/>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159,769,782.44</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156,875,746.52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143,744,269.58</w:t>
            </w:r>
          </w:p>
        </w:tc>
      </w:tr>
      <w:tr>
        <w:trPr>
          <w:trHeight w:val="714"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4"/>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-178,298,572.4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-111,879,567.6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-59.37%</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23,027,526.17</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0.27</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-20.59%</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0.27</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-20.59%</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0.34</w:t>
            </w:r>
          </w:p>
        </w:tc>
      </w:tr>
      <w:tr>
        <w:trPr>
          <w:trHeight w:val="403"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8.12%</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-4.55%</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15.07%</w:t>
            </w:r>
          </w:p>
        </w:tc>
      </w:tr>
      <w:tr>
        <w:trPr>
          <w:trHeight w:val="161" w:hRule="exact"/>
        </w:trPr>
        <w:tc>
          <w:tcPr>
            <w:tcW w:w="2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6" w:right="53"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337" w:type="dxa"/>
            <w:tcBorders>
              <w:top w:val="nil" w:sz="6" w:space="0" w:color="auto"/>
              <w:left w:val="single" w:sz="4" w:space="0" w:color="000000"/>
              <w:bottom w:val="nil" w:sz="6" w:space="0" w:color="auto"/>
              <w:right w:val="single" w:sz="4" w:space="0" w:color="000000"/>
            </w:tcBorders>
            <w:shd w:val="clear" w:color="auto" w:fill="D2D2D2"/>
          </w:tcPr>
          <w:p>
            <w:pP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49"/>
        <w:gridCol w:w="1200"/>
        <w:gridCol w:w="1202"/>
        <w:gridCol w:w="1200"/>
        <w:gridCol w:w="1202"/>
        <w:gridCol w:w="1202"/>
        <w:gridCol w:w="1202"/>
      </w:tblGrid>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4,129,952,298.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c>
          <w:tcPr>
            <w:tcW w:w="1202" w:type="dxa"/>
            <w:vMerge w:val="restart"/>
            <w:tcBorders>
              <w:top w:val="single" w:sz="4" w:space="0" w:color="000000"/>
              <w:left w:val="single" w:sz="4" w:space="0" w:color="000000"/>
              <w:right w:val="single" w:sz="4" w:space="0" w:color="000000"/>
            </w:tcBorders>
          </w:tcPr>
          <w:p>
            <w:pP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3,367,565,949.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14</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22.64%</w:t>
            </w:r>
          </w:p>
        </w:tc>
        <w:tc>
          <w:tcPr>
            <w:tcW w:w="1202" w:type="dxa"/>
            <w:vMerge w:val="restart"/>
            <w:tcBorders>
              <w:top w:val="single" w:sz="4" w:space="0" w:color="000000"/>
              <w:left w:val="single" w:sz="4" w:space="0" w:color="000000"/>
              <w:right w:val="single" w:sz="4" w:space="0" w:color="000000"/>
            </w:tcBorders>
          </w:tcPr>
          <w:p>
            <w:pP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2,295,753,017.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r>
      <w:tr>
        <w:trPr>
          <w:trHeight w:val="392" w:hRule="exact"/>
        </w:trPr>
        <w:tc>
          <w:tcPr>
            <w:tcW w:w="23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200" w:type="dxa"/>
            <w:vMerge/>
            <w:tcBorders>
              <w:left w:val="single" w:sz="9"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9"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归属于上市公司股东的净资 产</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2,035,391,961.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1,934,606,136.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4" w:right="0"/>
              <w:jc w:val="left"/>
              <w:rPr>
                <w:rFonts w:ascii="Times New Roman" w:hAnsi="Times New Roman" w:cs="Times New Roman" w:eastAsia="Times New Roman" w:hint="default"/>
                <w:sz w:val="18"/>
                <w:szCs w:val="18"/>
              </w:rPr>
            </w:pPr>
            <w:r>
              <w:rPr>
                <w:rFonts w:ascii="Times New Roman"/>
                <w:sz w:val="18"/>
              </w:rPr>
              <w:t>5.21%</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1,097,560,513.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r>
    </w:tbl>
    <w:p>
      <w:pPr>
        <w:pStyle w:val="BodyText"/>
        <w:spacing w:line="240" w:lineRule="auto" w:before="51"/>
        <w:ind w:left="154" w:right="889"/>
        <w:jc w:val="left"/>
      </w:pPr>
      <w:r>
        <w:rPr/>
        <w:t>会计政策变更的原因及会计差错更正的情况</w:t>
      </w:r>
    </w:p>
    <w:p>
      <w:pPr>
        <w:pStyle w:val="BodyText"/>
        <w:spacing w:line="316" w:lineRule="auto" w:before="116"/>
        <w:ind w:right="1123"/>
        <w:jc w:val="left"/>
      </w:pPr>
      <w:r>
        <w:rPr/>
        <w:t>注：</w:t>
      </w:r>
      <w:r>
        <w:rPr>
          <w:rFonts w:ascii="Times New Roman" w:hAnsi="Times New Roman" w:cs="Times New Roman" w:eastAsia="Times New Roman" w:hint="default"/>
        </w:rPr>
        <w:t>1</w:t>
      </w:r>
      <w:r>
        <w:rPr/>
        <w:t>、在报告期内公司因派发股票股利、公积金转增股本、拆股而增加或并股而减少公司总股本，但不影响股东权益金额 的，应当根据相关会计准则的规定按最新股本调整并列报最近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年的基本每股收益和稀释每股收益。 </w:t>
      </w:r>
      <w:r>
        <w:rPr>
          <w:rFonts w:ascii="Times New Roman" w:hAnsi="Times New Roman" w:cs="Times New Roman" w:eastAsia="Times New Roman" w:hint="default"/>
        </w:rPr>
        <w:t>2</w:t>
      </w:r>
      <w:r>
        <w:rPr/>
        <w:t>、如果报告期末至年度报告披露日，公司股本因送红股、资本公积转增股本的原因发生变化且不影响股东权益金额的，应 当根据相关会计准则的规定按最新股本调整并列报最近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年的基本每股收益和稀释每股收益。 </w:t>
      </w:r>
      <w:r>
        <w:rPr>
          <w:rFonts w:ascii="Times New Roman" w:hAnsi="Times New Roman" w:cs="Times New Roman" w:eastAsia="Times New Roman" w:hint="default"/>
        </w:rPr>
        <w:t>3</w:t>
      </w:r>
      <w:r>
        <w:rPr/>
        <w:t>、本报告期对上年度财务数据进行了追溯调整或重述的，应当披露会计政策变更的原因及会计差错更正的情况，上年度期 末和上年度同期应当同时列示追溯调整或重述前后的数据。</w:t>
      </w:r>
    </w:p>
    <w:p>
      <w:pPr>
        <w:pStyle w:val="BodyText"/>
        <w:spacing w:line="302" w:lineRule="auto" w:before="57"/>
        <w:ind w:right="1123"/>
        <w:jc w:val="left"/>
      </w:pPr>
      <w:r>
        <w:rPr>
          <w:rFonts w:ascii="Times New Roman" w:hAnsi="Times New Roman" w:cs="Times New Roman" w:eastAsia="Times New Roman" w:hint="default"/>
        </w:rPr>
        <w:t>4</w:t>
      </w:r>
      <w:r>
        <w:rPr/>
        <w:t>、表格中金额和股本的计量单位可采用万、亿（元、股）等，减少数据位数。基本原则是小数点前最多保留</w:t>
      </w:r>
      <w:r>
        <w:rPr>
          <w:spacing w:val="-45"/>
        </w:rPr>
        <w:t> </w:t>
      </w:r>
      <w:r>
        <w:rPr>
          <w:rFonts w:ascii="Times New Roman" w:hAnsi="Times New Roman" w:cs="Times New Roman" w:eastAsia="Times New Roman" w:hint="default"/>
        </w:rPr>
        <w:t>5 </w:t>
      </w:r>
      <w:r>
        <w:rPr/>
        <w:t>位，小数点 后保留两位。</w:t>
      </w:r>
    </w:p>
    <w:p>
      <w:pPr>
        <w:spacing w:line="240" w:lineRule="auto" w:before="2"/>
        <w:rPr>
          <w:rFonts w:ascii="宋体" w:hAnsi="宋体" w:cs="宋体" w:eastAsia="宋体" w:hint="default"/>
          <w:sz w:val="23"/>
          <w:szCs w:val="23"/>
        </w:rPr>
      </w:pPr>
    </w:p>
    <w:p>
      <w:pPr>
        <w:pStyle w:val="Heading3"/>
        <w:spacing w:line="240" w:lineRule="auto"/>
        <w:ind w:right="889"/>
        <w:jc w:val="left"/>
        <w:rPr>
          <w:b w:val="0"/>
          <w:bCs w:val="0"/>
        </w:rPr>
      </w:pPr>
      <w:bookmarkStart w:name="（2）分季度主要会计数据" w:id="345"/>
      <w:bookmarkEnd w:id="345"/>
      <w:r>
        <w:rPr>
          <w:b w:val="0"/>
          <w:bCs w:val="0"/>
        </w:rPr>
      </w:r>
      <w:r>
        <w:rPr/>
        <w:t>（</w:t>
      </w:r>
      <w:r>
        <w:rPr>
          <w:rFonts w:ascii="Times New Roman" w:hAnsi="Times New Roman" w:cs="Times New Roman" w:eastAsia="Times New Roman" w:hint="default"/>
        </w:rPr>
        <w:t>2</w:t>
      </w:r>
      <w:r>
        <w:rPr/>
        <w:t>）分季度主要会计数据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单位：人民币元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07"/>
        <w:gridCol w:w="1872"/>
        <w:gridCol w:w="1751"/>
        <w:gridCol w:w="1715"/>
        <w:gridCol w:w="1712"/>
      </w:tblGrid>
      <w:tr>
        <w:trPr>
          <w:trHeight w:val="402"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0"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601,180,706.47</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718,322,318.91</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850,506,064.43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1,002,987,198.45</w:t>
            </w:r>
          </w:p>
        </w:tc>
      </w:tr>
      <w:tr>
        <w:trPr>
          <w:trHeight w:val="402"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8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22,066,552.29</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44,420,498.29</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48,199,836.66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46,063,092.22</w:t>
            </w:r>
          </w:p>
        </w:tc>
      </w:tr>
      <w:tr>
        <w:trPr>
          <w:trHeight w:val="714"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8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22,056,185.72</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42,573,173.18</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47,518,672.14</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47,621,751.40</w:t>
            </w:r>
          </w:p>
        </w:tc>
      </w:tr>
      <w:tr>
        <w:trPr>
          <w:trHeight w:val="403"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-255,497,081.74</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-31,254,668.84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-2,530,887.99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110,984,066.15</w:t>
            </w:r>
          </w:p>
        </w:tc>
      </w:tr>
    </w:tbl>
    <w:p>
      <w:pPr>
        <w:pStyle w:val="BodyText"/>
        <w:spacing w:line="300" w:lineRule="auto" w:before="51"/>
        <w:ind w:left="154" w:right="1120"/>
        <w:jc w:val="left"/>
      </w:pPr>
      <w:r>
        <w:rPr>
          <w:spacing w:val="-2"/>
        </w:rPr>
        <w:t>注：表格中金额和股本的计量单位可采用万、亿（元、股）等，减少数据位数。基本原则是小数点前最多保留</w:t>
      </w:r>
      <w:r>
        <w:rPr/>
        <w:t> </w:t>
      </w: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spacing w:val="-2"/>
        </w:rPr>
        <w:t>位，小数点</w:t>
      </w:r>
      <w:r>
        <w:rPr/>
        <w:t> 后保留两位。</w:t>
      </w:r>
    </w:p>
    <w:p>
      <w:pPr>
        <w:pStyle w:val="BodyText"/>
        <w:spacing w:line="240" w:lineRule="auto" w:before="71"/>
        <w:ind w:left="154" w:right="889"/>
        <w:jc w:val="left"/>
      </w:pPr>
      <w:r>
        <w:rPr/>
        <w:t>上述财务指标或其加总数是否与公司已披露季度报告、半年度报告相关财务指标存在重大差异</w:t>
      </w:r>
    </w:p>
    <w:p>
      <w:pPr>
        <w:pStyle w:val="BodyText"/>
        <w:spacing w:line="338" w:lineRule="auto" w:before="117"/>
        <w:ind w:right="12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注：如上述财务指标或其加总数与公司已披露季度报告、半年度报告相关财务指标存在重大差异的，应当说明主要原因。</w:t>
      </w:r>
    </w:p>
    <w:p>
      <w:pPr>
        <w:spacing w:line="240" w:lineRule="auto" w:before="1"/>
        <w:rPr>
          <w:rFonts w:ascii="宋体" w:hAnsi="宋体" w:cs="宋体" w:eastAsia="宋体" w:hint="default"/>
          <w:sz w:val="21"/>
          <w:szCs w:val="21"/>
        </w:rPr>
      </w:pPr>
    </w:p>
    <w:p>
      <w:pPr>
        <w:pStyle w:val="Heading3"/>
        <w:spacing w:line="240" w:lineRule="auto"/>
        <w:ind w:right="889"/>
        <w:jc w:val="left"/>
        <w:rPr>
          <w:b w:val="0"/>
          <w:bCs w:val="0"/>
        </w:rPr>
      </w:pPr>
      <w:bookmarkStart w:name="4、股本及股东情况" w:id="346"/>
      <w:bookmarkEnd w:id="346"/>
      <w:r>
        <w:rPr>
          <w:b w:val="0"/>
          <w:bCs w:val="0"/>
        </w:rPr>
      </w:r>
      <w:r>
        <w:rPr>
          <w:rFonts w:ascii="Times New Roman" w:hAnsi="Times New Roman" w:cs="Times New Roman" w:eastAsia="Times New Roman" w:hint="default"/>
        </w:rPr>
        <w:t>4</w:t>
      </w:r>
      <w:r>
        <w:rPr/>
        <w:t>、股本及股东情况</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33"/>
        <w:jc w:val="left"/>
      </w:pPr>
      <w:r>
        <w:rPr>
          <w:spacing w:val="-2"/>
        </w:rPr>
        <w:t>注：年报披露的前十名股东名称、持股数量及其排序以结算公司提供的股东名册为准。另外，证金公司自身持有的上市公司</w:t>
      </w:r>
      <w:r>
        <w:rPr>
          <w:spacing w:val="-66"/>
        </w:rPr>
        <w:t> </w:t>
      </w:r>
      <w:r>
        <w:rPr>
          <w:spacing w:val="-66"/>
        </w:rPr>
      </w:r>
      <w:r>
        <w:rPr/>
        <w:t>股份，划转给中央汇金持有的上市公司股份，以及通过各类公募基金、券商资管计划持有的上市公司股份，均不合并计算。</w:t>
      </w:r>
    </w:p>
    <w:p>
      <w:pPr>
        <w:spacing w:line="240" w:lineRule="auto" w:before="3"/>
        <w:rPr>
          <w:rFonts w:ascii="宋体" w:hAnsi="宋体" w:cs="宋体" w:eastAsia="宋体" w:hint="default"/>
          <w:sz w:val="22"/>
          <w:szCs w:val="22"/>
        </w:rPr>
      </w:pPr>
    </w:p>
    <w:p>
      <w:pPr>
        <w:pStyle w:val="Heading3"/>
        <w:spacing w:line="240" w:lineRule="auto"/>
        <w:ind w:left="154" w:right="889"/>
        <w:jc w:val="left"/>
        <w:rPr>
          <w:b w:val="0"/>
          <w:bCs w:val="0"/>
        </w:rPr>
      </w:pPr>
      <w:bookmarkStart w:name="（1）普通股股东和表决权恢复的优先股股东数量及前10名股东持股情况表" w:id="347"/>
      <w:bookmarkEnd w:id="347"/>
      <w:r>
        <w:rPr>
          <w:b w:val="0"/>
          <w:bCs w:val="0"/>
        </w:rPr>
      </w:r>
      <w:r>
        <w:rPr/>
        <w:t>（</w:t>
      </w:r>
      <w:r>
        <w:rPr>
          <w:rFonts w:ascii="Times New Roman" w:hAnsi="Times New Roman" w:cs="Times New Roman" w:eastAsia="Times New Roman" w:hint="default"/>
        </w:rPr>
        <w:t>1</w:t>
      </w:r>
      <w:r>
        <w:rPr/>
        <w:t>）普通股股东和表决权恢复的优先股股东数量及前</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名股东持股情况表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814"/>
        <w:gridCol w:w="1596"/>
        <w:gridCol w:w="797"/>
        <w:gridCol w:w="1328"/>
        <w:gridCol w:w="798"/>
        <w:gridCol w:w="1727"/>
        <w:gridCol w:w="925"/>
      </w:tblGrid>
      <w:tr>
        <w:trPr>
          <w:trHeight w:val="69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1"/>
              <w:ind w:left="22" w:right="108"/>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8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43,574</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22" w:right="123"/>
              <w:jc w:val="left"/>
              <w:rPr>
                <w:rFonts w:ascii="宋体" w:hAnsi="宋体" w:cs="宋体" w:eastAsia="宋体" w:hint="default"/>
                <w:sz w:val="18"/>
                <w:szCs w:val="18"/>
              </w:rPr>
            </w:pPr>
            <w:r>
              <w:rPr>
                <w:rFonts w:ascii="宋体" w:hAnsi="宋体" w:cs="宋体" w:eastAsia="宋体" w:hint="default"/>
                <w:sz w:val="18"/>
                <w:szCs w:val="18"/>
              </w:rPr>
              <w:t>年度报告披露日前 一个月末普通股股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51,086</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22" w:right="35"/>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22" w:right="72"/>
              <w:jc w:val="left"/>
              <w:rPr>
                <w:rFonts w:ascii="宋体" w:hAnsi="宋体" w:cs="宋体" w:eastAsia="宋体" w:hint="default"/>
                <w:sz w:val="18"/>
                <w:szCs w:val="18"/>
              </w:rPr>
            </w:pPr>
            <w:r>
              <w:rPr>
                <w:rFonts w:ascii="宋体" w:hAnsi="宋体" w:cs="宋体" w:eastAsia="宋体" w:hint="default"/>
                <w:sz w:val="18"/>
                <w:szCs w:val="18"/>
              </w:rPr>
              <w:t>年度报告披露日前一 个月末表决权恢复的</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56"/>
        <w:gridCol w:w="338"/>
        <w:gridCol w:w="660"/>
        <w:gridCol w:w="154"/>
        <w:gridCol w:w="1258"/>
        <w:gridCol w:w="315"/>
        <w:gridCol w:w="820"/>
        <w:gridCol w:w="379"/>
        <w:gridCol w:w="927"/>
        <w:gridCol w:w="821"/>
        <w:gridCol w:w="387"/>
        <w:gridCol w:w="1126"/>
        <w:gridCol w:w="191"/>
        <w:gridCol w:w="937"/>
      </w:tblGrid>
      <w:tr>
        <w:trPr>
          <w:trHeight w:val="367" w:hRule="exact"/>
        </w:trPr>
        <w:tc>
          <w:tcPr>
            <w:tcW w:w="159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814" w:type="dxa"/>
            <w:gridSpan w:val="2"/>
            <w:tcBorders>
              <w:top w:val="single" w:sz="4" w:space="0" w:color="000000"/>
              <w:left w:val="single" w:sz="4" w:space="0" w:color="000000"/>
              <w:bottom w:val="single" w:sz="4" w:space="0" w:color="000000"/>
              <w:right w:val="single" w:sz="9" w:space="0" w:color="D2D2D2"/>
            </w:tcBorders>
          </w:tcPr>
          <w:p>
            <w:pP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东总数</w:t>
            </w:r>
          </w:p>
        </w:tc>
        <w:tc>
          <w:tcPr>
            <w:tcW w:w="820" w:type="dxa"/>
            <w:tcBorders>
              <w:top w:val="single" w:sz="4" w:space="0" w:color="000000"/>
              <w:left w:val="single" w:sz="13" w:space="0" w:color="D2D2D2"/>
              <w:bottom w:val="single" w:sz="4" w:space="0" w:color="000000"/>
              <w:right w:val="single" w:sz="13" w:space="0" w:color="D2D2D2"/>
            </w:tcBorders>
          </w:tcPr>
          <w:p>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东总数</w:t>
            </w:r>
          </w:p>
        </w:tc>
        <w:tc>
          <w:tcPr>
            <w:tcW w:w="821" w:type="dxa"/>
            <w:tcBorders>
              <w:top w:val="single" w:sz="4" w:space="0" w:color="000000"/>
              <w:left w:val="single" w:sz="13" w:space="0" w:color="D2D2D2"/>
              <w:bottom w:val="single" w:sz="4" w:space="0" w:color="000000"/>
              <w:right w:val="single" w:sz="13" w:space="0" w:color="D2D2D2"/>
            </w:tcBorders>
          </w:tcPr>
          <w:p>
            <w:pPr/>
          </w:p>
        </w:tc>
        <w:tc>
          <w:tcPr>
            <w:tcW w:w="17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优先股股东总数</w:t>
            </w:r>
          </w:p>
        </w:tc>
        <w:tc>
          <w:tcPr>
            <w:tcW w:w="937" w:type="dxa"/>
            <w:tcBorders>
              <w:top w:val="single" w:sz="4" w:space="0" w:color="000000"/>
              <w:left w:val="single" w:sz="13" w:space="0" w:color="D2D2D2"/>
              <w:bottom w:val="single" w:sz="4" w:space="0" w:color="000000"/>
              <w:right w:val="single" w:sz="4" w:space="0" w:color="000000"/>
            </w:tcBorders>
          </w:tcPr>
          <w:p>
            <w:pPr/>
          </w:p>
        </w:tc>
      </w:tr>
      <w:tr>
        <w:trPr>
          <w:trHeight w:val="39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0" w:hRule="exact"/>
        </w:trPr>
        <w:tc>
          <w:tcPr>
            <w:tcW w:w="12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41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51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21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972" w:right="71" w:hanging="900"/>
              <w:jc w:val="left"/>
              <w:rPr>
                <w:rFonts w:ascii="宋体" w:hAnsi="宋体" w:cs="宋体" w:eastAsia="宋体" w:hint="default"/>
                <w:sz w:val="18"/>
                <w:szCs w:val="18"/>
              </w:rPr>
            </w:pPr>
            <w:r>
              <w:rPr>
                <w:rFonts w:ascii="宋体" w:hAnsi="宋体" w:cs="宋体" w:eastAsia="宋体" w:hint="default"/>
                <w:sz w:val="18"/>
                <w:szCs w:val="18"/>
              </w:rPr>
              <w:t>持有有限售条件的股份数 量</w:t>
            </w:r>
          </w:p>
        </w:tc>
        <w:tc>
          <w:tcPr>
            <w:tcW w:w="225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9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12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51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2135" w:type="dxa"/>
            <w:gridSpan w:val="3"/>
            <w:vMerge/>
            <w:tcBorders>
              <w:left w:val="single" w:sz="4" w:space="0" w:color="000000"/>
              <w:right w:val="single" w:sz="4" w:space="0" w:color="000000"/>
            </w:tcBorders>
            <w:shd w:val="clear" w:color="auto" w:fill="D2D2D2"/>
          </w:tcPr>
          <w:p>
            <w:pPr/>
          </w:p>
        </w:tc>
        <w:tc>
          <w:tcPr>
            <w:tcW w:w="2254" w:type="dxa"/>
            <w:gridSpan w:val="3"/>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256" w:type="dxa"/>
            <w:vMerge/>
            <w:tcBorders>
              <w:left w:val="single" w:sz="4" w:space="0" w:color="000000"/>
              <w:bottom w:val="nil" w:sz="6" w:space="0" w:color="auto"/>
              <w:right w:val="single" w:sz="4" w:space="0" w:color="000000"/>
            </w:tcBorders>
            <w:shd w:val="clear" w:color="auto" w:fill="D2D2D2"/>
          </w:tcPr>
          <w:p>
            <w:pPr/>
          </w:p>
        </w:tc>
        <w:tc>
          <w:tcPr>
            <w:tcW w:w="998"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1514" w:type="dxa"/>
            <w:gridSpan w:val="3"/>
            <w:vMerge/>
            <w:tcBorders>
              <w:left w:val="single" w:sz="4" w:space="0" w:color="000000"/>
              <w:bottom w:val="nil" w:sz="6" w:space="0" w:color="auto"/>
              <w:right w:val="single" w:sz="4" w:space="0" w:color="000000"/>
            </w:tcBorders>
            <w:shd w:val="clear" w:color="auto" w:fill="D2D2D2"/>
          </w:tcPr>
          <w:p>
            <w:pPr/>
          </w:p>
        </w:tc>
        <w:tc>
          <w:tcPr>
            <w:tcW w:w="2135" w:type="dxa"/>
            <w:gridSpan w:val="3"/>
            <w:vMerge/>
            <w:tcBorders>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1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2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41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51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2135" w:type="dxa"/>
            <w:gridSpan w:val="3"/>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shd w:val="clear" w:color="auto" w:fill="D2D2D2"/>
          </w:tcPr>
          <w:p>
            <w:pPr/>
          </w:p>
        </w:tc>
        <w:tc>
          <w:tcPr>
            <w:tcW w:w="112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庄小红</w:t>
            </w:r>
          </w:p>
        </w:tc>
        <w:tc>
          <w:tcPr>
            <w:tcW w:w="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5" w:right="0"/>
              <w:jc w:val="left"/>
              <w:rPr>
                <w:rFonts w:ascii="Times New Roman" w:hAnsi="Times New Roman" w:cs="Times New Roman" w:eastAsia="Times New Roman" w:hint="default"/>
                <w:sz w:val="18"/>
                <w:szCs w:val="18"/>
              </w:rPr>
            </w:pPr>
            <w:r>
              <w:rPr>
                <w:rFonts w:ascii="Times New Roman"/>
                <w:sz w:val="18"/>
              </w:rPr>
              <w:t>33.07%</w:t>
            </w:r>
          </w:p>
        </w:tc>
        <w:tc>
          <w:tcPr>
            <w:tcW w:w="15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198,439,650</w:t>
            </w:r>
          </w:p>
        </w:tc>
        <w:tc>
          <w:tcPr>
            <w:tcW w:w="2135" w:type="dxa"/>
            <w:gridSpan w:val="3"/>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left="1201" w:right="0"/>
              <w:jc w:val="left"/>
              <w:rPr>
                <w:rFonts w:ascii="Times New Roman" w:hAnsi="Times New Roman" w:cs="Times New Roman" w:eastAsia="Times New Roman" w:hint="default"/>
                <w:sz w:val="18"/>
                <w:szCs w:val="18"/>
              </w:rPr>
            </w:pPr>
            <w:r>
              <w:rPr>
                <w:rFonts w:ascii="Times New Roman"/>
                <w:sz w:val="18"/>
              </w:rPr>
              <w:t>198,439,650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质押</w:t>
            </w:r>
          </w:p>
        </w:tc>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 w:right="0"/>
              <w:jc w:val="left"/>
              <w:rPr>
                <w:rFonts w:ascii="Times New Roman" w:hAnsi="Times New Roman" w:cs="Times New Roman" w:eastAsia="Times New Roman" w:hint="default"/>
                <w:sz w:val="18"/>
                <w:szCs w:val="18"/>
              </w:rPr>
            </w:pPr>
            <w:r>
              <w:rPr>
                <w:rFonts w:ascii="Times New Roman"/>
                <w:sz w:val="18"/>
              </w:rPr>
              <w:t>135,200,000</w:t>
            </w:r>
          </w:p>
        </w:tc>
      </w:tr>
      <w:tr>
        <w:trPr>
          <w:trHeight w:val="402"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庄展诺</w:t>
            </w:r>
          </w:p>
        </w:tc>
        <w:tc>
          <w:tcPr>
            <w:tcW w:w="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5" w:right="0"/>
              <w:jc w:val="left"/>
              <w:rPr>
                <w:rFonts w:ascii="Times New Roman" w:hAnsi="Times New Roman" w:cs="Times New Roman" w:eastAsia="Times New Roman" w:hint="default"/>
                <w:sz w:val="18"/>
                <w:szCs w:val="18"/>
              </w:rPr>
            </w:pPr>
            <w:r>
              <w:rPr>
                <w:rFonts w:ascii="Times New Roman"/>
                <w:sz w:val="18"/>
              </w:rPr>
              <w:t>12.17%</w:t>
            </w:r>
          </w:p>
        </w:tc>
        <w:tc>
          <w:tcPr>
            <w:tcW w:w="15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0" w:right="0"/>
              <w:jc w:val="left"/>
              <w:rPr>
                <w:rFonts w:ascii="Times New Roman" w:hAnsi="Times New Roman" w:cs="Times New Roman" w:eastAsia="Times New Roman" w:hint="default"/>
                <w:sz w:val="18"/>
                <w:szCs w:val="18"/>
              </w:rPr>
            </w:pPr>
            <w:r>
              <w:rPr>
                <w:rFonts w:ascii="Times New Roman"/>
                <w:sz w:val="18"/>
              </w:rPr>
              <w:t>73,009,350</w:t>
            </w:r>
          </w:p>
        </w:tc>
        <w:tc>
          <w:tcPr>
            <w:tcW w:w="2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1" w:right="0"/>
              <w:jc w:val="left"/>
              <w:rPr>
                <w:rFonts w:ascii="Times New Roman" w:hAnsi="Times New Roman" w:cs="Times New Roman" w:eastAsia="Times New Roman" w:hint="default"/>
                <w:sz w:val="18"/>
                <w:szCs w:val="18"/>
              </w:rPr>
            </w:pPr>
            <w:r>
              <w:rPr>
                <w:rFonts w:ascii="Times New Roman"/>
                <w:sz w:val="18"/>
              </w:rPr>
              <w:t>73,009,350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质押</w:t>
            </w:r>
          </w:p>
        </w:tc>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5" w:right="0"/>
              <w:jc w:val="left"/>
              <w:rPr>
                <w:rFonts w:ascii="Times New Roman" w:hAnsi="Times New Roman" w:cs="Times New Roman" w:eastAsia="Times New Roman" w:hint="default"/>
                <w:sz w:val="18"/>
                <w:szCs w:val="18"/>
              </w:rPr>
            </w:pPr>
            <w:r>
              <w:rPr>
                <w:rFonts w:ascii="Times New Roman"/>
                <w:sz w:val="18"/>
              </w:rPr>
              <w:t>69,000,000</w:t>
            </w:r>
          </w:p>
        </w:tc>
      </w:tr>
      <w:tr>
        <w:trPr>
          <w:trHeight w:val="402"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陈一</w:t>
            </w:r>
          </w:p>
        </w:tc>
        <w:tc>
          <w:tcPr>
            <w:tcW w:w="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5" w:right="0"/>
              <w:jc w:val="left"/>
              <w:rPr>
                <w:rFonts w:ascii="Times New Roman" w:hAnsi="Times New Roman" w:cs="Times New Roman" w:eastAsia="Times New Roman" w:hint="default"/>
                <w:sz w:val="18"/>
                <w:szCs w:val="18"/>
              </w:rPr>
            </w:pPr>
            <w:r>
              <w:rPr>
                <w:rFonts w:ascii="Times New Roman"/>
                <w:sz w:val="18"/>
              </w:rPr>
              <w:t>9.08%</w:t>
            </w:r>
          </w:p>
        </w:tc>
        <w:tc>
          <w:tcPr>
            <w:tcW w:w="15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0" w:right="0"/>
              <w:jc w:val="left"/>
              <w:rPr>
                <w:rFonts w:ascii="Times New Roman" w:hAnsi="Times New Roman" w:cs="Times New Roman" w:eastAsia="Times New Roman" w:hint="default"/>
                <w:sz w:val="18"/>
                <w:szCs w:val="18"/>
              </w:rPr>
            </w:pPr>
            <w:r>
              <w:rPr>
                <w:rFonts w:ascii="Times New Roman"/>
                <w:sz w:val="18"/>
              </w:rPr>
              <w:t>54,495,000</w:t>
            </w:r>
          </w:p>
        </w:tc>
        <w:tc>
          <w:tcPr>
            <w:tcW w:w="2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质押</w:t>
            </w:r>
          </w:p>
        </w:tc>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7,420,000</w:t>
            </w:r>
          </w:p>
        </w:tc>
      </w:tr>
      <w:tr>
        <w:trPr>
          <w:trHeight w:val="1026"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南京鼎润天成 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5" w:right="0"/>
              <w:jc w:val="left"/>
              <w:rPr>
                <w:rFonts w:ascii="Times New Roman" w:hAnsi="Times New Roman" w:cs="Times New Roman" w:eastAsia="Times New Roman" w:hint="default"/>
                <w:sz w:val="18"/>
                <w:szCs w:val="18"/>
              </w:rPr>
            </w:pPr>
            <w:r>
              <w:rPr>
                <w:rFonts w:ascii="Times New Roman"/>
                <w:sz w:val="18"/>
              </w:rPr>
              <w:t>3.99%</w:t>
            </w:r>
          </w:p>
        </w:tc>
        <w:tc>
          <w:tcPr>
            <w:tcW w:w="15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0" w:right="0"/>
              <w:jc w:val="left"/>
              <w:rPr>
                <w:rFonts w:ascii="Times New Roman" w:hAnsi="Times New Roman" w:cs="Times New Roman" w:eastAsia="Times New Roman" w:hint="default"/>
                <w:sz w:val="18"/>
                <w:szCs w:val="18"/>
              </w:rPr>
            </w:pPr>
            <w:r>
              <w:rPr>
                <w:rFonts w:ascii="Times New Roman"/>
                <w:sz w:val="18"/>
              </w:rPr>
              <w:t>23,962,500</w:t>
            </w:r>
          </w:p>
        </w:tc>
        <w:tc>
          <w:tcPr>
            <w:tcW w:w="2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8" w:right="0"/>
              <w:jc w:val="left"/>
              <w:rPr>
                <w:rFonts w:ascii="Times New Roman" w:hAnsi="Times New Roman" w:cs="Times New Roman" w:eastAsia="Times New Roman" w:hint="default"/>
                <w:sz w:val="18"/>
                <w:szCs w:val="18"/>
              </w:rPr>
            </w:pPr>
            <w:r>
              <w:rPr>
                <w:rFonts w:ascii="Times New Roman"/>
                <w:sz w:val="18"/>
              </w:rPr>
              <w:t>11,981,250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质押</w:t>
            </w:r>
          </w:p>
        </w:tc>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11,980,000</w:t>
            </w:r>
          </w:p>
        </w:tc>
      </w:tr>
      <w:tr>
        <w:trPr>
          <w:trHeight w:val="1026"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both"/>
              <w:rPr>
                <w:rFonts w:ascii="宋体" w:hAnsi="宋体" w:cs="宋体" w:eastAsia="宋体" w:hint="default"/>
                <w:sz w:val="18"/>
                <w:szCs w:val="18"/>
              </w:rPr>
            </w:pPr>
            <w:r>
              <w:rPr>
                <w:rFonts w:ascii="宋体" w:hAnsi="宋体" w:cs="宋体" w:eastAsia="宋体" w:hint="default"/>
                <w:sz w:val="18"/>
                <w:szCs w:val="18"/>
              </w:rPr>
              <w:t>昆山中科昆开 创业投资有限 公司</w:t>
            </w:r>
          </w:p>
        </w:tc>
        <w:tc>
          <w:tcPr>
            <w:tcW w:w="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5" w:right="0"/>
              <w:jc w:val="left"/>
              <w:rPr>
                <w:rFonts w:ascii="Times New Roman" w:hAnsi="Times New Roman" w:cs="Times New Roman" w:eastAsia="Times New Roman" w:hint="default"/>
                <w:sz w:val="18"/>
                <w:szCs w:val="18"/>
              </w:rPr>
            </w:pPr>
            <w:r>
              <w:rPr>
                <w:rFonts w:ascii="Times New Roman"/>
                <w:sz w:val="18"/>
              </w:rPr>
              <w:t>2.81%</w:t>
            </w:r>
          </w:p>
        </w:tc>
        <w:tc>
          <w:tcPr>
            <w:tcW w:w="15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0" w:right="0"/>
              <w:jc w:val="left"/>
              <w:rPr>
                <w:rFonts w:ascii="Times New Roman" w:hAnsi="Times New Roman" w:cs="Times New Roman" w:eastAsia="Times New Roman" w:hint="default"/>
                <w:sz w:val="18"/>
                <w:szCs w:val="18"/>
              </w:rPr>
            </w:pPr>
            <w:r>
              <w:rPr>
                <w:rFonts w:ascii="Times New Roman"/>
                <w:sz w:val="18"/>
              </w:rPr>
              <w:t>16,875,000</w:t>
            </w:r>
          </w:p>
        </w:tc>
        <w:tc>
          <w:tcPr>
            <w:tcW w:w="2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质押</w:t>
            </w:r>
          </w:p>
        </w:tc>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13,162,000</w:t>
            </w:r>
          </w:p>
        </w:tc>
      </w:tr>
      <w:tr>
        <w:trPr>
          <w:trHeight w:val="402"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刘广华</w:t>
            </w:r>
          </w:p>
        </w:tc>
        <w:tc>
          <w:tcPr>
            <w:tcW w:w="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5" w:right="0"/>
              <w:jc w:val="left"/>
              <w:rPr>
                <w:rFonts w:ascii="Times New Roman" w:hAnsi="Times New Roman" w:cs="Times New Roman" w:eastAsia="Times New Roman" w:hint="default"/>
                <w:sz w:val="18"/>
                <w:szCs w:val="18"/>
              </w:rPr>
            </w:pPr>
            <w:r>
              <w:rPr>
                <w:rFonts w:ascii="Times New Roman"/>
                <w:sz w:val="18"/>
              </w:rPr>
              <w:t>1.95%</w:t>
            </w:r>
          </w:p>
        </w:tc>
        <w:tc>
          <w:tcPr>
            <w:tcW w:w="15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7" w:right="0"/>
              <w:jc w:val="left"/>
              <w:rPr>
                <w:rFonts w:ascii="Times New Roman" w:hAnsi="Times New Roman" w:cs="Times New Roman" w:eastAsia="Times New Roman" w:hint="default"/>
                <w:sz w:val="18"/>
                <w:szCs w:val="18"/>
              </w:rPr>
            </w:pPr>
            <w:r>
              <w:rPr>
                <w:rFonts w:ascii="Times New Roman"/>
                <w:sz w:val="18"/>
              </w:rPr>
              <w:t>11,677,500</w:t>
            </w:r>
          </w:p>
        </w:tc>
        <w:tc>
          <w:tcPr>
            <w:tcW w:w="2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both"/>
              <w:rPr>
                <w:rFonts w:ascii="宋体" w:hAnsi="宋体" w:cs="宋体" w:eastAsia="宋体" w:hint="default"/>
                <w:sz w:val="18"/>
                <w:szCs w:val="18"/>
              </w:rPr>
            </w:pPr>
            <w:r>
              <w:rPr>
                <w:rFonts w:ascii="宋体" w:hAnsi="宋体" w:cs="宋体" w:eastAsia="宋体" w:hint="default"/>
                <w:sz w:val="18"/>
                <w:szCs w:val="18"/>
              </w:rPr>
              <w:t>福州中科福海 创业投资合伙 企业（有限合 伙）</w:t>
            </w:r>
          </w:p>
        </w:tc>
        <w:tc>
          <w:tcPr>
            <w:tcW w:w="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15" w:right="0"/>
              <w:jc w:val="left"/>
              <w:rPr>
                <w:rFonts w:ascii="Times New Roman" w:hAnsi="Times New Roman" w:cs="Times New Roman" w:eastAsia="Times New Roman" w:hint="default"/>
                <w:sz w:val="18"/>
                <w:szCs w:val="18"/>
              </w:rPr>
            </w:pPr>
            <w:r>
              <w:rPr>
                <w:rFonts w:ascii="Times New Roman"/>
                <w:sz w:val="18"/>
              </w:rPr>
              <w:t>1.88%</w:t>
            </w:r>
          </w:p>
        </w:tc>
        <w:tc>
          <w:tcPr>
            <w:tcW w:w="15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11,250,000</w:t>
            </w:r>
          </w:p>
        </w:tc>
        <w:tc>
          <w:tcPr>
            <w:tcW w:w="2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质押</w:t>
            </w:r>
          </w:p>
        </w:tc>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8,437,500</w:t>
            </w:r>
          </w:p>
        </w:tc>
      </w:tr>
      <w:tr>
        <w:trPr>
          <w:trHeight w:val="402"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邓会生</w:t>
            </w:r>
          </w:p>
        </w:tc>
        <w:tc>
          <w:tcPr>
            <w:tcW w:w="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5" w:right="0"/>
              <w:jc w:val="left"/>
              <w:rPr>
                <w:rFonts w:ascii="Times New Roman" w:hAnsi="Times New Roman" w:cs="Times New Roman" w:eastAsia="Times New Roman" w:hint="default"/>
                <w:sz w:val="18"/>
                <w:szCs w:val="18"/>
              </w:rPr>
            </w:pPr>
            <w:r>
              <w:rPr>
                <w:rFonts w:ascii="Times New Roman"/>
                <w:sz w:val="18"/>
              </w:rPr>
              <w:t>1.75%</w:t>
            </w:r>
          </w:p>
        </w:tc>
        <w:tc>
          <w:tcPr>
            <w:tcW w:w="15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0" w:right="0"/>
              <w:jc w:val="left"/>
              <w:rPr>
                <w:rFonts w:ascii="Times New Roman" w:hAnsi="Times New Roman" w:cs="Times New Roman" w:eastAsia="Times New Roman" w:hint="default"/>
                <w:sz w:val="18"/>
                <w:szCs w:val="18"/>
              </w:rPr>
            </w:pPr>
            <w:r>
              <w:rPr>
                <w:rFonts w:ascii="Times New Roman"/>
                <w:sz w:val="18"/>
              </w:rPr>
              <w:t>10,509,750</w:t>
            </w:r>
          </w:p>
        </w:tc>
        <w:tc>
          <w:tcPr>
            <w:tcW w:w="2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1" w:right="0"/>
              <w:jc w:val="left"/>
              <w:rPr>
                <w:rFonts w:ascii="Times New Roman" w:hAnsi="Times New Roman" w:cs="Times New Roman" w:eastAsia="Times New Roman" w:hint="default"/>
                <w:sz w:val="18"/>
                <w:szCs w:val="18"/>
              </w:rPr>
            </w:pPr>
            <w:r>
              <w:rPr>
                <w:rFonts w:ascii="Times New Roman"/>
                <w:sz w:val="18"/>
              </w:rPr>
              <w:t>10,509,750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质押</w:t>
            </w:r>
          </w:p>
        </w:tc>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9,450,000</w:t>
            </w:r>
          </w:p>
        </w:tc>
      </w:tr>
      <w:tr>
        <w:trPr>
          <w:trHeight w:val="1026"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上海融银股权 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5" w:right="0"/>
              <w:jc w:val="left"/>
              <w:rPr>
                <w:rFonts w:ascii="Times New Roman" w:hAnsi="Times New Roman" w:cs="Times New Roman" w:eastAsia="Times New Roman" w:hint="default"/>
                <w:sz w:val="18"/>
                <w:szCs w:val="18"/>
              </w:rPr>
            </w:pPr>
            <w:r>
              <w:rPr>
                <w:rFonts w:ascii="Times New Roman"/>
                <w:sz w:val="18"/>
              </w:rPr>
              <w:t>1.50%</w:t>
            </w:r>
          </w:p>
        </w:tc>
        <w:tc>
          <w:tcPr>
            <w:tcW w:w="15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0" w:right="0"/>
              <w:jc w:val="left"/>
              <w:rPr>
                <w:rFonts w:ascii="Times New Roman" w:hAnsi="Times New Roman" w:cs="Times New Roman" w:eastAsia="Times New Roman" w:hint="default"/>
                <w:sz w:val="18"/>
                <w:szCs w:val="18"/>
              </w:rPr>
            </w:pPr>
            <w:r>
              <w:rPr>
                <w:rFonts w:ascii="Times New Roman"/>
                <w:sz w:val="18"/>
              </w:rPr>
              <w:t>9,000,000</w:t>
            </w:r>
          </w:p>
        </w:tc>
        <w:tc>
          <w:tcPr>
            <w:tcW w:w="2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江苏国投衡盈 创业投资中心</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5" w:right="0"/>
              <w:jc w:val="left"/>
              <w:rPr>
                <w:rFonts w:ascii="Times New Roman" w:hAnsi="Times New Roman" w:cs="Times New Roman" w:eastAsia="Times New Roman" w:hint="default"/>
                <w:sz w:val="18"/>
                <w:szCs w:val="18"/>
              </w:rPr>
            </w:pPr>
            <w:r>
              <w:rPr>
                <w:rFonts w:ascii="Times New Roman"/>
                <w:sz w:val="18"/>
              </w:rPr>
              <w:t>1.50%</w:t>
            </w:r>
          </w:p>
        </w:tc>
        <w:tc>
          <w:tcPr>
            <w:tcW w:w="15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0" w:right="0"/>
              <w:jc w:val="left"/>
              <w:rPr>
                <w:rFonts w:ascii="Times New Roman" w:hAnsi="Times New Roman" w:cs="Times New Roman" w:eastAsia="Times New Roman" w:hint="default"/>
                <w:sz w:val="18"/>
                <w:szCs w:val="18"/>
              </w:rPr>
            </w:pPr>
            <w:r>
              <w:rPr>
                <w:rFonts w:ascii="Times New Roman"/>
                <w:sz w:val="18"/>
              </w:rPr>
              <w:t>9,000,000</w:t>
            </w:r>
          </w:p>
        </w:tc>
        <w:tc>
          <w:tcPr>
            <w:tcW w:w="2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315" w:type="dxa"/>
            <w:gridSpan w:val="11"/>
            <w:tcBorders>
              <w:top w:val="single" w:sz="4" w:space="0" w:color="000000"/>
              <w:left w:val="single" w:sz="9" w:space="0" w:color="D2D2D2"/>
              <w:bottom w:val="single" w:sz="4" w:space="0" w:color="000000"/>
              <w:right w:val="single" w:sz="4" w:space="0" w:color="000000"/>
            </w:tcBorders>
          </w:tcPr>
          <w:p>
            <w:pPr>
              <w:pStyle w:val="TableParagraph"/>
              <w:spacing w:line="316" w:lineRule="auto" w:before="51"/>
              <w:ind w:left="17" w:right="79"/>
              <w:jc w:val="left"/>
              <w:rPr>
                <w:rFonts w:ascii="宋体" w:hAnsi="宋体" w:cs="宋体" w:eastAsia="宋体" w:hint="default"/>
                <w:sz w:val="18"/>
                <w:szCs w:val="18"/>
              </w:rPr>
            </w:pPr>
            <w:r>
              <w:rPr>
                <w:rFonts w:ascii="宋体" w:hAnsi="宋体" w:cs="宋体" w:eastAsia="宋体" w:hint="default"/>
                <w:sz w:val="18"/>
                <w:szCs w:val="18"/>
              </w:rPr>
              <w:t>庄小红与庄重系夫妻关系，庄展诺是庄小红与庄重的长子，邓会生系庄小红的妹夫，除上述 情况外，其他股东之间不存在关联关系，亦不属于一致行动人。</w:t>
            </w:r>
          </w:p>
        </w:tc>
      </w:tr>
      <w:tr>
        <w:trPr>
          <w:trHeight w:val="714" w:hRule="exact"/>
        </w:trPr>
        <w:tc>
          <w:tcPr>
            <w:tcW w:w="22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参与融资融券业务股东情况 说明（如有）</w:t>
            </w:r>
          </w:p>
        </w:tc>
        <w:tc>
          <w:tcPr>
            <w:tcW w:w="7315"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54" w:right="0"/>
        <w:jc w:val="both"/>
      </w:pPr>
      <w:r>
        <w:rPr/>
        <w:t>注：</w:t>
      </w:r>
      <w:r>
        <w:rPr>
          <w:rFonts w:ascii="Times New Roman" w:hAnsi="Times New Roman" w:cs="Times New Roman" w:eastAsia="Times New Roman" w:hint="default"/>
        </w:rPr>
        <w:t>1</w:t>
      </w:r>
      <w:r>
        <w:rPr/>
        <w:t>、股东性质包括国家、国有法人、境内非国有法人、境内自然人、境外法人、境外自然人等。</w:t>
      </w:r>
    </w:p>
    <w:p>
      <w:pPr>
        <w:pStyle w:val="BodyText"/>
        <w:spacing w:line="240" w:lineRule="auto" w:before="103"/>
        <w:ind w:right="0"/>
        <w:jc w:val="both"/>
      </w:pPr>
      <w:r>
        <w:rPr>
          <w:rFonts w:ascii="Times New Roman" w:hAnsi="Times New Roman" w:cs="Times New Roman" w:eastAsia="Times New Roman" w:hint="default"/>
        </w:rPr>
        <w:t>2</w:t>
      </w:r>
      <w:r>
        <w:rPr/>
        <w:t>、股份种类包括人民币普通股、境内上市外资股、境外上市外资股和其他。</w:t>
      </w:r>
    </w:p>
    <w:p>
      <w:pPr>
        <w:pStyle w:val="BodyText"/>
        <w:spacing w:line="302" w:lineRule="auto" w:before="101"/>
        <w:ind w:left="154" w:right="1132"/>
        <w:jc w:val="both"/>
      </w:pPr>
      <w:r>
        <w:rPr>
          <w:rFonts w:ascii="Times New Roman" w:hAnsi="Times New Roman" w:cs="Times New Roman" w:eastAsia="Times New Roman" w:hint="default"/>
        </w:rPr>
        <w:t>3</w:t>
      </w:r>
      <w:r>
        <w:rPr/>
        <w:t>、上市公司股票为融资融券标的证券的，公司需要披露持股</w:t>
      </w:r>
      <w:r>
        <w:rPr>
          <w:spacing w:val="-48"/>
        </w:rPr>
        <w:t> </w:t>
      </w:r>
      <w:r>
        <w:rPr>
          <w:rFonts w:ascii="Times New Roman" w:hAnsi="Times New Roman" w:cs="Times New Roman" w:eastAsia="Times New Roman" w:hint="default"/>
        </w:rPr>
        <w:t>5%</w:t>
      </w:r>
      <w:r>
        <w:rPr/>
        <w:t>以上股东或前</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名股东在报告期内因参与融资融券、转融 通业务所导致的股份增减变动情况。</w:t>
      </w:r>
    </w:p>
    <w:p>
      <w:pPr>
        <w:pStyle w:val="BodyText"/>
        <w:spacing w:line="240" w:lineRule="auto" w:before="69"/>
        <w:ind w:left="154" w:right="0"/>
        <w:jc w:val="both"/>
      </w:pPr>
      <w:r>
        <w:rPr>
          <w:rFonts w:ascii="Times New Roman" w:hAnsi="Times New Roman" w:cs="Times New Roman" w:eastAsia="Times New Roman" w:hint="default"/>
        </w:rPr>
        <w:t>4</w:t>
      </w:r>
      <w:r>
        <w:rPr/>
        <w:t>、公司在计算持股比例时，仅计算普通股和表决权恢复的优先股。</w:t>
      </w:r>
    </w:p>
    <w:p>
      <w:pPr>
        <w:pStyle w:val="BodyText"/>
        <w:spacing w:line="312" w:lineRule="auto" w:before="102"/>
        <w:ind w:left="154" w:right="1131"/>
        <w:jc w:val="both"/>
      </w:pPr>
      <w:r>
        <w:rPr>
          <w:rFonts w:ascii="Times New Roman" w:hAnsi="Times New Roman" w:cs="Times New Roman" w:eastAsia="Times New Roman" w:hint="default"/>
        </w:rPr>
        <w:t>5</w:t>
      </w:r>
      <w:r>
        <w:rPr/>
        <w:t>、上市公司在定期报告中披露期末前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名普通股股东或前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名无限售条件普通股股东情况时，应以股东通过各种证券账 </w:t>
      </w:r>
      <w:r>
        <w:rPr>
          <w:spacing w:val="-2"/>
        </w:rPr>
        <w:t>户（包括股东名下的普通证券账户、客户信用交易担保证券账户、资产管理产品证券账户及其他证券账户等）持有公司股份</w:t>
      </w:r>
      <w:r>
        <w:rPr>
          <w:spacing w:val="-66"/>
        </w:rPr>
        <w:t> </w:t>
      </w:r>
      <w:r>
        <w:rPr>
          <w:spacing w:val="-66"/>
        </w:rPr>
      </w:r>
      <w:r>
        <w:rPr>
          <w:spacing w:val="-2"/>
        </w:rPr>
        <w:t>的合计数排序。证券公司客户信用交易担保证券账户仅作为名义持有人，不应作为股东参与排名，在披露的股东名单中不应</w:t>
      </w:r>
      <w:r>
        <w:rPr>
          <w:spacing w:val="-66"/>
        </w:rPr>
        <w:t> </w:t>
      </w:r>
      <w:r>
        <w:rPr>
          <w:spacing w:val="-66"/>
        </w:rPr>
      </w:r>
      <w:r>
        <w:rPr/>
        <w:t>出现</w:t>
      </w:r>
      <w:r>
        <w:rPr>
          <w:rFonts w:ascii="Times New Roman" w:hAnsi="Times New Roman" w:cs="Times New Roman" w:eastAsia="Times New Roman" w:hint="default"/>
        </w:rPr>
        <w:t>“XX</w:t>
      </w:r>
      <w:r>
        <w:rPr>
          <w:rFonts w:ascii="Times New Roman" w:hAnsi="Times New Roman" w:cs="Times New Roman" w:eastAsia="Times New Roman" w:hint="default"/>
          <w:spacing w:val="-1"/>
        </w:rPr>
        <w:t> </w:t>
      </w:r>
      <w:r>
        <w:rPr/>
        <w:t>证券公司客户信用交易担保证券账户</w:t>
      </w:r>
      <w:r>
        <w:rPr>
          <w:rFonts w:ascii="Times New Roman" w:hAnsi="Times New Roman" w:cs="Times New Roman" w:eastAsia="Times New Roman" w:hint="default"/>
        </w:rPr>
        <w:t>”</w:t>
      </w:r>
      <w:r>
        <w:rPr/>
        <w:t>的名称。</w:t>
      </w:r>
    </w:p>
    <w:p>
      <w:pPr>
        <w:spacing w:after="0" w:line="312"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89"/>
        <w:jc w:val="left"/>
        <w:rPr>
          <w:b w:val="0"/>
          <w:bCs w:val="0"/>
        </w:rPr>
      </w:pPr>
      <w:bookmarkStart w:name="（2）公司优先股股东总数及前10名优先股股东持股情况表" w:id="348"/>
      <w:bookmarkEnd w:id="348"/>
      <w:r>
        <w:rPr>
          <w:b w:val="0"/>
          <w:bCs w:val="0"/>
        </w:rPr>
      </w:r>
      <w:r>
        <w:rPr/>
        <w:t>（</w:t>
      </w:r>
      <w:r>
        <w:rPr>
          <w:rFonts w:ascii="Times New Roman" w:hAnsi="Times New Roman" w:cs="Times New Roman" w:eastAsia="Times New Roman" w:hint="default"/>
        </w:rPr>
        <w:t>2</w:t>
      </w:r>
      <w:r>
        <w:rPr/>
        <w:t>）公司优先股股东总数及前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名优先股股东持股情况表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57"/>
        <w:gridCol w:w="1135"/>
        <w:gridCol w:w="102"/>
        <w:gridCol w:w="1632"/>
        <w:gridCol w:w="671"/>
        <w:gridCol w:w="791"/>
        <w:gridCol w:w="1577"/>
        <w:gridCol w:w="161"/>
        <w:gridCol w:w="1114"/>
        <w:gridCol w:w="1127"/>
      </w:tblGrid>
      <w:tr>
        <w:trPr>
          <w:trHeight w:val="161" w:hRule="exact"/>
        </w:trPr>
        <w:tc>
          <w:tcPr>
            <w:tcW w:w="23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406" w:type="dxa"/>
            <w:gridSpan w:val="3"/>
            <w:vMerge w:val="restart"/>
            <w:tcBorders>
              <w:top w:val="single" w:sz="4" w:space="0" w:color="000000"/>
              <w:left w:val="single" w:sz="9" w:space="0" w:color="D2D2D2"/>
              <w:right w:val="single" w:sz="13" w:space="0" w:color="D2D2D2"/>
            </w:tcBorders>
          </w:tcPr>
          <w:p>
            <w:pPr/>
          </w:p>
        </w:tc>
        <w:tc>
          <w:tcPr>
            <w:tcW w:w="2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年度报告披露日前一个月末 优先股股东总数</w:t>
            </w:r>
          </w:p>
        </w:tc>
        <w:tc>
          <w:tcPr>
            <w:tcW w:w="2402" w:type="dxa"/>
            <w:gridSpan w:val="3"/>
            <w:vMerge w:val="restart"/>
            <w:tcBorders>
              <w:top w:val="single" w:sz="4" w:space="0" w:color="000000"/>
              <w:left w:val="single" w:sz="13" w:space="0" w:color="D2D2D2"/>
              <w:right w:val="single" w:sz="4" w:space="0" w:color="000000"/>
            </w:tcBorders>
          </w:tcPr>
          <w:p>
            <w:pPr/>
          </w:p>
        </w:tc>
      </w:tr>
      <w:tr>
        <w:trPr>
          <w:trHeight w:val="392" w:hRule="exact"/>
        </w:trPr>
        <w:tc>
          <w:tcPr>
            <w:tcW w:w="239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报告期末优先股股东总数</w:t>
            </w:r>
          </w:p>
        </w:tc>
        <w:tc>
          <w:tcPr>
            <w:tcW w:w="2406" w:type="dxa"/>
            <w:gridSpan w:val="3"/>
            <w:vMerge/>
            <w:tcBorders>
              <w:left w:val="single" w:sz="9" w:space="0" w:color="D2D2D2"/>
              <w:right w:val="single" w:sz="13" w:space="0" w:color="D2D2D2"/>
            </w:tcBorders>
          </w:tcPr>
          <w:p>
            <w:pPr/>
          </w:p>
        </w:tc>
        <w:tc>
          <w:tcPr>
            <w:tcW w:w="2369" w:type="dxa"/>
            <w:gridSpan w:val="2"/>
            <w:vMerge/>
            <w:tcBorders>
              <w:left w:val="single" w:sz="4" w:space="0" w:color="000000"/>
              <w:right w:val="single" w:sz="4" w:space="0" w:color="000000"/>
            </w:tcBorders>
            <w:shd w:val="clear" w:color="auto" w:fill="D2D2D2"/>
          </w:tcPr>
          <w:p>
            <w:pPr/>
          </w:p>
        </w:tc>
        <w:tc>
          <w:tcPr>
            <w:tcW w:w="2402" w:type="dxa"/>
            <w:gridSpan w:val="3"/>
            <w:vMerge/>
            <w:tcBorders>
              <w:left w:val="single" w:sz="13" w:space="0" w:color="D2D2D2"/>
              <w:right w:val="single" w:sz="4" w:space="0" w:color="000000"/>
            </w:tcBorders>
          </w:tcPr>
          <w:p>
            <w:pPr/>
          </w:p>
        </w:tc>
      </w:tr>
      <w:tr>
        <w:trPr>
          <w:trHeight w:val="166" w:hRule="exact"/>
        </w:trPr>
        <w:tc>
          <w:tcPr>
            <w:tcW w:w="23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406" w:type="dxa"/>
            <w:gridSpan w:val="3"/>
            <w:vMerge/>
            <w:tcBorders>
              <w:left w:val="single" w:sz="9" w:space="0" w:color="D2D2D2"/>
              <w:bottom w:val="single" w:sz="4" w:space="0" w:color="000000"/>
              <w:right w:val="single" w:sz="13" w:space="0" w:color="D2D2D2"/>
            </w:tcBorders>
          </w:tcPr>
          <w:p>
            <w:pPr/>
          </w:p>
        </w:tc>
        <w:tc>
          <w:tcPr>
            <w:tcW w:w="2369" w:type="dxa"/>
            <w:gridSpan w:val="2"/>
            <w:vMerge/>
            <w:tcBorders>
              <w:left w:val="single" w:sz="4" w:space="0" w:color="000000"/>
              <w:bottom w:val="single" w:sz="4" w:space="0" w:color="000000"/>
              <w:right w:val="single" w:sz="4" w:space="0" w:color="000000"/>
            </w:tcBorders>
            <w:shd w:val="clear" w:color="auto" w:fill="D2D2D2"/>
          </w:tcPr>
          <w:p>
            <w:pPr/>
          </w:p>
        </w:tc>
        <w:tc>
          <w:tcPr>
            <w:tcW w:w="2402" w:type="dxa"/>
            <w:gridSpan w:val="3"/>
            <w:vMerge/>
            <w:tcBorders>
              <w:left w:val="single" w:sz="13" w:space="0" w:color="D2D2D2"/>
              <w:bottom w:val="single" w:sz="4" w:space="0" w:color="000000"/>
              <w:right w:val="single" w:sz="4" w:space="0" w:color="000000"/>
            </w:tcBorders>
          </w:tcPr>
          <w:p>
            <w:pPr/>
          </w:p>
        </w:tc>
      </w:tr>
      <w:tr>
        <w:trPr>
          <w:trHeight w:val="397"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名优先股股东持股情况</w:t>
            </w:r>
          </w:p>
        </w:tc>
      </w:tr>
      <w:tr>
        <w:trPr>
          <w:trHeight w:val="206" w:hRule="exact"/>
        </w:trPr>
        <w:tc>
          <w:tcPr>
            <w:tcW w:w="12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6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2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1" w:hRule="exact"/>
        </w:trPr>
        <w:tc>
          <w:tcPr>
            <w:tcW w:w="12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3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6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46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73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持优先股数量</w:t>
            </w:r>
          </w:p>
        </w:tc>
        <w:tc>
          <w:tcPr>
            <w:tcW w:w="2241"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257" w:type="dxa"/>
            <w:vMerge/>
            <w:tcBorders>
              <w:left w:val="single" w:sz="4" w:space="0" w:color="000000"/>
              <w:bottom w:val="nil" w:sz="6" w:space="0" w:color="auto"/>
              <w:right w:val="single" w:sz="4" w:space="0" w:color="000000"/>
            </w:tcBorders>
            <w:shd w:val="clear" w:color="auto" w:fill="D2D2D2"/>
          </w:tcPr>
          <w:p>
            <w:pPr/>
          </w:p>
        </w:tc>
        <w:tc>
          <w:tcPr>
            <w:tcW w:w="1237" w:type="dxa"/>
            <w:gridSpan w:val="2"/>
            <w:vMerge/>
            <w:tcBorders>
              <w:left w:val="single" w:sz="4" w:space="0" w:color="000000"/>
              <w:bottom w:val="nil" w:sz="6" w:space="0" w:color="auto"/>
              <w:right w:val="single" w:sz="4" w:space="0" w:color="000000"/>
            </w:tcBorders>
            <w:shd w:val="clear" w:color="auto" w:fill="D2D2D2"/>
          </w:tcPr>
          <w:p>
            <w:pPr/>
          </w:p>
        </w:tc>
        <w:tc>
          <w:tcPr>
            <w:tcW w:w="1632" w:type="dxa"/>
            <w:vMerge/>
            <w:tcBorders>
              <w:left w:val="single" w:sz="4" w:space="0" w:color="000000"/>
              <w:bottom w:val="nil" w:sz="6" w:space="0" w:color="auto"/>
              <w:right w:val="single" w:sz="4" w:space="0" w:color="000000"/>
            </w:tcBorders>
            <w:shd w:val="clear" w:color="auto" w:fill="D2D2D2"/>
          </w:tcPr>
          <w:p>
            <w:pPr/>
          </w:p>
        </w:tc>
        <w:tc>
          <w:tcPr>
            <w:tcW w:w="1463" w:type="dxa"/>
            <w:gridSpan w:val="2"/>
            <w:vMerge/>
            <w:tcBorders>
              <w:left w:val="single" w:sz="4" w:space="0" w:color="000000"/>
              <w:bottom w:val="nil" w:sz="6" w:space="0" w:color="auto"/>
              <w:right w:val="single" w:sz="4" w:space="0" w:color="000000"/>
            </w:tcBorders>
            <w:shd w:val="clear" w:color="auto" w:fill="D2D2D2"/>
          </w:tcPr>
          <w:p>
            <w:pPr/>
          </w:p>
        </w:tc>
        <w:tc>
          <w:tcPr>
            <w:tcW w:w="1739" w:type="dxa"/>
            <w:gridSpan w:val="2"/>
            <w:vMerge/>
            <w:tcBorders>
              <w:left w:val="single" w:sz="4" w:space="0" w:color="000000"/>
              <w:bottom w:val="nil" w:sz="6" w:space="0" w:color="auto"/>
              <w:right w:val="single" w:sz="4" w:space="0" w:color="000000"/>
            </w:tcBorders>
            <w:shd w:val="clear" w:color="auto" w:fill="D2D2D2"/>
          </w:tcPr>
          <w:p>
            <w:pPr/>
          </w:p>
        </w:tc>
        <w:tc>
          <w:tcPr>
            <w:tcW w:w="11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8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2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6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14" w:type="dxa"/>
            <w:vMerge/>
            <w:tcBorders>
              <w:left w:val="single" w:sz="4" w:space="0" w:color="000000"/>
              <w:bottom w:val="single" w:sz="4" w:space="0" w:color="000000"/>
              <w:right w:val="single" w:sz="4" w:space="0" w:color="000000"/>
            </w:tcBorders>
            <w:shd w:val="clear" w:color="auto" w:fill="D2D2D2"/>
          </w:tcPr>
          <w:p>
            <w:pPr/>
          </w:p>
        </w:tc>
        <w:tc>
          <w:tcPr>
            <w:tcW w:w="112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
        </w:tc>
        <w:tc>
          <w:tcPr>
            <w:tcW w:w="1237" w:type="dxa"/>
            <w:gridSpan w:val="2"/>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463" w:type="dxa"/>
            <w:gridSpan w:val="2"/>
            <w:tcBorders>
              <w:top w:val="single" w:sz="4" w:space="0" w:color="000000"/>
              <w:left w:val="single" w:sz="4" w:space="0" w:color="000000"/>
              <w:bottom w:val="single" w:sz="4" w:space="0" w:color="000000"/>
              <w:right w:val="single" w:sz="4" w:space="0" w:color="000000"/>
            </w:tcBorders>
          </w:tcPr>
          <w:p>
            <w:pPr/>
          </w:p>
        </w:tc>
        <w:tc>
          <w:tcPr>
            <w:tcW w:w="1739" w:type="dxa"/>
            <w:gridSpan w:val="2"/>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75" w:type="dxa"/>
            <w:gridSpan w:val="7"/>
            <w:tcBorders>
              <w:top w:val="single" w:sz="4" w:space="0" w:color="000000"/>
              <w:left w:val="single" w:sz="9" w:space="0" w:color="D2D2D2"/>
              <w:bottom w:val="single" w:sz="4" w:space="0" w:color="000000"/>
              <w:right w:val="single" w:sz="4" w:space="0" w:color="000000"/>
            </w:tcBorders>
          </w:tcPr>
          <w:p>
            <w:pPr/>
          </w:p>
        </w:tc>
      </w:tr>
    </w:tbl>
    <w:p>
      <w:pPr>
        <w:pStyle w:val="BodyText"/>
        <w:spacing w:line="240" w:lineRule="auto" w:before="51"/>
        <w:ind w:left="154" w:right="889"/>
        <w:jc w:val="left"/>
      </w:pPr>
      <w:r>
        <w:rPr/>
        <w:t>公司报告期无优先股股东持股情况。</w:t>
      </w:r>
    </w:p>
    <w:p>
      <w:pPr>
        <w:spacing w:line="240" w:lineRule="auto" w:before="11"/>
        <w:rPr>
          <w:rFonts w:ascii="宋体" w:hAnsi="宋体" w:cs="宋体" w:eastAsia="宋体" w:hint="default"/>
          <w:sz w:val="26"/>
          <w:szCs w:val="26"/>
        </w:rPr>
      </w:pPr>
    </w:p>
    <w:p>
      <w:pPr>
        <w:pStyle w:val="Heading3"/>
        <w:spacing w:line="240" w:lineRule="auto"/>
        <w:ind w:left="154" w:right="889"/>
        <w:jc w:val="left"/>
        <w:rPr>
          <w:b w:val="0"/>
          <w:bCs w:val="0"/>
        </w:rPr>
      </w:pPr>
      <w:bookmarkStart w:name="（3）以方框图形式披露公司与实际控制人之间的产权及控制关系" w:id="349"/>
      <w:bookmarkEnd w:id="349"/>
      <w:r>
        <w:rPr>
          <w:b w:val="0"/>
          <w:bCs w:val="0"/>
        </w:rPr>
      </w:r>
      <w:r>
        <w:rPr/>
        <w:t>（</w:t>
      </w:r>
      <w:r>
        <w:rPr>
          <w:rFonts w:ascii="Times New Roman" w:hAnsi="Times New Roman" w:cs="Times New Roman" w:eastAsia="Times New Roman" w:hint="default"/>
        </w:rPr>
        <w:t>3</w:t>
      </w:r>
      <w:r>
        <w:rPr/>
        <w:t>）以方框图形式披露公司与实际控制人之间的产权及控制关系</w:t>
      </w:r>
      <w:r>
        <w:rPr>
          <w:b w:val="0"/>
          <w:bCs w:val="0"/>
        </w:rPr>
      </w:r>
    </w:p>
    <w:p>
      <w:pPr>
        <w:spacing w:line="240" w:lineRule="auto" w:before="6"/>
        <w:rPr>
          <w:rFonts w:ascii="宋体" w:hAnsi="宋体" w:cs="宋体" w:eastAsia="宋体" w:hint="default"/>
          <w:b/>
          <w:bCs/>
          <w:sz w:val="28"/>
          <w:szCs w:val="28"/>
        </w:rPr>
      </w:pPr>
    </w:p>
    <w:p>
      <w:pPr>
        <w:spacing w:line="3045" w:lineRule="exact"/>
        <w:ind w:left="1356"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4592081" cy="1933575"/>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5" cstate="print"/>
                    <a:stretch>
                      <a:fillRect/>
                    </a:stretch>
                  </pic:blipFill>
                  <pic:spPr>
                    <a:xfrm>
                      <a:off x="0" y="0"/>
                      <a:ext cx="4592081" cy="1933575"/>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11"/>
        <w:rPr>
          <w:rFonts w:ascii="宋体" w:hAnsi="宋体" w:cs="宋体" w:eastAsia="宋体" w:hint="default"/>
          <w:b/>
          <w:bCs/>
          <w:sz w:val="24"/>
          <w:szCs w:val="24"/>
        </w:rPr>
      </w:pPr>
    </w:p>
    <w:p>
      <w:pPr>
        <w:spacing w:before="0"/>
        <w:ind w:left="153" w:right="889" w:firstLine="0"/>
        <w:jc w:val="left"/>
        <w:rPr>
          <w:rFonts w:ascii="宋体" w:hAnsi="宋体" w:cs="宋体" w:eastAsia="宋体" w:hint="default"/>
          <w:sz w:val="21"/>
          <w:szCs w:val="21"/>
        </w:rPr>
      </w:pPr>
      <w:bookmarkStart w:name="5、公司债券情况" w:id="350"/>
      <w:bookmarkEnd w:id="35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、公司债券情况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line="240" w:lineRule="auto" w:before="13"/>
        <w:rPr>
          <w:rFonts w:ascii="宋体" w:hAnsi="宋体" w:cs="宋体" w:eastAsia="宋体" w:hint="default"/>
          <w:sz w:val="19"/>
          <w:szCs w:val="19"/>
        </w:rPr>
      </w:pPr>
    </w:p>
    <w:p>
      <w:pPr>
        <w:pStyle w:val="Heading3"/>
        <w:spacing w:line="240" w:lineRule="auto"/>
        <w:ind w:left="154" w:right="889"/>
        <w:jc w:val="left"/>
        <w:rPr>
          <w:b w:val="0"/>
          <w:bCs w:val="0"/>
        </w:rPr>
      </w:pPr>
      <w:bookmarkStart w:name="（1）公司债券基本信息" w:id="351"/>
      <w:bookmarkEnd w:id="351"/>
      <w:r>
        <w:rPr>
          <w:b w:val="0"/>
          <w:bCs w:val="0"/>
        </w:rPr>
      </w:r>
      <w:r>
        <w:rPr/>
        <w:t>（</w:t>
      </w:r>
      <w:r>
        <w:rPr>
          <w:rFonts w:ascii="Times New Roman" w:hAnsi="Times New Roman" w:cs="Times New Roman" w:eastAsia="Times New Roman" w:hint="default"/>
        </w:rPr>
        <w:t>1</w:t>
      </w:r>
      <w:r>
        <w:rPr/>
        <w:t>）公司债券基本信息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795"/>
        <w:gridCol w:w="800"/>
        <w:gridCol w:w="1595"/>
        <w:gridCol w:w="1594"/>
        <w:gridCol w:w="1594"/>
        <w:gridCol w:w="1596"/>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5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债券余额（万元）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利率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gridSpan w:val="2"/>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9" w:type="dxa"/>
            <w:gridSpan w:val="5"/>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spacing w:before="35"/>
        <w:ind w:left="154" w:right="889" w:firstLine="0"/>
        <w:jc w:val="left"/>
        <w:rPr>
          <w:rFonts w:ascii="宋体" w:hAnsi="宋体" w:cs="宋体" w:eastAsia="宋体" w:hint="default"/>
          <w:sz w:val="21"/>
          <w:szCs w:val="21"/>
        </w:rPr>
      </w:pPr>
      <w:bookmarkStart w:name="（2）公司债券最新跟踪评级及评级变化情况" w:id="352"/>
      <w:bookmarkEnd w:id="3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）公司债券最新跟踪评级及评级变化情况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154" w:right="889"/>
        <w:jc w:val="left"/>
      </w:pPr>
      <w:r>
        <w:rPr/>
        <w:t>注：公司应披露报告期内资信评级机构对公司及公司债券作出的最新跟踪评级及评级变化情况。</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89"/>
        <w:jc w:val="left"/>
        <w:rPr>
          <w:b w:val="0"/>
          <w:bCs w:val="0"/>
        </w:rPr>
      </w:pPr>
      <w:bookmarkStart w:name="（3）截至报告期末公司近2年的主要会计数据和财务指标" w:id="353"/>
      <w:bookmarkEnd w:id="353"/>
      <w:r>
        <w:rPr>
          <w:b w:val="0"/>
          <w:bCs w:val="0"/>
        </w:rPr>
      </w:r>
      <w:r>
        <w:rPr/>
        <w:t>（</w:t>
      </w:r>
      <w:r>
        <w:rPr>
          <w:rFonts w:ascii="Times New Roman" w:hAnsi="Times New Roman" w:cs="Times New Roman" w:eastAsia="Times New Roman" w:hint="default"/>
        </w:rPr>
        <w:t>3</w:t>
      </w:r>
      <w:r>
        <w:rPr/>
        <w:t>）截至报告期末公司近</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年的主要会计数据和财务指标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405"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889"/>
        <w:jc w:val="left"/>
      </w:pPr>
      <w:r>
        <w:rPr/>
        <w:t>注：</w:t>
      </w:r>
      <w:r>
        <w:rPr>
          <w:rFonts w:ascii="Times New Roman" w:hAnsi="Times New Roman" w:cs="Times New Roman" w:eastAsia="Times New Roman" w:hint="default"/>
        </w:rPr>
        <w:t>1</w:t>
      </w:r>
      <w:r>
        <w:rPr/>
        <w:t>、公司可自定义增加行披露其他有助于投资者了解其财务信息的会计数据或财务指标。</w:t>
      </w:r>
    </w:p>
    <w:p>
      <w:pPr>
        <w:pStyle w:val="BodyText"/>
        <w:spacing w:line="240" w:lineRule="auto" w:before="102"/>
        <w:ind w:right="88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EBITDA</w:t>
      </w:r>
      <w:r>
        <w:rPr>
          <w:rFonts w:ascii="Times New Roman" w:hAnsi="Times New Roman" w:cs="Times New Roman" w:eastAsia="Times New Roman" w:hint="default"/>
          <w:spacing w:val="-2"/>
        </w:rPr>
        <w:t> </w:t>
      </w:r>
      <w:r>
        <w:rPr/>
        <w:t>全部债务比</w:t>
      </w:r>
      <w:r>
        <w:rPr>
          <w:rFonts w:ascii="Times New Roman" w:hAnsi="Times New Roman" w:cs="Times New Roman" w:eastAsia="Times New Roman" w:hint="default"/>
        </w:rPr>
        <w:t>=</w:t>
      </w:r>
      <w:r>
        <w:rPr/>
        <w:t>息税折旧摊销前利润</w:t>
      </w:r>
      <w:r>
        <w:rPr>
          <w:rFonts w:ascii="Times New Roman" w:hAnsi="Times New Roman" w:cs="Times New Roman" w:eastAsia="Times New Roman" w:hint="default"/>
        </w:rPr>
        <w:t>/</w:t>
      </w:r>
      <w:r>
        <w:rPr/>
        <w:t>全部债务</w:t>
      </w:r>
    </w:p>
    <w:p>
      <w:pPr>
        <w:pStyle w:val="BodyText"/>
        <w:spacing w:line="240" w:lineRule="auto" w:before="103"/>
        <w:ind w:right="889"/>
        <w:jc w:val="left"/>
      </w:pPr>
      <w:r>
        <w:rPr>
          <w:rFonts w:ascii="Times New Roman" w:hAnsi="Times New Roman" w:cs="Times New Roman" w:eastAsia="Times New Roman" w:hint="default"/>
        </w:rPr>
        <w:t>3</w:t>
      </w:r>
      <w:r>
        <w:rPr/>
        <w:t>、利息保障倍数</w:t>
      </w:r>
      <w:r>
        <w:rPr>
          <w:rFonts w:ascii="Times New Roman" w:hAnsi="Times New Roman" w:cs="Times New Roman" w:eastAsia="Times New Roman" w:hint="default"/>
        </w:rPr>
        <w:t>=</w:t>
      </w:r>
      <w:r>
        <w:rPr/>
        <w:t>息税前利润</w:t>
      </w:r>
      <w:r>
        <w:rPr>
          <w:rFonts w:ascii="Times New Roman" w:hAnsi="Times New Roman" w:cs="Times New Roman" w:eastAsia="Times New Roman" w:hint="default"/>
        </w:rPr>
        <w:t>/</w:t>
      </w:r>
      <w:r>
        <w:rPr/>
        <w:t>（计入财务费用的利息支出</w:t>
      </w:r>
      <w:r>
        <w:rPr>
          <w:rFonts w:ascii="Times New Roman" w:hAnsi="Times New Roman" w:cs="Times New Roman" w:eastAsia="Times New Roman" w:hint="default"/>
        </w:rPr>
        <w:t>+</w:t>
      </w:r>
      <w:r>
        <w:rPr/>
        <w:t>资本化的利息支出）</w:t>
      </w:r>
    </w:p>
    <w:p>
      <w:pPr>
        <w:spacing w:line="240" w:lineRule="auto" w:before="12"/>
        <w:rPr>
          <w:rFonts w:ascii="宋体" w:hAnsi="宋体" w:cs="宋体" w:eastAsia="宋体" w:hint="default"/>
          <w:sz w:val="23"/>
          <w:szCs w:val="23"/>
        </w:rPr>
      </w:pPr>
    </w:p>
    <w:p>
      <w:pPr>
        <w:pStyle w:val="Heading2"/>
        <w:spacing w:line="240" w:lineRule="auto"/>
        <w:ind w:right="889"/>
        <w:jc w:val="left"/>
        <w:rPr>
          <w:b w:val="0"/>
          <w:bCs w:val="0"/>
        </w:rPr>
      </w:pPr>
      <w:bookmarkStart w:name="三、经营情况讨论与分析" w:id="354"/>
      <w:bookmarkEnd w:id="354"/>
      <w:r>
        <w:rPr>
          <w:b w:val="0"/>
          <w:bCs w:val="0"/>
        </w:rPr>
      </w:r>
      <w:r>
        <w:rPr/>
        <w:t>三、经营情况讨论与分析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89"/>
        <w:jc w:val="left"/>
        <w:rPr>
          <w:b w:val="0"/>
          <w:bCs w:val="0"/>
        </w:rPr>
      </w:pPr>
      <w:bookmarkStart w:name="1、报告期经营情况简介" w:id="355"/>
      <w:bookmarkEnd w:id="355"/>
      <w:r>
        <w:rPr>
          <w:b w:val="0"/>
          <w:bCs w:val="0"/>
        </w:rPr>
      </w:r>
      <w:r>
        <w:rPr>
          <w:rFonts w:ascii="Times New Roman" w:hAnsi="Times New Roman" w:cs="Times New Roman" w:eastAsia="Times New Roman" w:hint="default"/>
        </w:rPr>
        <w:t>1</w:t>
      </w:r>
      <w:r>
        <w:rPr/>
        <w:t>、报告期经营情况简介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是</w:t>
      </w:r>
    </w:p>
    <w:p>
      <w:pPr>
        <w:pStyle w:val="BodyText"/>
        <w:spacing w:line="240" w:lineRule="auto" w:before="29"/>
        <w:ind w:left="154" w:right="889"/>
        <w:jc w:val="left"/>
      </w:pPr>
      <w:r>
        <w:rPr/>
        <w:t>装修装饰业</w:t>
      </w:r>
    </w:p>
    <w:p>
      <w:pPr>
        <w:pStyle w:val="BodyText"/>
        <w:spacing w:line="319" w:lineRule="auto" w:before="116"/>
        <w:ind w:right="889"/>
        <w:jc w:val="left"/>
      </w:pPr>
      <w:r>
        <w:rPr/>
        <w:t>公司需遵守《深圳证券交易所行业信息披露指引第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上市公司从事畜禽、水产养殖业务》的披露要求 </w:t>
      </w:r>
      <w:r>
        <w:rPr>
          <w:spacing w:val="-4"/>
        </w:rPr>
        <w:t>注：（</w:t>
      </w:r>
      <w:r>
        <w:rPr>
          <w:rFonts w:ascii="Times New Roman" w:hAnsi="Times New Roman" w:cs="Times New Roman" w:eastAsia="Times New Roman" w:hint="default"/>
          <w:spacing w:val="-4"/>
        </w:rPr>
        <w:t>1</w:t>
      </w:r>
      <w:r>
        <w:rPr>
          <w:spacing w:val="-4"/>
        </w:rPr>
        <w:t>）当报告期内出现重大疫病流行且国务院兽医主管部门公布重大动物疫情时，应当在报告期内重要事项中披露疫病发</w:t>
      </w:r>
      <w:r>
        <w:rPr>
          <w:spacing w:val="-44"/>
        </w:rPr>
        <w:t> </w:t>
      </w:r>
      <w:r>
        <w:rPr>
          <w:spacing w:val="-44"/>
        </w:rPr>
      </w:r>
      <w:r>
        <w:rPr/>
        <w:t>生情况，包括但不限于疫病类型、预计损失金额、影响业绩情况以及采取的应对措施等。</w:t>
      </w:r>
    </w:p>
    <w:p>
      <w:pPr>
        <w:pStyle w:val="BodyText"/>
        <w:spacing w:line="302" w:lineRule="auto" w:before="56"/>
        <w:ind w:right="1123"/>
        <w:jc w:val="left"/>
      </w:pPr>
      <w:r>
        <w:rPr/>
        <w:t>（</w:t>
      </w:r>
      <w:r>
        <w:rPr>
          <w:rFonts w:ascii="Times New Roman" w:hAnsi="Times New Roman" w:cs="Times New Roman" w:eastAsia="Times New Roman" w:hint="default"/>
        </w:rPr>
        <w:t>2</w:t>
      </w:r>
      <w:r>
        <w:rPr/>
        <w:t>）当报告期内发生对公司业务造成重大影响的自然灾害时，应当披露自然灾害对公司业务的影响情况，包括但不限于预 计的损失金额、保险投保情况及可能的赔偿情况、公司拟采取的应对措施、灾后重建计划等。</w:t>
      </w:r>
    </w:p>
    <w:p>
      <w:pPr>
        <w:pStyle w:val="BodyText"/>
        <w:spacing w:line="309" w:lineRule="auto" w:before="68"/>
        <w:ind w:left="154" w:right="1133"/>
        <w:jc w:val="both"/>
      </w:pPr>
      <w:r>
        <w:rPr/>
        <w:t>（</w:t>
      </w:r>
      <w:r>
        <w:rPr>
          <w:rFonts w:ascii="Times New Roman" w:hAnsi="Times New Roman" w:cs="Times New Roman" w:eastAsia="Times New Roman" w:hint="default"/>
        </w:rPr>
        <w:t>3</w:t>
      </w:r>
      <w:r>
        <w:rPr/>
        <w:t>）公司应当简要介绍公司报告期内的经营情况，主要围绕公司的市场份额、市场排名、产能和产量及销量、销售价格、 </w:t>
      </w:r>
      <w:r>
        <w:rPr>
          <w:spacing w:val="-2"/>
        </w:rPr>
        <w:t>成本构成等数据，尽量选择当期重大变化的情况进行讨论，分析公司报告期内经营活动的总体状况；年度报告摘要刊登篇幅</w:t>
      </w:r>
      <w:r>
        <w:rPr>
          <w:spacing w:val="-66"/>
        </w:rPr>
        <w:t> </w:t>
      </w:r>
      <w:r>
        <w:rPr>
          <w:spacing w:val="-66"/>
        </w:rPr>
      </w:r>
      <w:r>
        <w:rPr/>
        <w:t>原则上不超过报纸的</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版面。</w:t>
      </w:r>
    </w:p>
    <w:p>
      <w:pPr>
        <w:pStyle w:val="BodyText"/>
        <w:spacing w:line="338" w:lineRule="auto" w:before="44"/>
        <w:ind w:right="889"/>
        <w:jc w:val="left"/>
      </w:pPr>
      <w:r>
        <w:rPr/>
        <w:t>公司需遵守《深圳证券交易所行业信息披露指引第</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上市公司从事固体矿产资源相关业务》的披露要求 </w:t>
      </w:r>
      <w:r>
        <w:rPr>
          <w:spacing w:val="-2"/>
        </w:rPr>
        <w:t>注：（一）公司管理层应当简要介绍公司报告期内的经营情况，主要围绕公司的市场份额、市场排名、产能和产量及销量、</w:t>
      </w:r>
      <w:r>
        <w:rPr>
          <w:spacing w:val="-72"/>
        </w:rPr>
        <w:t> </w:t>
      </w:r>
      <w:r>
        <w:rPr>
          <w:spacing w:val="-72"/>
        </w:rPr>
      </w:r>
      <w:r>
        <w:rPr/>
        <w:t>销售价格、成本构成等数据，尽量选择当期重大变化的情况进行讨论，分析公司报告期内经营活动的总体状况。 请注意年度报告摘要刊登篇幅原则上不超过报纸的</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版面。</w:t>
      </w:r>
    </w:p>
    <w:p>
      <w:pPr>
        <w:pStyle w:val="BodyText"/>
        <w:spacing w:line="240" w:lineRule="auto" w:before="20"/>
        <w:ind w:right="889"/>
        <w:jc w:val="left"/>
      </w:pPr>
      <w:r>
        <w:rPr/>
        <w:t>（二）上市公司可以披露公司在全行业或区域市场的市场份额，以及在行业总体经济总量中的占比等情况；</w:t>
      </w:r>
    </w:p>
    <w:p>
      <w:pPr>
        <w:pStyle w:val="BodyText"/>
        <w:spacing w:line="319" w:lineRule="auto" w:before="116"/>
        <w:ind w:right="889"/>
        <w:jc w:val="left"/>
      </w:pPr>
      <w:r>
        <w:rPr>
          <w:spacing w:val="-2"/>
        </w:rPr>
        <w:t>（三）上市公司应分品种披露矿产品的产销量、营业收入、营业成本、毛利率等主要经营、财务数据及其较前一年度的变动</w:t>
      </w:r>
      <w:r>
        <w:rPr>
          <w:spacing w:val="-66"/>
        </w:rPr>
        <w:t> </w:t>
      </w:r>
      <w:r>
        <w:rPr>
          <w:spacing w:val="-66"/>
        </w:rPr>
      </w:r>
      <w:r>
        <w:rPr/>
        <w:t>情况。</w:t>
      </w:r>
    </w:p>
    <w:p>
      <w:pPr>
        <w:pStyle w:val="BodyText"/>
        <w:spacing w:line="328" w:lineRule="auto" w:before="56"/>
        <w:ind w:right="889"/>
        <w:jc w:val="left"/>
      </w:pPr>
      <w:r>
        <w:rPr/>
        <w:t>公司需遵守《深圳证券交易所行业信息披露指引第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w:t>
      </w:r>
      <w:r>
        <w:rPr>
          <w:spacing w:val="-2"/>
        </w:rPr>
        <w:t>注：（一）披露报告期内通过审定的品种数量、报告期内制种产量及其变化、种植产量及其变化、以及报告期内发生的销售</w:t>
      </w:r>
      <w:r>
        <w:rPr>
          <w:spacing w:val="-72"/>
        </w:rPr>
        <w:t> </w:t>
      </w:r>
      <w:r>
        <w:rPr>
          <w:spacing w:val="-72"/>
        </w:rPr>
      </w:r>
      <w:r>
        <w:rPr/>
        <w:t>退回（包括销售退回总额和涉及的主要品种）等情况。</w:t>
      </w:r>
    </w:p>
    <w:p>
      <w:pPr>
        <w:pStyle w:val="BodyText"/>
        <w:spacing w:line="240" w:lineRule="auto" w:before="50"/>
        <w:ind w:left="154" w:right="889"/>
        <w:jc w:val="left"/>
      </w:pPr>
      <w:r>
        <w:rPr/>
        <w:t>（二）披露公司商标、专利、品种权等重要无形资产在报告期内的重大变化情况以及对公司的影响。</w:t>
      </w:r>
    </w:p>
    <w:p>
      <w:pPr>
        <w:pStyle w:val="BodyText"/>
        <w:spacing w:line="319" w:lineRule="auto" w:before="116"/>
        <w:ind w:right="1033"/>
        <w:jc w:val="left"/>
      </w:pPr>
      <w:r>
        <w:rPr/>
        <w:t>（三）公司应当简要介绍公司报告期内的经营情况，主要围绕公司的市场份额、市场排名、产能和产量及销量、销售价格、 </w:t>
      </w:r>
      <w:r>
        <w:rPr>
          <w:spacing w:val="-2"/>
        </w:rPr>
        <w:t>成本构成等数据，尽量选择当期重大变化的情况进行讨论，分析公司报告期内经营活动的总体状况；年度报告摘要刊登篇幅</w:t>
      </w:r>
      <w:r>
        <w:rPr>
          <w:spacing w:val="-66"/>
        </w:rPr>
        <w:t> </w:t>
      </w:r>
      <w:r>
        <w:rPr>
          <w:spacing w:val="-66"/>
        </w:rPr>
      </w:r>
      <w:r>
        <w:rPr/>
        <w:t>原则上不超过报纸的</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版面。</w:t>
      </w:r>
    </w:p>
    <w:p>
      <w:pPr>
        <w:spacing w:after="0" w:line="319"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28" w:lineRule="auto" w:before="44"/>
        <w:ind w:right="889"/>
        <w:jc w:val="left"/>
      </w:pPr>
      <w:r>
        <w:rPr/>
        <w:t>公司需遵守《深圳证券交易所行业信息披露指引第</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上市公司从事装修装饰业务》的披露要求 </w:t>
      </w:r>
      <w:r>
        <w:rPr>
          <w:spacing w:val="-2"/>
        </w:rPr>
        <w:t>注：（一）公司应当说明与装修装饰行业相关的宏观经济形势、行业政策环境等外部因素的变化情况，公司主营业务的行业</w:t>
      </w:r>
      <w:r>
        <w:rPr>
          <w:spacing w:val="-72"/>
        </w:rPr>
        <w:t> </w:t>
      </w:r>
      <w:r>
        <w:rPr>
          <w:spacing w:val="-72"/>
        </w:rPr>
      </w:r>
      <w:r>
        <w:rPr/>
        <w:t>发展及国内外市场需求情况，并说明对公司当期及未来发展的具体影响，以及公司已经或计划采取的应对措施；</w:t>
      </w:r>
    </w:p>
    <w:p>
      <w:pPr>
        <w:pStyle w:val="BodyText"/>
        <w:spacing w:line="240" w:lineRule="auto" w:before="50"/>
        <w:ind w:right="889"/>
        <w:jc w:val="left"/>
      </w:pPr>
      <w:r>
        <w:rPr/>
        <w:t>（二）上市公司应当详细披露实施工程项目的工程分包及自行施工情况，工程分包及自行施工涉及业务范围、业务占比等；</w:t>
      </w:r>
    </w:p>
    <w:p>
      <w:pPr>
        <w:pStyle w:val="BodyText"/>
        <w:spacing w:line="319" w:lineRule="auto" w:before="115"/>
        <w:ind w:left="154" w:right="1132"/>
        <w:jc w:val="both"/>
      </w:pPr>
      <w:r>
        <w:rPr>
          <w:spacing w:val="-2"/>
        </w:rPr>
        <w:t>（三）上市公司应当结合工程分包模式、自行施工模式等披露公司的质量控制体系、执行标准、控制措施及整体评价。公司</w:t>
      </w:r>
      <w:r>
        <w:rPr>
          <w:spacing w:val="-66"/>
        </w:rPr>
        <w:t> </w:t>
      </w:r>
      <w:r>
        <w:rPr>
          <w:spacing w:val="-66"/>
        </w:rPr>
      </w:r>
      <w:r>
        <w:rPr>
          <w:spacing w:val="-2"/>
        </w:rPr>
        <w:t>应当披露报告期内的重大项目质量问题，并说明可能产生的工程回款、收入确认及诉讼仲裁等风险。重大项目是指项目金额</w:t>
      </w:r>
      <w:r>
        <w:rPr>
          <w:spacing w:val="-66"/>
        </w:rPr>
        <w:t> </w:t>
      </w:r>
      <w:r>
        <w:rPr>
          <w:spacing w:val="-66"/>
        </w:rPr>
      </w:r>
      <w:r>
        <w:rPr/>
        <w:t>占公司最近一个会计年度经审计营业收入</w:t>
      </w:r>
      <w:r>
        <w:rPr>
          <w:spacing w:val="-46"/>
        </w:rPr>
        <w:t> </w:t>
      </w:r>
      <w:r>
        <w:rPr>
          <w:rFonts w:ascii="Times New Roman" w:hAnsi="Times New Roman" w:cs="Times New Roman" w:eastAsia="Times New Roman" w:hint="default"/>
        </w:rPr>
        <w:t>10%</w:t>
      </w:r>
      <w:r>
        <w:rPr/>
        <w:t>以上的项目。</w:t>
      </w:r>
    </w:p>
    <w:p>
      <w:pPr>
        <w:pStyle w:val="BodyText"/>
        <w:spacing w:line="319" w:lineRule="auto" w:before="35"/>
        <w:ind w:left="154" w:right="1032"/>
        <w:jc w:val="left"/>
      </w:pPr>
      <w:r>
        <w:rPr/>
        <w:t>（四）公司应当简要介绍公司报告期内的经营情况，主要围绕公司的市场份额、市场排名、产能和产量及销量、销售价格、 </w:t>
      </w:r>
      <w:r>
        <w:rPr>
          <w:spacing w:val="-2"/>
        </w:rPr>
        <w:t>成本构成等数据，尽量选择当期重大变化的情况进行讨论，分析公司报告期内经营活动的总体状况；年度报告摘要刊登篇幅</w:t>
      </w:r>
      <w:r>
        <w:rPr>
          <w:spacing w:val="-66"/>
        </w:rPr>
        <w:t> </w:t>
      </w:r>
      <w:r>
        <w:rPr>
          <w:spacing w:val="-66"/>
        </w:rPr>
      </w:r>
      <w:r>
        <w:rPr/>
        <w:t>原则上不超过报纸的</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版面。</w:t>
      </w:r>
    </w:p>
    <w:p>
      <w:pPr>
        <w:pStyle w:val="BodyText"/>
        <w:spacing w:line="338" w:lineRule="auto" w:before="38"/>
        <w:ind w:right="3194"/>
        <w:jc w:val="left"/>
      </w:pPr>
      <w:r>
        <w:rPr/>
        <w:t>公司需遵守《深圳证券交易所行业信息披露指引第</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 注：公司应当简要介绍报告期内公司从事的房地产业务的主要情况，包括但不限于以下内容：</w:t>
      </w:r>
    </w:p>
    <w:p>
      <w:pPr>
        <w:pStyle w:val="BodyText"/>
        <w:spacing w:line="319" w:lineRule="auto" w:before="41"/>
        <w:ind w:right="1131"/>
        <w:jc w:val="both"/>
      </w:pPr>
      <w:r>
        <w:rPr>
          <w:spacing w:val="-2"/>
        </w:rPr>
        <w:t>（一）公司管理层应当简要介绍公司报告期内的经营情况，主要围绕公司的市场份额、市场排名、产能和产量及销量、销售</w:t>
      </w:r>
      <w:r>
        <w:rPr>
          <w:spacing w:val="-66"/>
        </w:rPr>
        <w:t> </w:t>
      </w:r>
      <w:r>
        <w:rPr>
          <w:spacing w:val="-66"/>
        </w:rPr>
      </w:r>
      <w:r>
        <w:rPr>
          <w:spacing w:val="-2"/>
        </w:rPr>
        <w:t>价格、成本构成等数据，尽量选择当期重大变化的情况进行讨论，分析公司报告期内经营活动的总体状况；年度报告摘要刊</w:t>
      </w:r>
      <w:r>
        <w:rPr>
          <w:spacing w:val="-66"/>
        </w:rPr>
        <w:t> </w:t>
      </w:r>
      <w:r>
        <w:rPr>
          <w:spacing w:val="-66"/>
        </w:rPr>
      </w:r>
      <w:r>
        <w:rPr/>
        <w:t>登篇幅原则上不超过报纸的</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版面。</w:t>
      </w:r>
    </w:p>
    <w:p>
      <w:pPr>
        <w:pStyle w:val="BodyText"/>
        <w:spacing w:line="319" w:lineRule="auto" w:before="36"/>
        <w:ind w:left="154" w:right="889"/>
        <w:jc w:val="left"/>
      </w:pPr>
      <w:r>
        <w:rPr>
          <w:spacing w:val="-2"/>
        </w:rPr>
        <w:t>（二）与房地产行业相关的宏观经济形势、行业政策环境的变化情况，上市公司主要项目所在城市的行业发展及库存去化情</w:t>
      </w:r>
      <w:r>
        <w:rPr>
          <w:spacing w:val="-66"/>
        </w:rPr>
        <w:t> </w:t>
      </w:r>
      <w:r>
        <w:rPr>
          <w:spacing w:val="-66"/>
        </w:rPr>
      </w:r>
      <w:r>
        <w:rPr/>
        <w:t>况，并说明其对上市公司未来经营业绩和盈利能力的影响；</w:t>
      </w:r>
    </w:p>
    <w:p>
      <w:pPr>
        <w:pStyle w:val="BodyText"/>
        <w:spacing w:line="240" w:lineRule="auto" w:before="56"/>
        <w:ind w:left="154" w:right="889"/>
        <w:jc w:val="left"/>
      </w:pPr>
      <w:r>
        <w:rPr/>
        <w:t>（三）主要经营模式、经营业态、主要项目所在城市的市场地位及竞争优势；</w:t>
      </w:r>
    </w:p>
    <w:p>
      <w:pPr>
        <w:pStyle w:val="BodyText"/>
        <w:spacing w:line="319" w:lineRule="auto" w:before="115"/>
        <w:ind w:right="889"/>
        <w:jc w:val="left"/>
      </w:pPr>
      <w:r>
        <w:rPr>
          <w:spacing w:val="-2"/>
        </w:rPr>
        <w:t>（四）土地储备情况，包括报告期内新增和累计持有的主要项目名称、土地用途、待开发土地面积、计容建筑面积、区域分</w:t>
      </w:r>
      <w:r>
        <w:rPr>
          <w:spacing w:val="-67"/>
        </w:rPr>
        <w:t> </w:t>
      </w:r>
      <w:r>
        <w:rPr>
          <w:spacing w:val="-67"/>
        </w:rPr>
      </w:r>
      <w:r>
        <w:rPr/>
        <w:t>布等；涉及一级土地开发的，应按项目披露规划平整土地面积、所处位置、收入分成比例等；</w:t>
      </w:r>
    </w:p>
    <w:p>
      <w:pPr>
        <w:pStyle w:val="BodyText"/>
        <w:spacing w:line="314" w:lineRule="auto" w:before="56"/>
        <w:ind w:right="1033"/>
        <w:jc w:val="left"/>
      </w:pPr>
      <w:r>
        <w:rPr>
          <w:spacing w:val="-2"/>
        </w:rPr>
        <w:t>（五）房地产开发情况，上市公司应当区分不同业态、地区按照竣工项目、在建项目、新开工项目的顺序披露各主要项目基</w:t>
      </w:r>
      <w:r>
        <w:rPr>
          <w:spacing w:val="-66"/>
        </w:rPr>
        <w:t> </w:t>
      </w:r>
      <w:r>
        <w:rPr>
          <w:spacing w:val="-66"/>
        </w:rPr>
      </w:r>
      <w:r>
        <w:rPr>
          <w:spacing w:val="-2"/>
        </w:rPr>
        <w:t>本情况，包括但不限于未取得应具备的资质文件的情况及原因（如适用）、权益占比、占地面积、计容建筑面积、已完工建</w:t>
      </w:r>
      <w:r>
        <w:rPr>
          <w:spacing w:val="-72"/>
        </w:rPr>
        <w:t> </w:t>
      </w:r>
      <w:r>
        <w:rPr>
          <w:spacing w:val="-72"/>
        </w:rPr>
      </w:r>
      <w:r>
        <w:rPr/>
        <w:t>筑面积；对于在建项目还应当披露主要项目的开工时间、预计总投资金额、实际已投资金额、实际进度与计划进度在金额、</w:t>
      </w:r>
      <w:r>
        <w:rPr/>
        <w:t> 周期等方面出现</w:t>
      </w:r>
      <w:r>
        <w:rPr>
          <w:spacing w:val="-32"/>
        </w:rPr>
        <w:t> </w:t>
      </w:r>
      <w:r>
        <w:rPr>
          <w:rFonts w:ascii="Times New Roman" w:hAnsi="Times New Roman" w:cs="Times New Roman" w:eastAsia="Times New Roman" w:hint="default"/>
          <w:spacing w:val="-3"/>
        </w:rPr>
        <w:t>50%</w:t>
      </w:r>
      <w:r>
        <w:rPr>
          <w:spacing w:val="-3"/>
        </w:rPr>
        <w:t>以上差异的情况及原因（如适用）、是否存在停工可能，如在达到可销售状态后的十二个月内未进行销</w:t>
      </w:r>
      <w:r>
        <w:rPr>
          <w:spacing w:val="-60"/>
        </w:rPr>
        <w:t> </w:t>
      </w:r>
      <w:r>
        <w:rPr>
          <w:spacing w:val="-60"/>
        </w:rPr>
      </w:r>
      <w:r>
        <w:rPr>
          <w:spacing w:val="-2"/>
        </w:rPr>
        <w:t>售的，应当说明原因；涉及一级土地开发的，应披露报告期内主要项目的平整土地面积、累计已平整土地面积、收入分成比</w:t>
      </w:r>
      <w:r>
        <w:rPr>
          <w:spacing w:val="-66"/>
        </w:rPr>
        <w:t> </w:t>
      </w:r>
      <w:r>
        <w:rPr>
          <w:spacing w:val="-66"/>
        </w:rPr>
      </w:r>
      <w:r>
        <w:rPr/>
        <w:t>例等；</w:t>
      </w:r>
    </w:p>
    <w:p>
      <w:pPr>
        <w:pStyle w:val="BodyText"/>
        <w:spacing w:line="319" w:lineRule="auto" w:before="59"/>
        <w:ind w:right="1131"/>
        <w:jc w:val="both"/>
      </w:pPr>
      <w:r>
        <w:rPr>
          <w:spacing w:val="-2"/>
        </w:rPr>
        <w:t>（六）房地产销售情况，上市公司应当区分不同业态、地区披露报告期内在售的主要项目的权益占比、本报告期初可供出售</w:t>
      </w:r>
      <w:r>
        <w:rPr>
          <w:spacing w:val="-66"/>
        </w:rPr>
        <w:t> </w:t>
      </w:r>
      <w:r>
        <w:rPr>
          <w:spacing w:val="-66"/>
        </w:rPr>
      </w:r>
      <w:r>
        <w:rPr>
          <w:spacing w:val="-2"/>
        </w:rPr>
        <w:t>面积、本报告期的预售面积、本报告期的结算面积、竣工时间等；涉及一级土地开发的，应按项目披露报告期内一级土地开</w:t>
      </w:r>
      <w:r>
        <w:rPr>
          <w:spacing w:val="-66"/>
        </w:rPr>
        <w:t> </w:t>
      </w:r>
      <w:r>
        <w:rPr>
          <w:spacing w:val="-66"/>
        </w:rPr>
      </w:r>
      <w:r>
        <w:rPr/>
        <w:t>发收入、相关款项回收情况等；</w:t>
      </w:r>
    </w:p>
    <w:p>
      <w:pPr>
        <w:pStyle w:val="BodyText"/>
        <w:spacing w:line="240" w:lineRule="auto" w:before="56"/>
        <w:ind w:right="889"/>
        <w:jc w:val="left"/>
      </w:pPr>
      <w:r>
        <w:rPr>
          <w:spacing w:val="-4"/>
        </w:rPr>
        <w:t>（七）房地产出租情况，上市公司应当区分不同业态、地区披露报告期内出租的主要项目的权益比例、楼面面积、出租率等；</w:t>
      </w:r>
    </w:p>
    <w:p>
      <w:pPr>
        <w:pStyle w:val="BodyText"/>
        <w:spacing w:line="319" w:lineRule="auto" w:before="116"/>
        <w:ind w:right="1033"/>
        <w:jc w:val="left"/>
      </w:pPr>
      <w:r>
        <w:rPr/>
        <w:t>（八）按融资途径（如银行贷款、票据、债券、信托融资、基金融资等）披露截至报告期末各类融资余额、融资成本区间、 期限结构等；</w:t>
      </w:r>
    </w:p>
    <w:p>
      <w:pPr>
        <w:pStyle w:val="BodyText"/>
        <w:spacing w:line="319" w:lineRule="auto" w:before="55"/>
        <w:ind w:right="889"/>
        <w:jc w:val="left"/>
      </w:pPr>
      <w:r>
        <w:rPr>
          <w:spacing w:val="-2"/>
        </w:rPr>
        <w:t>（九）结合房地产宏观环境及上市公司经营情况，披露发展战略和未来一年的经营计划，包括但不限于计划增加土地储备情</w:t>
      </w:r>
      <w:r>
        <w:rPr>
          <w:spacing w:val="-66"/>
        </w:rPr>
        <w:t> </w:t>
      </w:r>
      <w:r>
        <w:rPr>
          <w:spacing w:val="-66"/>
        </w:rPr>
      </w:r>
      <w:r>
        <w:rPr/>
        <w:t>况、计划开工情况、计划销售情况、相关融资安排；</w:t>
      </w:r>
    </w:p>
    <w:p>
      <w:pPr>
        <w:pStyle w:val="BodyText"/>
        <w:spacing w:line="326" w:lineRule="auto" w:before="55"/>
        <w:ind w:right="889"/>
        <w:jc w:val="left"/>
      </w:pPr>
      <w:r>
        <w:rPr>
          <w:spacing w:val="-2"/>
        </w:rPr>
        <w:t>（十）报告期内存在向其商品房承购人因银行抵押贷款提供担保的，应当披露截至报告期末尚存在担保责任的担保余额、报</w:t>
      </w:r>
      <w:r>
        <w:rPr>
          <w:spacing w:val="-66"/>
        </w:rPr>
        <w:t> </w:t>
      </w:r>
      <w:r>
        <w:rPr>
          <w:spacing w:val="-66"/>
        </w:rPr>
      </w:r>
      <w:r>
        <w:rPr/>
        <w:t>告期内已承担担保责任且涉及金额占上市公司最近一期经审计净利润</w:t>
      </w:r>
      <w:r>
        <w:rPr>
          <w:spacing w:val="-46"/>
        </w:rPr>
        <w:t> </w:t>
      </w:r>
      <w:r>
        <w:rPr>
          <w:rFonts w:ascii="Times New Roman" w:hAnsi="Times New Roman" w:cs="Times New Roman" w:eastAsia="Times New Roman" w:hint="default"/>
        </w:rPr>
        <w:t>10%</w:t>
      </w:r>
      <w:r>
        <w:rPr/>
        <w:t>以上的具体情况等。 </w:t>
      </w:r>
      <w:r>
        <w:rPr>
          <w:spacing w:val="-2"/>
        </w:rPr>
        <w:t>注：公司应当简要介绍公司报告期内的经营情况，主要围绕公司的市场份额、市场排名、产能和产量及销量、销售价格、成</w:t>
      </w:r>
      <w:r>
        <w:rPr>
          <w:spacing w:val="-67"/>
        </w:rPr>
        <w:t> </w:t>
      </w:r>
      <w:r>
        <w:rPr>
          <w:spacing w:val="-67"/>
        </w:rPr>
      </w:r>
      <w:r>
        <w:rPr/>
        <w:t>本构成等数据，尽量选择当期重大变化的情况进行讨论，分析公司报告期内经营活动的总体状况。</w:t>
      </w:r>
    </w:p>
    <w:p>
      <w:pPr>
        <w:pStyle w:val="BodyText"/>
        <w:spacing w:line="338" w:lineRule="auto" w:before="51"/>
        <w:ind w:right="889"/>
        <w:jc w:val="left"/>
      </w:pPr>
      <w:r>
        <w:rPr/>
        <w:t>请注意年度报告摘要刊登篇幅原则上不超过报纸的</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版面。 </w:t>
      </w:r>
      <w:r>
        <w:rPr>
          <w:spacing w:val="-2"/>
        </w:rPr>
        <w:t>注：公司应当简要介绍公司报告期内的经营情况，主要围绕公司的市场份额、市场排名、产能和产量及销量、销售价格、成</w:t>
      </w:r>
      <w:r>
        <w:rPr>
          <w:spacing w:val="-67"/>
        </w:rPr>
        <w:t> </w:t>
      </w:r>
      <w:r>
        <w:rPr>
          <w:spacing w:val="-67"/>
        </w:rPr>
      </w:r>
      <w:r>
        <w:rPr/>
        <w:t>本构成等数据，尽量选择当期重大变化的情况进行讨论，分析公司报告期内经营活动的总体状况。 请注意年度报告摘要刊登篇幅原则上不超过报纸的</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版面。</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89"/>
        <w:jc w:val="left"/>
        <w:rPr>
          <w:b w:val="0"/>
          <w:bCs w:val="0"/>
        </w:rPr>
      </w:pPr>
      <w:bookmarkStart w:name="2、报告期内主营业务是否存在重大变化" w:id="356"/>
      <w:bookmarkEnd w:id="356"/>
      <w:r>
        <w:rPr>
          <w:b w:val="0"/>
          <w:bCs w:val="0"/>
        </w:rPr>
      </w:r>
      <w:r>
        <w:rPr>
          <w:rFonts w:ascii="Times New Roman" w:hAnsi="Times New Roman" w:cs="Times New Roman" w:eastAsia="Times New Roman" w:hint="default"/>
        </w:rPr>
        <w:t>2</w:t>
      </w:r>
      <w:r>
        <w:rPr/>
        <w:t>、报告期内主营业务是否存在重大变化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889"/>
        <w:jc w:val="left"/>
        <w:rPr>
          <w:b w:val="0"/>
          <w:bCs w:val="0"/>
        </w:rPr>
      </w:pPr>
      <w:bookmarkStart w:name="3、占公司主营业务收入或主营业务利润10%以上的产品情况" w:id="357"/>
      <w:bookmarkEnd w:id="357"/>
      <w:r>
        <w:rPr>
          <w:b w:val="0"/>
          <w:bCs w:val="0"/>
        </w:rPr>
      </w:r>
      <w:r>
        <w:rPr>
          <w:rFonts w:ascii="Times New Roman" w:hAnsi="Times New Roman" w:cs="Times New Roman" w:eastAsia="Times New Roman" w:hint="default"/>
        </w:rPr>
        <w:t>3</w:t>
      </w:r>
      <w:r>
        <w:rPr/>
        <w:t>、占公司主营业务收入或主营业务利润</w:t>
      </w:r>
      <w:r>
        <w:rPr>
          <w:spacing w:val="-58"/>
        </w:rPr>
        <w:t> </w:t>
      </w:r>
      <w:r>
        <w:rPr>
          <w:rFonts w:ascii="Times New Roman" w:hAnsi="Times New Roman" w:cs="Times New Roman" w:eastAsia="Times New Roman" w:hint="default"/>
        </w:rPr>
        <w:t>10%</w:t>
      </w:r>
      <w:r>
        <w:rPr/>
        <w:t>以上的产品情况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营业利润比上年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装饰施工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3,035,991,061.73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435,403,723.90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14.34%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19.55%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0" w:right="0"/>
              <w:jc w:val="left"/>
              <w:rPr>
                <w:rFonts w:ascii="Times New Roman" w:hAnsi="Times New Roman" w:cs="Times New Roman" w:eastAsia="Times New Roman" w:hint="default"/>
                <w:sz w:val="18"/>
                <w:szCs w:val="18"/>
              </w:rPr>
            </w:pPr>
            <w:r>
              <w:rPr>
                <w:rFonts w:ascii="Times New Roman"/>
                <w:sz w:val="18"/>
              </w:rPr>
              <w:t>9.35%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4" w:right="0"/>
              <w:jc w:val="left"/>
              <w:rPr>
                <w:rFonts w:ascii="Times New Roman" w:hAnsi="Times New Roman" w:cs="Times New Roman" w:eastAsia="Times New Roman" w:hint="default"/>
                <w:sz w:val="18"/>
                <w:szCs w:val="18"/>
              </w:rPr>
            </w:pPr>
            <w:r>
              <w:rPr>
                <w:rFonts w:ascii="Times New Roman"/>
                <w:sz w:val="18"/>
              </w:rPr>
              <w:t>-1.34%</w:t>
            </w:r>
          </w:p>
        </w:tc>
      </w:tr>
    </w:tbl>
    <w:p>
      <w:pPr>
        <w:pStyle w:val="BodyText"/>
        <w:spacing w:line="240" w:lineRule="auto" w:before="51"/>
        <w:ind w:left="154" w:right="889"/>
        <w:jc w:val="left"/>
      </w:pPr>
      <w:r>
        <w:rPr/>
        <w:t>注：对占公司主营业务收入或主营业务利润</w:t>
      </w:r>
      <w:r>
        <w:rPr>
          <w:spacing w:val="-55"/>
        </w:rPr>
        <w:t> </w:t>
      </w:r>
      <w:r>
        <w:rPr>
          <w:rFonts w:ascii="Times New Roman" w:hAnsi="Times New Roman" w:cs="Times New Roman" w:eastAsia="Times New Roman" w:hint="default"/>
        </w:rPr>
        <w:t>10%</w:t>
      </w:r>
      <w:r>
        <w:rPr/>
        <w:t>以上的产品，分别列示其营业收入及营业利润，并提示其中是否存在变化。</w:t>
      </w:r>
    </w:p>
    <w:p>
      <w:pPr>
        <w:spacing w:line="240" w:lineRule="auto" w:before="10"/>
        <w:rPr>
          <w:rFonts w:ascii="宋体" w:hAnsi="宋体" w:cs="宋体" w:eastAsia="宋体" w:hint="default"/>
          <w:sz w:val="25"/>
          <w:szCs w:val="25"/>
        </w:rPr>
      </w:pPr>
    </w:p>
    <w:p>
      <w:pPr>
        <w:pStyle w:val="Heading3"/>
        <w:spacing w:line="240" w:lineRule="auto"/>
        <w:ind w:right="889"/>
        <w:jc w:val="left"/>
        <w:rPr>
          <w:b w:val="0"/>
          <w:bCs w:val="0"/>
        </w:rPr>
      </w:pPr>
      <w:bookmarkStart w:name="4、是否存在需要特别关注的经营季节性或周期性特征" w:id="358"/>
      <w:bookmarkEnd w:id="358"/>
      <w:r>
        <w:rPr>
          <w:b w:val="0"/>
          <w:bCs w:val="0"/>
        </w:rPr>
      </w:r>
      <w:r>
        <w:rPr>
          <w:rFonts w:ascii="Times New Roman" w:hAnsi="Times New Roman" w:cs="Times New Roman" w:eastAsia="Times New Roman" w:hint="default"/>
        </w:rPr>
        <w:t>4</w:t>
      </w:r>
      <w:r>
        <w:rPr/>
        <w:t>、是否存在需要特别关注的经营季节性或周期性特征</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按业务年度口径汇总的主营业务数据</w:t>
      </w:r>
    </w:p>
    <w:p>
      <w:pPr>
        <w:pStyle w:val="BodyText"/>
        <w:spacing w:line="240" w:lineRule="auto" w:before="42"/>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035" w:space="5885"/>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7"/>
        <w:gridCol w:w="2135"/>
        <w:gridCol w:w="2123"/>
        <w:gridCol w:w="2123"/>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当期数据</w:t>
            </w:r>
          </w:p>
        </w:tc>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上期数据</w:t>
            </w:r>
          </w:p>
        </w:tc>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增减比</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2135" w:type="dxa"/>
            <w:tcBorders>
              <w:top w:val="single" w:sz="4" w:space="0" w:color="000000"/>
              <w:left w:val="single" w:sz="13" w:space="0" w:color="D2D2D2"/>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2135" w:type="dxa"/>
            <w:tcBorders>
              <w:top w:val="single" w:sz="4" w:space="0" w:color="000000"/>
              <w:left w:val="single" w:sz="13" w:space="0" w:color="D2D2D2"/>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销量</w:t>
            </w:r>
          </w:p>
        </w:tc>
        <w:tc>
          <w:tcPr>
            <w:tcW w:w="2135" w:type="dxa"/>
            <w:tcBorders>
              <w:top w:val="single" w:sz="4" w:space="0" w:color="000000"/>
              <w:left w:val="single" w:sz="13" w:space="0" w:color="D2D2D2"/>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35" w:type="dxa"/>
            <w:tcBorders>
              <w:top w:val="single" w:sz="4" w:space="0" w:color="000000"/>
              <w:left w:val="single" w:sz="13" w:space="0" w:color="D2D2D2"/>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当期期末数据</w:t>
            </w:r>
          </w:p>
        </w:tc>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上期期末数据</w:t>
            </w:r>
          </w:p>
        </w:tc>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增减比</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35" w:type="dxa"/>
            <w:tcBorders>
              <w:top w:val="single" w:sz="4" w:space="0" w:color="000000"/>
              <w:left w:val="single" w:sz="13" w:space="0" w:color="D2D2D2"/>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9" w:lineRule="auto" w:before="51"/>
        <w:ind w:right="889"/>
        <w:jc w:val="left"/>
      </w:pPr>
      <w:r>
        <w:rPr>
          <w:spacing w:val="-2"/>
        </w:rPr>
        <w:t>注：对于业务年度与会计年度不一致的行业，鼓励披露按业务年度口径汇总的收入、成本、销量、净利润、期末存货的当期</w:t>
      </w:r>
      <w:r>
        <w:rPr>
          <w:spacing w:val="-67"/>
        </w:rPr>
        <w:t> </w:t>
      </w:r>
      <w:r>
        <w:rPr>
          <w:spacing w:val="-67"/>
        </w:rPr>
      </w:r>
      <w:r>
        <w:rPr/>
        <w:t>和历史数据。</w:t>
      </w:r>
    </w:p>
    <w:p>
      <w:pPr>
        <w:spacing w:line="240" w:lineRule="auto" w:before="3"/>
        <w:rPr>
          <w:rFonts w:ascii="宋体" w:hAnsi="宋体" w:cs="宋体" w:eastAsia="宋体" w:hint="default"/>
          <w:sz w:val="22"/>
          <w:szCs w:val="22"/>
        </w:rPr>
      </w:pPr>
    </w:p>
    <w:p>
      <w:pPr>
        <w:pStyle w:val="Heading3"/>
        <w:spacing w:line="259" w:lineRule="auto"/>
        <w:ind w:left="154" w:right="889"/>
        <w:jc w:val="left"/>
        <w:rPr>
          <w:b w:val="0"/>
          <w:bCs w:val="0"/>
        </w:rPr>
      </w:pPr>
      <w:bookmarkStart w:name="5、报告期内营业收入、营业成本、归属于上市公司普通股股东的净利润总额或者构成较前" w:id="359"/>
      <w:bookmarkEnd w:id="359"/>
      <w:r>
        <w:rPr>
          <w:b w:val="0"/>
          <w:bCs w:val="0"/>
        </w:rPr>
      </w:r>
      <w:r>
        <w:rPr>
          <w:rFonts w:ascii="Times New Roman" w:hAnsi="Times New Roman" w:cs="Times New Roman" w:eastAsia="Times New Roman" w:hint="default"/>
        </w:rPr>
        <w:t>5</w:t>
      </w:r>
      <w:r>
        <w:rPr/>
        <w:t>、报告期内营业收入、营业成本、归属于上市公司普通股股东的净利润总额或者构成较前一报告期发生</w:t>
      </w:r>
      <w:r>
        <w:rPr>
          <w:spacing w:val="-65"/>
        </w:rPr>
        <w:t> </w:t>
      </w:r>
      <w:r>
        <w:rPr>
          <w:spacing w:val="-65"/>
        </w:rPr>
      </w:r>
      <w:r>
        <w:rPr/>
        <w:t>重大变化的说明</w:t>
      </w:r>
      <w:r>
        <w:rPr>
          <w:b w:val="0"/>
          <w:bCs w:val="0"/>
        </w:rPr>
      </w:r>
    </w:p>
    <w:p>
      <w:pPr>
        <w:spacing w:line="240" w:lineRule="auto" w:before="7"/>
        <w:rPr>
          <w:rFonts w:ascii="宋体" w:hAnsi="宋体" w:cs="宋体" w:eastAsia="宋体" w:hint="default"/>
          <w:b/>
          <w:bCs/>
          <w:sz w:val="26"/>
          <w:szCs w:val="26"/>
        </w:rPr>
      </w:pPr>
    </w:p>
    <w:p>
      <w:pPr>
        <w:pStyle w:val="BodyText"/>
        <w:spacing w:line="328"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注：若报告期内公司的营业收入、营业成本、归属于上市公司普通股股东的净利润总额或者构成较前一报告期发生重大变化</w:t>
      </w:r>
      <w:r>
        <w:rPr>
          <w:spacing w:val="-66"/>
        </w:rPr>
        <w:t> </w:t>
      </w:r>
      <w:r>
        <w:rPr>
          <w:spacing w:val="-66"/>
        </w:rPr>
      </w:r>
      <w:r>
        <w:rPr/>
        <w:t>的，应当予以说明。</w:t>
      </w:r>
    </w:p>
    <w:p>
      <w:pPr>
        <w:spacing w:line="240" w:lineRule="auto" w:before="8"/>
        <w:rPr>
          <w:rFonts w:ascii="宋体" w:hAnsi="宋体" w:cs="宋体" w:eastAsia="宋体" w:hint="default"/>
          <w:sz w:val="21"/>
          <w:szCs w:val="21"/>
        </w:rPr>
      </w:pPr>
    </w:p>
    <w:p>
      <w:pPr>
        <w:pStyle w:val="Heading3"/>
        <w:spacing w:line="240" w:lineRule="auto"/>
        <w:ind w:right="889"/>
        <w:jc w:val="left"/>
        <w:rPr>
          <w:b w:val="0"/>
          <w:bCs w:val="0"/>
        </w:rPr>
      </w:pPr>
      <w:bookmarkStart w:name="6、面临暂停上市和终止上市情况" w:id="360"/>
      <w:bookmarkEnd w:id="360"/>
      <w:r>
        <w:rPr>
          <w:b w:val="0"/>
          <w:bCs w:val="0"/>
        </w:rPr>
      </w:r>
      <w:r>
        <w:rPr>
          <w:rFonts w:ascii="Times New Roman" w:hAnsi="Times New Roman" w:cs="Times New Roman" w:eastAsia="Times New Roman" w:hint="default"/>
        </w:rPr>
        <w:t>6</w:t>
      </w:r>
      <w:r>
        <w:rPr/>
        <w:t>、面临暂停上市和终止上市情况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注：面临暂停上市和终止上市情形的，应当披露导致暂停上市或终止上市的原因。</w:t>
      </w:r>
    </w:p>
    <w:p>
      <w:pPr>
        <w:spacing w:after="0" w:line="338"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89"/>
        <w:jc w:val="left"/>
        <w:rPr>
          <w:b w:val="0"/>
          <w:bCs w:val="0"/>
        </w:rPr>
      </w:pPr>
      <w:bookmarkStart w:name="7、涉及财务报告的相关事项" w:id="361"/>
      <w:bookmarkEnd w:id="361"/>
      <w:r>
        <w:rPr>
          <w:b w:val="0"/>
          <w:bCs w:val="0"/>
        </w:rPr>
      </w:r>
      <w:r>
        <w:rPr>
          <w:rFonts w:ascii="Times New Roman" w:hAnsi="Times New Roman" w:cs="Times New Roman" w:eastAsia="Times New Roman" w:hint="default"/>
        </w:rPr>
        <w:t>7</w:t>
      </w:r>
      <w:r>
        <w:rPr/>
        <w:t>、涉及财务报告的相关事项</w:t>
      </w:r>
      <w:r>
        <w:rPr>
          <w:b w:val="0"/>
          <w:bCs w:val="0"/>
        </w:rPr>
      </w:r>
    </w:p>
    <w:p>
      <w:pPr>
        <w:spacing w:line="240" w:lineRule="auto" w:before="10"/>
        <w:rPr>
          <w:rFonts w:ascii="宋体" w:hAnsi="宋体" w:cs="宋体" w:eastAsia="宋体" w:hint="default"/>
          <w:b/>
          <w:bCs/>
          <w:sz w:val="24"/>
          <w:szCs w:val="24"/>
        </w:rPr>
      </w:pPr>
    </w:p>
    <w:p>
      <w:pPr>
        <w:spacing w:before="0"/>
        <w:ind w:left="153" w:right="889" w:firstLine="0"/>
        <w:jc w:val="left"/>
        <w:rPr>
          <w:rFonts w:ascii="宋体" w:hAnsi="宋体" w:cs="宋体" w:eastAsia="宋体" w:hint="default"/>
          <w:sz w:val="21"/>
          <w:szCs w:val="21"/>
        </w:rPr>
      </w:pPr>
      <w:bookmarkStart w:name="（1）与上年度财务报告相比，会计政策、会计估计和核算方法发生变化的情况说明" w:id="362"/>
      <w:bookmarkEnd w:id="3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）与上年度财务报告相比，会计政策、会计估计和核算方法发生变化的情况说明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40" w:lineRule="auto"/>
        <w:ind w:right="889"/>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日，财政部颁发新制定的《企业会计准则第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w:t>
      </w:r>
    </w:p>
    <w:p>
      <w:pPr>
        <w:spacing w:line="259" w:lineRule="auto" w:before="21"/>
        <w:ind w:left="153" w:right="889" w:firstLine="0"/>
        <w:jc w:val="left"/>
        <w:rPr>
          <w:rFonts w:ascii="宋体" w:hAnsi="宋体" w:cs="宋体" w:eastAsia="宋体" w:hint="default"/>
          <w:sz w:val="21"/>
          <w:szCs w:val="21"/>
        </w:rPr>
      </w:pPr>
      <w:r>
        <w:rPr>
          <w:rFonts w:ascii="宋体" w:hAnsi="宋体" w:cs="宋体" w:eastAsia="宋体" w:hint="default"/>
          <w:spacing w:val="-2"/>
          <w:sz w:val="21"/>
          <w:szCs w:val="21"/>
        </w:rPr>
        <w:t>（财会</w:t>
      </w:r>
      <w:r>
        <w:rPr>
          <w:rFonts w:ascii="Times New Roman" w:hAnsi="Times New Roman" w:cs="Times New Roman" w:eastAsia="Times New Roman" w:hint="default"/>
          <w:spacing w:val="-2"/>
          <w:sz w:val="21"/>
          <w:szCs w:val="21"/>
        </w:rPr>
        <w:t>[2017]13</w:t>
      </w:r>
      <w:r>
        <w:rPr>
          <w:rFonts w:ascii="宋体" w:hAnsi="宋体" w:cs="宋体" w:eastAsia="宋体" w:hint="default"/>
          <w:spacing w:val="-2"/>
          <w:sz w:val="21"/>
          <w:szCs w:val="21"/>
        </w:rPr>
        <w:t>号），本准则自</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28</w:t>
      </w:r>
      <w:r>
        <w:rPr>
          <w:rFonts w:ascii="宋体" w:hAnsi="宋体" w:cs="宋体" w:eastAsia="宋体" w:hint="default"/>
          <w:spacing w:val="-2"/>
          <w:sz w:val="21"/>
          <w:szCs w:val="21"/>
        </w:rPr>
        <w:t>日起施行。企业对实施日存在的持有待售非流动资产、处置组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和终止经营采用未来适用法处理</w:t>
      </w:r>
      <w:r>
        <w:rPr>
          <w:rFonts w:ascii="宋体" w:hAnsi="宋体" w:cs="宋体" w:eastAsia="宋体"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pacing w:val="-6"/>
          <w:sz w:val="21"/>
          <w:szCs w:val="21"/>
        </w:rPr>
        <w:t>2017</w:t>
      </w:r>
      <w:r>
        <w:rPr>
          <w:rFonts w:ascii="宋体" w:hAnsi="宋体" w:cs="宋体" w:eastAsia="宋体" w:hint="default"/>
          <w:spacing w:val="-6"/>
          <w:sz w:val="21"/>
          <w:szCs w:val="21"/>
        </w:rPr>
        <w:t>年</w:t>
      </w:r>
      <w:r>
        <w:rPr>
          <w:rFonts w:ascii="Times New Roman" w:hAnsi="Times New Roman" w:cs="Times New Roman" w:eastAsia="Times New Roman" w:hint="default"/>
          <w:spacing w:val="-6"/>
          <w:sz w:val="21"/>
          <w:szCs w:val="21"/>
        </w:rPr>
        <w:t>5</w:t>
      </w:r>
      <w:r>
        <w:rPr>
          <w:rFonts w:ascii="宋体" w:hAnsi="宋体" w:cs="宋体" w:eastAsia="宋体" w:hint="default"/>
          <w:spacing w:val="-6"/>
          <w:sz w:val="21"/>
          <w:szCs w:val="21"/>
        </w:rPr>
        <w:t>月</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日，财政部发布了《关于印发修订</w:t>
      </w:r>
      <w:r>
        <w:rPr>
          <w:rFonts w:ascii="Times New Roman" w:hAnsi="Times New Roman" w:cs="Times New Roman" w:eastAsia="Times New Roman" w:hint="default"/>
          <w:spacing w:val="-6"/>
          <w:sz w:val="21"/>
          <w:szCs w:val="21"/>
        </w:rPr>
        <w:t>&lt;</w:t>
      </w:r>
      <w:r>
        <w:rPr>
          <w:rFonts w:ascii="宋体" w:hAnsi="宋体" w:cs="宋体" w:eastAsia="宋体" w:hint="default"/>
          <w:spacing w:val="-6"/>
          <w:sz w:val="21"/>
          <w:szCs w:val="21"/>
        </w:rPr>
        <w:t>企业会计准则第</w:t>
      </w:r>
      <w:r>
        <w:rPr>
          <w:rFonts w:ascii="Times New Roman" w:hAnsi="Times New Roman" w:cs="Times New Roman" w:eastAsia="Times New Roman" w:hint="default"/>
          <w:spacing w:val="-6"/>
          <w:sz w:val="21"/>
          <w:szCs w:val="21"/>
        </w:rPr>
        <w:t>16</w:t>
      </w:r>
      <w:r>
        <w:rPr>
          <w:rFonts w:ascii="宋体" w:hAnsi="宋体" w:cs="宋体" w:eastAsia="宋体" w:hint="default"/>
          <w:spacing w:val="-6"/>
          <w:sz w:val="21"/>
          <w:szCs w:val="21"/>
        </w:rPr>
        <w:t>号</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政府补助</w:t>
      </w:r>
      <w:r>
        <w:rPr>
          <w:rFonts w:ascii="Times New Roman" w:hAnsi="Times New Roman" w:cs="Times New Roman" w:eastAsia="Times New Roman" w:hint="default"/>
          <w:spacing w:val="-6"/>
          <w:sz w:val="21"/>
          <w:szCs w:val="21"/>
        </w:rPr>
        <w:t>&gt;</w:t>
      </w:r>
      <w:r>
        <w:rPr>
          <w:rFonts w:ascii="宋体" w:hAnsi="宋体" w:cs="宋体" w:eastAsia="宋体" w:hint="default"/>
          <w:spacing w:val="-6"/>
          <w:sz w:val="21"/>
          <w:szCs w:val="21"/>
        </w:rPr>
        <w:t>的通知》（财会</w:t>
      </w:r>
      <w:r>
        <w:rPr>
          <w:rFonts w:ascii="Times New Roman" w:hAnsi="Times New Roman" w:cs="Times New Roman" w:eastAsia="Times New Roman" w:hint="default"/>
          <w:spacing w:val="-6"/>
          <w:sz w:val="21"/>
          <w:szCs w:val="21"/>
        </w:rPr>
        <w:t>[2017]15</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pacing w:val="-12"/>
          <w:sz w:val="21"/>
          <w:szCs w:val="21"/>
        </w:rPr>
      </w:r>
      <w:r>
        <w:rPr>
          <w:rFonts w:ascii="宋体" w:hAnsi="宋体" w:cs="宋体" w:eastAsia="宋体" w:hint="default"/>
          <w:spacing w:val="-3"/>
          <w:sz w:val="21"/>
          <w:szCs w:val="21"/>
        </w:rPr>
        <w:t>号），本准则自</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日起施行。企业对</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日存在的政府补助采用未来适用法处理，对</w:t>
      </w:r>
      <w:r>
        <w:rPr>
          <w:rFonts w:ascii="Times New Roman" w:hAnsi="Times New Roman" w:cs="Times New Roman" w:eastAsia="Times New Roman" w:hint="default"/>
          <w:spacing w:val="-3"/>
          <w:sz w:val="21"/>
          <w:szCs w:val="21"/>
        </w:rPr>
        <w:t>2017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日至本准则实施日之间新增的政府补助根据本准则进行调整</w:t>
      </w:r>
      <w:r>
        <w:rPr>
          <w:rFonts w:ascii="宋体" w:hAnsi="宋体" w:cs="宋体" w:eastAsia="宋体"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日，财政部发布了《关于印发一般企业财务报表格式的通知》（财会</w:t>
      </w:r>
      <w:r>
        <w:rPr>
          <w:rFonts w:ascii="Times New Roman" w:hAnsi="Times New Roman" w:cs="Times New Roman" w:eastAsia="Times New Roman" w:hint="default"/>
          <w:sz w:val="21"/>
          <w:szCs w:val="21"/>
        </w:rPr>
        <w:t>[2017]30</w:t>
      </w:r>
      <w:r>
        <w:rPr>
          <w:rFonts w:ascii="宋体" w:hAnsi="宋体" w:cs="宋体" w:eastAsia="宋体" w:hint="default"/>
          <w:sz w:val="21"/>
          <w:szCs w:val="21"/>
        </w:rPr>
        <w:t>号），对一般 企业财务报表格式进行了修订，适用于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年度及以后期间的财务报表。</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30"/>
          <w:szCs w:val="30"/>
        </w:rPr>
      </w:pPr>
    </w:p>
    <w:p>
      <w:pPr>
        <w:pStyle w:val="BodyText"/>
        <w:spacing w:line="360" w:lineRule="auto"/>
        <w:ind w:left="154" w:right="1572"/>
        <w:jc w:val="left"/>
      </w:pPr>
      <w:r>
        <w:rPr/>
        <w:t>注：与上年度财务报告相比，会计政策、会计估计和核算方法发生变化的，公司应当说明变化情况、原因及其影响。 公司报告期无会计政策、会计估计和核算方法发生变化的情况。</w:t>
      </w:r>
    </w:p>
    <w:p>
      <w:pPr>
        <w:spacing w:line="240" w:lineRule="auto" w:before="11"/>
        <w:rPr>
          <w:rFonts w:ascii="宋体" w:hAnsi="宋体" w:cs="宋体" w:eastAsia="宋体" w:hint="default"/>
          <w:sz w:val="19"/>
          <w:szCs w:val="19"/>
        </w:rPr>
      </w:pPr>
    </w:p>
    <w:p>
      <w:pPr>
        <w:pStyle w:val="Heading3"/>
        <w:spacing w:line="240" w:lineRule="auto"/>
        <w:ind w:left="154" w:right="889"/>
        <w:jc w:val="left"/>
        <w:rPr>
          <w:b w:val="0"/>
          <w:bCs w:val="0"/>
        </w:rPr>
      </w:pPr>
      <w:bookmarkStart w:name="（2）报告期内发生重大会计差错更正需追溯重述的情况说明" w:id="363"/>
      <w:bookmarkEnd w:id="363"/>
      <w:r>
        <w:rPr>
          <w:b w:val="0"/>
          <w:bCs w:val="0"/>
        </w:rPr>
      </w:r>
      <w:r>
        <w:rPr/>
        <w:t>（</w:t>
      </w:r>
      <w:r>
        <w:rPr>
          <w:rFonts w:ascii="Times New Roman" w:hAnsi="Times New Roman" w:cs="Times New Roman" w:eastAsia="Times New Roman" w:hint="default"/>
        </w:rPr>
        <w:t>2</w:t>
      </w:r>
      <w:r>
        <w:rPr/>
        <w:t>）报告期内发生重大会计差错更正需追溯重述的情况说明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50" w:lineRule="auto"/>
        <w:ind w:right="28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注：报告期内发生重大会计差错更正需追溯重述的，公司应当说明更正项目及金额、原因及其影响。 公司报告期无重大会计差错更正需追溯重述的情况。</w:t>
      </w:r>
    </w:p>
    <w:p>
      <w:pPr>
        <w:spacing w:line="240" w:lineRule="auto" w:before="5"/>
        <w:rPr>
          <w:rFonts w:ascii="宋体" w:hAnsi="宋体" w:cs="宋体" w:eastAsia="宋体" w:hint="default"/>
          <w:sz w:val="20"/>
          <w:szCs w:val="20"/>
        </w:rPr>
      </w:pPr>
    </w:p>
    <w:p>
      <w:pPr>
        <w:pStyle w:val="Heading3"/>
        <w:spacing w:line="240" w:lineRule="auto"/>
        <w:ind w:left="154" w:right="889"/>
        <w:jc w:val="left"/>
        <w:rPr>
          <w:b w:val="0"/>
          <w:bCs w:val="0"/>
        </w:rPr>
      </w:pPr>
      <w:bookmarkStart w:name="（3）与上年度财务报告相比，合并报表范围发生变化的情况说明" w:id="364"/>
      <w:bookmarkEnd w:id="364"/>
      <w:r>
        <w:rPr>
          <w:b w:val="0"/>
          <w:bCs w:val="0"/>
        </w:rPr>
      </w:r>
      <w:r>
        <w:rPr/>
        <w:t>（</w:t>
      </w:r>
      <w:r>
        <w:rPr>
          <w:rFonts w:ascii="Times New Roman" w:hAnsi="Times New Roman" w:cs="Times New Roman" w:eastAsia="Times New Roman" w:hint="default"/>
        </w:rPr>
        <w:t>3</w:t>
      </w:r>
      <w:r>
        <w:rPr/>
        <w:t>）与上年度财务报告相比，合并报表范围发生变化的情况说明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40" w:lineRule="auto"/>
        <w:ind w:left="573" w:right="889"/>
        <w:jc w:val="left"/>
      </w:pPr>
      <w:r>
        <w:rPr>
          <w:rFonts w:ascii="Times New Roman" w:hAnsi="Times New Roman" w:cs="Times New Roman" w:eastAsia="Times New Roman" w:hint="default"/>
        </w:rPr>
        <w:t>1</w:t>
      </w:r>
      <w:r>
        <w:rPr/>
        <w:t>、因其他方式增加子公司的情况说明</w:t>
      </w:r>
    </w:p>
    <w:p>
      <w:pPr>
        <w:spacing w:line="256" w:lineRule="auto" w:before="141"/>
        <w:ind w:left="154" w:right="889"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日，本公司投资设立全资子公司深圳市中装城市建设发展有限公司（以下简称中装城市建</w:t>
      </w:r>
      <w:r>
        <w:rPr>
          <w:rFonts w:ascii="宋体" w:hAnsi="宋体" w:cs="宋体" w:eastAsia="宋体" w:hint="default"/>
          <w:sz w:val="21"/>
          <w:szCs w:val="21"/>
        </w:rPr>
        <w:t> 设），注册资本</w:t>
      </w:r>
      <w:r>
        <w:rPr>
          <w:rFonts w:ascii="Times New Roman" w:hAnsi="Times New Roman" w:cs="Times New Roman" w:eastAsia="Times New Roman" w:hint="default"/>
          <w:sz w:val="21"/>
          <w:szCs w:val="21"/>
        </w:rPr>
        <w:t>10,000.00</w:t>
      </w:r>
      <w:r>
        <w:rPr>
          <w:rFonts w:ascii="宋体" w:hAnsi="宋体" w:cs="宋体" w:eastAsia="宋体" w:hint="default"/>
          <w:sz w:val="21"/>
          <w:szCs w:val="21"/>
        </w:rPr>
        <w:t>万元。因此中装城市建设自</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日开始纳入合并范围。</w:t>
      </w:r>
    </w:p>
    <w:p>
      <w:pPr>
        <w:spacing w:line="256" w:lineRule="auto" w:before="125"/>
        <w:ind w:left="154" w:right="1022" w:firstLine="42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2017</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7</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20</w:t>
      </w:r>
      <w:r>
        <w:rPr>
          <w:rFonts w:ascii="宋体" w:hAnsi="宋体" w:cs="宋体" w:eastAsia="宋体" w:hint="default"/>
          <w:spacing w:val="-5"/>
          <w:sz w:val="21"/>
          <w:szCs w:val="21"/>
        </w:rPr>
        <w:t>日，本公司投资设立控股子公司深圳市中装新能源科技有限公司（以下简称中装新能源），</w:t>
      </w:r>
      <w:r>
        <w:rPr>
          <w:rFonts w:ascii="宋体" w:hAnsi="宋体" w:cs="宋体" w:eastAsia="宋体" w:hint="default"/>
          <w:sz w:val="21"/>
          <w:szCs w:val="21"/>
        </w:rPr>
        <w:t> 注册资本</w:t>
      </w:r>
      <w:r>
        <w:rPr>
          <w:rFonts w:ascii="Times New Roman" w:hAnsi="Times New Roman" w:cs="Times New Roman" w:eastAsia="Times New Roman" w:hint="default"/>
          <w:sz w:val="21"/>
          <w:szCs w:val="21"/>
        </w:rPr>
        <w:t>1,000.00</w:t>
      </w:r>
      <w:r>
        <w:rPr>
          <w:rFonts w:ascii="宋体" w:hAnsi="宋体" w:cs="宋体" w:eastAsia="宋体" w:hint="default"/>
          <w:sz w:val="21"/>
          <w:szCs w:val="21"/>
        </w:rPr>
        <w:t>万元。因此中装新能源自</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日开始纳入合并范围</w:t>
      </w:r>
    </w:p>
    <w:p>
      <w:pPr>
        <w:spacing w:before="125"/>
        <w:ind w:left="574" w:right="88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、因其他方式减少子公司的情况说明</w:t>
      </w:r>
    </w:p>
    <w:p>
      <w:pPr>
        <w:spacing w:line="264" w:lineRule="auto" w:before="141"/>
        <w:ind w:left="153" w:right="1132" w:firstLine="0"/>
        <w:jc w:val="both"/>
        <w:rPr>
          <w:rFonts w:ascii="宋体" w:hAnsi="宋体" w:cs="宋体" w:eastAsia="宋体" w:hint="default"/>
          <w:sz w:val="21"/>
          <w:szCs w:val="21"/>
        </w:rPr>
      </w:pP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日经第二届董事会第十一次会议审议通过《关于注销控股子公司深圳市中装光伏建筑</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1"/>
          <w:sz w:val="21"/>
          <w:szCs w:val="21"/>
        </w:rPr>
        <w:t>科技有限公司的议案》，同意注销中装光伏，并授权中装光伏经营管理层负责办理清算、注销事宜。截至</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日，中装光伏已经完成了清算并办理完成了税务注销、银行注销手续，但工商注销手续仍在</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
          <w:sz w:val="21"/>
          <w:szCs w:val="21"/>
        </w:rPr>
        <w:t>办理过程中，考虑到除工商注销手续外，其他清算、注销程序已完成，且该工商注销程序正在有序进行中</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且公司管理层不会终止该流程，因此本报告期视同该子公司已注销处理。</w:t>
      </w:r>
    </w:p>
    <w:p>
      <w:pPr>
        <w:spacing w:line="240" w:lineRule="auto" w:before="0"/>
        <w:rPr>
          <w:rFonts w:ascii="宋体" w:hAnsi="宋体" w:cs="宋体" w:eastAsia="宋体" w:hint="default"/>
          <w:sz w:val="20"/>
          <w:szCs w:val="20"/>
        </w:rPr>
      </w:pPr>
    </w:p>
    <w:p>
      <w:pPr>
        <w:pStyle w:val="BodyText"/>
        <w:spacing w:line="360" w:lineRule="auto" w:before="133"/>
        <w:ind w:right="3733"/>
        <w:jc w:val="left"/>
      </w:pPr>
      <w:r>
        <w:rPr/>
        <w:t>注：与上年度财务报告相比，对财务报表合并范围发生变化的，公司应当作出具体说明。 公司报告期无合并报表范围发生变化的情况。</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89"/>
        <w:jc w:val="left"/>
        <w:rPr>
          <w:b w:val="0"/>
          <w:bCs w:val="0"/>
        </w:rPr>
      </w:pPr>
      <w:bookmarkStart w:name="（4）对2018年1-3月经营业绩的预计" w:id="365"/>
      <w:bookmarkEnd w:id="365"/>
      <w:r>
        <w:rPr>
          <w:b w:val="0"/>
          <w:bCs w:val="0"/>
        </w:rPr>
      </w:r>
      <w:r>
        <w:rPr/>
        <w:t>（</w:t>
      </w:r>
      <w:r>
        <w:rPr>
          <w:rFonts w:ascii="Times New Roman" w:hAnsi="Times New Roman" w:cs="Times New Roman" w:eastAsia="Times New Roman" w:hint="default"/>
        </w:rPr>
        <w:t>4</w:t>
      </w:r>
      <w:r>
        <w:rPr/>
        <w:t>）对</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月经营业绩的预计</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right="1120"/>
        <w:jc w:val="left"/>
      </w:pPr>
      <w:r>
        <w:rPr>
          <w:spacing w:val="-2"/>
        </w:rPr>
        <w:t>注：公司存在以下情形，本节可选择不适用：①年报披露时间晚于</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6"/>
        </w:rPr>
        <w:t>日（不含当日）；②预计净利润为正且不属于扭亏</w:t>
      </w:r>
      <w:r>
        <w:rPr/>
        <w:t> 为盈情形，与上年同期相比上升或者下降幅度小于</w:t>
      </w:r>
      <w:r>
        <w:rPr>
          <w:spacing w:val="-45"/>
        </w:rPr>
        <w:t> </w:t>
      </w:r>
      <w:r>
        <w:rPr>
          <w:rFonts w:ascii="Times New Roman" w:hAnsi="Times New Roman" w:cs="Times New Roman" w:eastAsia="Times New Roman" w:hint="default"/>
        </w:rPr>
        <w:t>50%</w:t>
      </w:r>
      <w:r>
        <w:rPr/>
        <w:t>；③预计净利润为正且不属于扭亏为盈情形，与上年同期相比虽上 升或者下降</w:t>
      </w:r>
      <w:r>
        <w:rPr>
          <w:spacing w:val="-46"/>
        </w:rPr>
        <w:t> </w:t>
      </w:r>
      <w:r>
        <w:rPr>
          <w:rFonts w:ascii="Times New Roman" w:hAnsi="Times New Roman" w:cs="Times New Roman" w:eastAsia="Times New Roman" w:hint="default"/>
        </w:rPr>
        <w:t>50%</w:t>
      </w:r>
      <w:r>
        <w:rPr/>
        <w:t>以上，但上一年第一季度基本每股收益绝对值低于或等于</w:t>
      </w:r>
      <w:r>
        <w:rPr>
          <w:spacing w:val="-46"/>
        </w:rPr>
        <w:t> </w:t>
      </w:r>
      <w:r>
        <w:rPr>
          <w:rFonts w:ascii="Times New Roman" w:hAnsi="Times New Roman" w:cs="Times New Roman" w:eastAsia="Times New Roman" w:hint="default"/>
        </w:rPr>
        <w:t>0.02</w:t>
      </w:r>
      <w:r>
        <w:rPr>
          <w:rFonts w:ascii="Times New Roman" w:hAnsi="Times New Roman" w:cs="Times New Roman" w:eastAsia="Times New Roman" w:hint="default"/>
          <w:spacing w:val="-1"/>
        </w:rPr>
        <w:t> </w:t>
      </w:r>
      <w:r>
        <w:rPr/>
        <w:t>元人民币。</w:t>
      </w:r>
    </w:p>
    <w:p>
      <w:pPr>
        <w:pStyle w:val="BodyText"/>
        <w:spacing w:line="240" w:lineRule="auto" w:before="50"/>
        <w:ind w:right="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103"/>
        <w:ind w:right="7861"/>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月预计的经营业绩情况： 净利润为正，同比上升</w:t>
      </w:r>
      <w:r>
        <w:rPr>
          <w:spacing w:val="-46"/>
        </w:rPr>
        <w:t> </w:t>
      </w:r>
      <w:r>
        <w:rPr>
          <w:rFonts w:ascii="Times New Roman" w:hAnsi="Times New Roman" w:cs="Times New Roman" w:eastAsia="Times New Roman" w:hint="default"/>
        </w:rPr>
        <w:t>50%</w:t>
      </w:r>
      <w:r>
        <w:rPr/>
        <w:t>以上</w:t>
      </w:r>
    </w:p>
    <w:tbl>
      <w:tblPr>
        <w:tblW w:w="0" w:type="auto"/>
        <w:jc w:val="left"/>
        <w:tblInd w:w="149" w:type="dxa"/>
        <w:tblLayout w:type="fixed"/>
        <w:tblCellMar>
          <w:top w:w="0" w:type="dxa"/>
          <w:left w:w="0" w:type="dxa"/>
          <w:bottom w:w="0" w:type="dxa"/>
          <w:right w:w="0" w:type="dxa"/>
        </w:tblCellMar>
        <w:tblLook w:val="01E0"/>
      </w:tblPr>
      <w:tblGrid>
        <w:gridCol w:w="3714"/>
        <w:gridCol w:w="2669"/>
        <w:gridCol w:w="799"/>
        <w:gridCol w:w="2387"/>
      </w:tblGrid>
      <w:tr>
        <w:trPr>
          <w:trHeight w:val="715"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月归属于上市公司股东的净利润变 动幅度</w:t>
            </w:r>
          </w:p>
        </w:tc>
        <w:tc>
          <w:tcPr>
            <w:tcW w:w="2669" w:type="dxa"/>
            <w:tcBorders>
              <w:top w:val="single" w:sz="4" w:space="0" w:color="000000"/>
              <w:left w:val="single" w:sz="9"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w:t>
            </w:r>
          </w:p>
        </w:tc>
        <w:tc>
          <w:tcPr>
            <w:tcW w:w="238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月归属于上市公司股东的净利润区 间（万元）</w:t>
            </w:r>
          </w:p>
        </w:tc>
        <w:tc>
          <w:tcPr>
            <w:tcW w:w="2669" w:type="dxa"/>
            <w:tcBorders>
              <w:top w:val="single" w:sz="4" w:space="0" w:color="000000"/>
              <w:left w:val="single" w:sz="9"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w:t>
            </w:r>
          </w:p>
        </w:tc>
        <w:tc>
          <w:tcPr>
            <w:tcW w:w="238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11"/>
                <w:sz w:val="18"/>
                <w:szCs w:val="18"/>
              </w:rPr>
              <w:t> </w:t>
            </w:r>
            <w:r>
              <w:rPr>
                <w:rFonts w:ascii="宋体" w:hAnsi="宋体" w:cs="宋体" w:eastAsia="宋体" w:hint="default"/>
                <w:spacing w:val="-6"/>
                <w:sz w:val="18"/>
                <w:szCs w:val="18"/>
              </w:rPr>
              <w:t>月归属于上市公司股东的净利润（万</w:t>
            </w:r>
            <w:r>
              <w:rPr>
                <w:rFonts w:ascii="宋体" w:hAnsi="宋体" w:cs="宋体" w:eastAsia="宋体" w:hint="default"/>
                <w:sz w:val="18"/>
                <w:szCs w:val="18"/>
              </w:rPr>
              <w:t> 元）</w:t>
            </w:r>
          </w:p>
        </w:tc>
        <w:tc>
          <w:tcPr>
            <w:tcW w:w="5855" w:type="dxa"/>
            <w:gridSpan w:val="3"/>
            <w:tcBorders>
              <w:top w:val="single" w:sz="4" w:space="0" w:color="000000"/>
              <w:left w:val="single" w:sz="9" w:space="0" w:color="D2D2D2"/>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业绩变动的原因说明</w:t>
            </w:r>
          </w:p>
        </w:tc>
        <w:tc>
          <w:tcPr>
            <w:tcW w:w="5855" w:type="dxa"/>
            <w:gridSpan w:val="3"/>
            <w:tcBorders>
              <w:top w:val="single" w:sz="4" w:space="0" w:color="000000"/>
              <w:left w:val="single" w:sz="9" w:space="0" w:color="D2D2D2"/>
              <w:bottom w:val="single" w:sz="4" w:space="0" w:color="000000"/>
              <w:right w:val="single" w:sz="4" w:space="0" w:color="000000"/>
            </w:tcBorders>
          </w:tcPr>
          <w:p>
            <w:pPr/>
          </w:p>
        </w:tc>
      </w:tr>
    </w:tbl>
    <w:p>
      <w:pPr>
        <w:pStyle w:val="BodyText"/>
        <w:spacing w:line="240" w:lineRule="auto" w:before="60"/>
        <w:ind w:left="154" w:right="889"/>
        <w:jc w:val="left"/>
      </w:pPr>
      <w:r>
        <w:rPr/>
        <w:t>净利润为正，同比下降</w:t>
      </w:r>
      <w:r>
        <w:rPr>
          <w:spacing w:val="-46"/>
        </w:rPr>
        <w:t> </w:t>
      </w:r>
      <w:r>
        <w:rPr>
          <w:rFonts w:ascii="Times New Roman" w:hAnsi="Times New Roman" w:cs="Times New Roman" w:eastAsia="Times New Roman" w:hint="default"/>
        </w:rPr>
        <w:t>50%</w:t>
      </w:r>
      <w:r>
        <w:rPr/>
        <w:t>以上</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14"/>
        <w:gridCol w:w="2669"/>
        <w:gridCol w:w="799"/>
        <w:gridCol w:w="2387"/>
      </w:tblGrid>
      <w:tr>
        <w:trPr>
          <w:trHeight w:val="715"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月归属于上市公司股东的净利润变 动幅度</w:t>
            </w:r>
          </w:p>
        </w:tc>
        <w:tc>
          <w:tcPr>
            <w:tcW w:w="2669" w:type="dxa"/>
            <w:tcBorders>
              <w:top w:val="single" w:sz="4" w:space="0" w:color="000000"/>
              <w:left w:val="single" w:sz="9"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w:t>
            </w:r>
          </w:p>
        </w:tc>
        <w:tc>
          <w:tcPr>
            <w:tcW w:w="238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月归属于上市公司股东的净利润区 间（万元）</w:t>
            </w:r>
          </w:p>
        </w:tc>
        <w:tc>
          <w:tcPr>
            <w:tcW w:w="2669" w:type="dxa"/>
            <w:tcBorders>
              <w:top w:val="single" w:sz="4" w:space="0" w:color="000000"/>
              <w:left w:val="single" w:sz="9"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w:t>
            </w:r>
          </w:p>
        </w:tc>
        <w:tc>
          <w:tcPr>
            <w:tcW w:w="238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11"/>
                <w:sz w:val="18"/>
                <w:szCs w:val="18"/>
              </w:rPr>
              <w:t> </w:t>
            </w:r>
            <w:r>
              <w:rPr>
                <w:rFonts w:ascii="宋体" w:hAnsi="宋体" w:cs="宋体" w:eastAsia="宋体" w:hint="default"/>
                <w:spacing w:val="-6"/>
                <w:sz w:val="18"/>
                <w:szCs w:val="18"/>
              </w:rPr>
              <w:t>月归属于上市公司股东的净利润（万</w:t>
            </w:r>
            <w:r>
              <w:rPr>
                <w:rFonts w:ascii="宋体" w:hAnsi="宋体" w:cs="宋体" w:eastAsia="宋体" w:hint="default"/>
                <w:sz w:val="18"/>
                <w:szCs w:val="18"/>
              </w:rPr>
              <w:t> 元）</w:t>
            </w:r>
          </w:p>
        </w:tc>
        <w:tc>
          <w:tcPr>
            <w:tcW w:w="5855" w:type="dxa"/>
            <w:gridSpan w:val="3"/>
            <w:tcBorders>
              <w:top w:val="single" w:sz="4" w:space="0" w:color="000000"/>
              <w:left w:val="single" w:sz="9" w:space="0" w:color="D2D2D2"/>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业绩变动的原因说明</w:t>
            </w:r>
          </w:p>
        </w:tc>
        <w:tc>
          <w:tcPr>
            <w:tcW w:w="5855" w:type="dxa"/>
            <w:gridSpan w:val="3"/>
            <w:tcBorders>
              <w:top w:val="single" w:sz="4" w:space="0" w:color="000000"/>
              <w:left w:val="single" w:sz="9" w:space="0" w:color="D2D2D2"/>
              <w:bottom w:val="single" w:sz="4" w:space="0" w:color="000000"/>
              <w:right w:val="single" w:sz="4" w:space="0" w:color="000000"/>
            </w:tcBorders>
          </w:tcPr>
          <w:p>
            <w:pPr/>
          </w:p>
        </w:tc>
      </w:tr>
    </w:tbl>
    <w:p>
      <w:pPr>
        <w:pStyle w:val="BodyText"/>
        <w:spacing w:line="240" w:lineRule="auto" w:before="51"/>
        <w:ind w:left="154" w:right="889"/>
        <w:jc w:val="left"/>
      </w:pPr>
      <w:r>
        <w:rPr/>
        <w:t>净利润为负值</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669"/>
        <w:gridCol w:w="788"/>
        <w:gridCol w:w="2398"/>
      </w:tblGrid>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月净利润（万元）</w:t>
            </w:r>
          </w:p>
        </w:tc>
        <w:tc>
          <w:tcPr>
            <w:tcW w:w="2669" w:type="dxa"/>
            <w:tcBorders>
              <w:top w:val="single" w:sz="4" w:space="0" w:color="000000"/>
              <w:left w:val="single" w:sz="9" w:space="0" w:color="D2D2D2"/>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至</w:t>
            </w:r>
          </w:p>
        </w:tc>
        <w:tc>
          <w:tcPr>
            <w:tcW w:w="2398" w:type="dxa"/>
            <w:tcBorders>
              <w:top w:val="single" w:sz="4" w:space="0" w:color="000000"/>
              <w:left w:val="single" w:sz="13" w:space="0" w:color="D2D2D2"/>
              <w:bottom w:val="single" w:sz="4" w:space="0" w:color="000000"/>
              <w:right w:val="single" w:sz="4" w:space="0" w:color="000000"/>
            </w:tcBorders>
          </w:tcPr>
          <w:p>
            <w:pPr/>
          </w:p>
        </w:tc>
      </w:tr>
      <w:tr>
        <w:trPr>
          <w:trHeight w:val="71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11"/>
                <w:sz w:val="18"/>
                <w:szCs w:val="18"/>
              </w:rPr>
              <w:t> </w:t>
            </w:r>
            <w:r>
              <w:rPr>
                <w:rFonts w:ascii="宋体" w:hAnsi="宋体" w:cs="宋体" w:eastAsia="宋体" w:hint="default"/>
                <w:spacing w:val="-6"/>
                <w:sz w:val="18"/>
                <w:szCs w:val="18"/>
              </w:rPr>
              <w:t>月归属于上市公司股东的净利润（万</w:t>
            </w:r>
            <w:r>
              <w:rPr>
                <w:rFonts w:ascii="宋体" w:hAnsi="宋体" w:cs="宋体" w:eastAsia="宋体" w:hint="default"/>
                <w:sz w:val="18"/>
                <w:szCs w:val="18"/>
              </w:rPr>
              <w:t> 元）</w:t>
            </w:r>
          </w:p>
        </w:tc>
        <w:tc>
          <w:tcPr>
            <w:tcW w:w="5855" w:type="dxa"/>
            <w:gridSpan w:val="3"/>
            <w:tcBorders>
              <w:top w:val="single" w:sz="4" w:space="0" w:color="000000"/>
              <w:left w:val="single" w:sz="9" w:space="0" w:color="D2D2D2"/>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业绩变动的原因说明</w:t>
            </w:r>
          </w:p>
        </w:tc>
        <w:tc>
          <w:tcPr>
            <w:tcW w:w="5855" w:type="dxa"/>
            <w:gridSpan w:val="3"/>
            <w:tcBorders>
              <w:top w:val="single" w:sz="4" w:space="0" w:color="000000"/>
              <w:left w:val="single" w:sz="9" w:space="0" w:color="D2D2D2"/>
              <w:bottom w:val="single" w:sz="4" w:space="0" w:color="000000"/>
              <w:right w:val="single" w:sz="4" w:space="0" w:color="000000"/>
            </w:tcBorders>
          </w:tcPr>
          <w:p>
            <w:pPr/>
          </w:p>
        </w:tc>
      </w:tr>
    </w:tbl>
    <w:p>
      <w:pPr>
        <w:pStyle w:val="BodyText"/>
        <w:spacing w:line="240" w:lineRule="auto" w:before="51"/>
        <w:ind w:left="154" w:right="889"/>
        <w:jc w:val="left"/>
      </w:pPr>
      <w:r>
        <w:rPr/>
        <w:t>同比扭亏为盈</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669"/>
        <w:gridCol w:w="799"/>
        <w:gridCol w:w="2387"/>
      </w:tblGrid>
      <w:tr>
        <w:trPr>
          <w:trHeight w:val="715"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月净利润与上年同期相比扭亏为盈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669" w:type="dxa"/>
            <w:tcBorders>
              <w:top w:val="single" w:sz="4" w:space="0" w:color="000000"/>
              <w:left w:val="single" w:sz="9"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w:t>
            </w:r>
          </w:p>
        </w:tc>
        <w:tc>
          <w:tcPr>
            <w:tcW w:w="238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11"/>
                <w:sz w:val="18"/>
                <w:szCs w:val="18"/>
              </w:rPr>
              <w:t> </w:t>
            </w:r>
            <w:r>
              <w:rPr>
                <w:rFonts w:ascii="宋体" w:hAnsi="宋体" w:cs="宋体" w:eastAsia="宋体" w:hint="default"/>
                <w:spacing w:val="-6"/>
                <w:sz w:val="18"/>
                <w:szCs w:val="18"/>
              </w:rPr>
              <w:t>月归属于上市公司股东的净利润（万</w:t>
            </w:r>
            <w:r>
              <w:rPr>
                <w:rFonts w:ascii="宋体" w:hAnsi="宋体" w:cs="宋体" w:eastAsia="宋体" w:hint="default"/>
                <w:sz w:val="18"/>
                <w:szCs w:val="18"/>
              </w:rPr>
              <w:t> 元）</w:t>
            </w:r>
          </w:p>
        </w:tc>
        <w:tc>
          <w:tcPr>
            <w:tcW w:w="5855" w:type="dxa"/>
            <w:gridSpan w:val="3"/>
            <w:tcBorders>
              <w:top w:val="single" w:sz="4" w:space="0" w:color="000000"/>
              <w:left w:val="single" w:sz="9" w:space="0" w:color="D2D2D2"/>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业绩变动的原因说明</w:t>
            </w:r>
          </w:p>
        </w:tc>
        <w:tc>
          <w:tcPr>
            <w:tcW w:w="5855" w:type="dxa"/>
            <w:gridSpan w:val="3"/>
            <w:tcBorders>
              <w:top w:val="single" w:sz="4" w:space="0" w:color="000000"/>
              <w:left w:val="single" w:sz="9" w:space="0" w:color="D2D2D2"/>
              <w:bottom w:val="single" w:sz="4" w:space="0" w:color="000000"/>
              <w:right w:val="single" w:sz="4" w:space="0" w:color="000000"/>
            </w:tcBorders>
          </w:tcPr>
          <w:p>
            <w:pPr/>
          </w:p>
        </w:tc>
      </w:tr>
    </w:tbl>
    <w:p>
      <w:pPr>
        <w:pStyle w:val="BodyText"/>
        <w:spacing w:line="300" w:lineRule="auto" w:before="51"/>
        <w:ind w:left="154" w:right="1123"/>
        <w:jc w:val="left"/>
      </w:pPr>
      <w:r>
        <w:rPr/>
        <w:t>注：</w:t>
      </w:r>
      <w:r>
        <w:rPr>
          <w:rFonts w:ascii="Times New Roman" w:hAnsi="Times New Roman" w:cs="Times New Roman" w:eastAsia="Times New Roman" w:hint="default"/>
        </w:rPr>
        <w:t>1</w:t>
      </w:r>
      <w:r>
        <w:rPr/>
        <w:t>、公司应按照《中小企业板信息披露业务备忘录第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号：业绩预告、业绩快报及其修正》的有关要求填报此表；存在 不确定因素可能影响业绩预告准确性的，公司应说明不确定因素的具体情况及其影响程度；</w:t>
      </w:r>
    </w:p>
    <w:p>
      <w:pPr>
        <w:pStyle w:val="BodyText"/>
        <w:spacing w:line="302" w:lineRule="auto" w:before="70"/>
        <w:ind w:right="1119"/>
        <w:jc w:val="left"/>
      </w:pPr>
      <w:r>
        <w:rPr>
          <w:rFonts w:ascii="Times New Roman" w:hAnsi="Times New Roman" w:cs="Times New Roman" w:eastAsia="Times New Roman" w:hint="default"/>
          <w:spacing w:val="-6"/>
        </w:rPr>
        <w:t>2</w:t>
      </w:r>
      <w:r>
        <w:rPr>
          <w:spacing w:val="-6"/>
        </w:rPr>
        <w:t>、公司预计</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月净利润同比上升或下降</w:t>
      </w:r>
      <w:r>
        <w:rPr>
          <w:spacing w:val="-52"/>
        </w:rPr>
        <w:t> </w:t>
      </w:r>
      <w:r>
        <w:rPr>
          <w:rFonts w:ascii="Times New Roman" w:hAnsi="Times New Roman" w:cs="Times New Roman" w:eastAsia="Times New Roman" w:hint="default"/>
        </w:rPr>
        <w:t>50%</w:t>
      </w:r>
      <w:r>
        <w:rPr/>
        <w:t>以上的，应在业绩预告中披露年预计变动幅度范围以及对应的净利润 变动区间。公司披露的业绩变动幅度范围上下限之差不得超过</w:t>
      </w:r>
      <w:r>
        <w:rPr>
          <w:spacing w:val="-45"/>
        </w:rPr>
        <w:t> </w:t>
      </w:r>
      <w:r>
        <w:rPr>
          <w:rFonts w:ascii="Times New Roman" w:hAnsi="Times New Roman" w:cs="Times New Roman" w:eastAsia="Times New Roman" w:hint="default"/>
        </w:rPr>
        <w:t>50%</w:t>
      </w:r>
      <w:r>
        <w:rPr/>
        <w:t>；</w:t>
      </w:r>
    </w:p>
    <w:p>
      <w:pPr>
        <w:pStyle w:val="BodyText"/>
        <w:spacing w:line="240" w:lineRule="auto" w:before="50"/>
        <w:ind w:right="889"/>
        <w:jc w:val="left"/>
      </w:pPr>
      <w:r>
        <w:rPr>
          <w:rFonts w:ascii="Times New Roman" w:hAnsi="Times New Roman" w:cs="Times New Roman" w:eastAsia="Times New Roman" w:hint="default"/>
          <w:spacing w:val="-5"/>
        </w:rPr>
        <w:t>3</w:t>
      </w:r>
      <w:r>
        <w:rPr>
          <w:spacing w:val="-5"/>
        </w:rPr>
        <w:t>、公司预计</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月净利润为负值或与上年同期相比实现扭亏为盈的，应在业绩预告中披露盈利或亏损金额的合理预</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889"/>
        <w:jc w:val="left"/>
      </w:pPr>
      <w:r>
        <w:rPr/>
        <w:t>计范围。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360" w:lineRule="auto" w:before="44"/>
        <w:ind w:left="6544" w:right="2382" w:hanging="540"/>
        <w:jc w:val="left"/>
      </w:pPr>
      <w:r>
        <w:rPr/>
        <w:t>深圳中装建设集团股份有限公司 董事长：庄重</w:t>
      </w:r>
    </w:p>
    <w:p>
      <w:pPr>
        <w:pStyle w:val="BodyText"/>
        <w:spacing w:line="240" w:lineRule="auto" w:before="26"/>
        <w:ind w:left="6364" w:right="889"/>
        <w:jc w:val="left"/>
      </w:pPr>
      <w:r>
        <w:rPr/>
        <w:t>二〇一八年四月十三日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6848" type="#_x0000_t75" stroked="false">
          <v:imagedata r:id="rId1" o:title=""/>
        </v:shape>
      </w:pict>
    </w:r>
    <w:r>
      <w:rPr/>
      <w:pict>
        <v:shape style="position:absolute;margin-left:533.179993pt;margin-top:795.517944pt;width:6.5pt;height:11pt;mso-position-horizontal-relative:page;mso-position-vertical-relative:page;z-index:-8968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6800" type="#_x0000_t75" stroked="false">
          <v:imagedata r:id="rId1" o:title=""/>
        </v:shape>
      </w:pict>
    </w:r>
    <w:r>
      <w:rPr/>
      <w:pict>
        <v:shape style="position:absolute;margin-left:527.679993pt;margin-top:781.957947pt;width:13pt;height:11pt;mso-position-horizontal-relative:page;mso-position-vertical-relative:page;z-index:-896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6752" type="#_x0000_t75" stroked="false">
          <v:imagedata r:id="rId1" o:title=""/>
        </v:shape>
      </w:pict>
    </w:r>
    <w:r>
      <w:rPr/>
      <w:pict>
        <v:shape style="position:absolute;margin-left:524.179993pt;margin-top:781.957947pt;width:15.5pt;height:11pt;mso-position-horizontal-relative:page;mso-position-vertical-relative:page;z-index:-8967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6704" type="#_x0000_t75" stroked="false">
          <v:imagedata r:id="rId1" o:title=""/>
        </v:shape>
      </w:pict>
    </w:r>
    <w:r>
      <w:rPr/>
      <w:pict>
        <v:shape style="position:absolute;margin-left:523.179993pt;margin-top:781.957947pt;width:17.5pt;height:11pt;mso-position-horizontal-relative:page;mso-position-vertical-relative:page;z-index:-896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896872" type="#_x0000_t202" filled="false" stroked="false">
          <v:textbox inset="0,0,0,0">
            <w:txbxContent>
              <w:p>
                <w:pPr>
                  <w:pStyle w:val="BodyText"/>
                  <w:spacing w:line="214" w:lineRule="exact"/>
                  <w:ind w:left="20" w:right="0"/>
                  <w:jc w:val="left"/>
                </w:pPr>
                <w:r>
                  <w:rPr/>
                  <w:t>深圳市中装建设集团股份有限公司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224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spacing w:before="75"/>
      <w:ind w:left="153"/>
      <w:outlineLvl w:val="4"/>
    </w:pPr>
    <w:rPr>
      <w:rFonts w:ascii="宋体" w:hAnsi="宋体" w:eastAsia="宋体"/>
      <w:sz w:val="21"/>
      <w:szCs w:val="21"/>
    </w:rPr>
  </w:style>
  <w:style w:styleId="Heading5" w:type="paragraph">
    <w:name w:val="Heading 5"/>
    <w:basedOn w:val="Normal"/>
    <w:uiPriority w:val="1"/>
    <w:qFormat/>
    <w:pPr>
      <w:spacing w:before="44"/>
      <w:ind w:left="57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zhongzhuang.com/" TargetMode="External"/><Relationship Id="rId10" Type="http://schemas.openxmlformats.org/officeDocument/2006/relationships/hyperlink" Target="mailto:zhengquan@zhongzhuang.com" TargetMode="External"/><Relationship Id="rId11" Type="http://schemas.openxmlformats.org/officeDocument/2006/relationships/hyperlink" Target="mailto:yuguitian@zhongzhuang.com" TargetMode="External"/><Relationship Id="rId12" Type="http://schemas.openxmlformats.org/officeDocument/2006/relationships/hyperlink" Target="mailto:chenlin@zhongzhuang.com" TargetMode="External"/><Relationship Id="rId13" Type="http://schemas.openxmlformats.org/officeDocument/2006/relationships/hyperlink" Target="http://www.cninfo.com.cn/"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www.cninfo.con.cn/" TargetMode="External"/><Relationship Id="rId17" Type="http://schemas.openxmlformats.org/officeDocument/2006/relationships/image" Target="media/image5.png"/><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深圳市中装建设集团股份有限公司</dc:creator>
  <dc:title>深圳市中装建设集团股份有限公司2017年年度报告</dc:title>
  <dcterms:created xsi:type="dcterms:W3CDTF">2020-05-02T23:20:37Z</dcterms:created>
  <dcterms:modified xsi:type="dcterms:W3CDTF">2020-05-02T23:20:37Z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2018-04-13T00:00:00Z</vt:filetime>
  </property>
  <property fmtid="{D5CDD505-2E9C-101B-9397-08002B2CF9AE}" pid="3" name="Creator">
    <vt:lpwstr>Microsoft® Office Word 2007</vt:lpwstr>
  </property>
  <property fmtid="{D5CDD505-2E9C-101B-9397-08002B2CF9AE}" pid="4" name="LastSaved">
    <vt:filetime>2020-05-02T00:00:00Z</vt:filetime>
  </property>
</Properties>
</file>