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spacing w:line="274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4"/>
          <w:sz w:val="20"/>
          <w:szCs w:val="20"/>
        </w:rPr>
        <w:drawing>
          <wp:inline distT="0" distB="0" distL="0" distR="0">
            <wp:extent cx="1409821" cy="17430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821" cy="1743075"/>
                    </a:xfrm>
                    <a:prstGeom prst="rect">
                      <a:avLst/>
                    </a:prstGeom>
                  </pic:spPr>
                </pic:pic>
              </a:graphicData>
            </a:graphic>
          </wp:inline>
        </w:drawing>
      </w:r>
      <w:r>
        <w:rPr>
          <w:rFonts w:ascii="Times New Roman" w:hAnsi="Times New Roman" w:cs="Times New Roman" w:eastAsia="Times New Roman" w:hint="default"/>
          <w:position w:val="-54"/>
          <w:sz w:val="20"/>
          <w:szCs w:val="20"/>
        </w:rPr>
      </w:r>
    </w:p>
    <w:p>
      <w:pPr>
        <w:spacing w:line="240" w:lineRule="auto" w:before="1"/>
        <w:rPr>
          <w:rFonts w:ascii="Times New Roman" w:hAnsi="Times New Roman" w:cs="Times New Roman" w:eastAsia="Times New Roman" w:hint="default"/>
          <w:sz w:val="23"/>
          <w:szCs w:val="23"/>
        </w:rPr>
      </w:pPr>
    </w:p>
    <w:p>
      <w:pPr>
        <w:spacing w:line="460" w:lineRule="exact" w:before="0"/>
        <w:ind w:left="2243" w:right="3221" w:firstLine="0"/>
        <w:jc w:val="center"/>
        <w:rPr>
          <w:rFonts w:ascii="宋体" w:hAnsi="宋体" w:cs="宋体" w:eastAsia="宋体" w:hint="default"/>
          <w:sz w:val="36"/>
          <w:szCs w:val="36"/>
        </w:rPr>
      </w:pPr>
      <w:r>
        <w:rPr>
          <w:rFonts w:ascii="宋体" w:hAnsi="宋体" w:cs="宋体" w:eastAsia="宋体" w:hint="default"/>
          <w:b/>
          <w:bCs/>
          <w:sz w:val="36"/>
          <w:szCs w:val="36"/>
        </w:rPr>
        <w:t>深圳市中装建设集团股份有限公司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4"/>
          <w:szCs w:val="44"/>
        </w:rPr>
      </w:pPr>
    </w:p>
    <w:p>
      <w:pPr>
        <w:pStyle w:val="Heading1"/>
        <w:spacing w:line="240" w:lineRule="auto" w:before="0"/>
        <w:ind w:left="2242" w:right="3221"/>
        <w:jc w:val="center"/>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30"/>
          <w:szCs w:val="30"/>
        </w:rPr>
      </w:pPr>
    </w:p>
    <w:p>
      <w:pPr>
        <w:spacing w:before="0"/>
        <w:ind w:left="2243"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917" w:footer="1019" w:top="1100" w:bottom="120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before="1"/>
        <w:ind w:left="2805" w:right="1032" w:firstLine="0"/>
        <w:jc w:val="left"/>
        <w:rPr>
          <w:rFonts w:ascii="宋体" w:hAnsi="宋体" w:cs="宋体" w:eastAsia="宋体" w:hint="default"/>
          <w:sz w:val="32"/>
          <w:szCs w:val="32"/>
        </w:rPr>
      </w:pPr>
      <w:bookmarkStart w:name="第一节 重要提示、目录和释义" w:id="1"/>
      <w:bookmarkEnd w:id="1"/>
      <w:r>
        <w:rPr/>
      </w: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1132" w:firstLine="559"/>
        <w:jc w:val="both"/>
        <w:rPr>
          <w:rFonts w:ascii="宋体" w:hAnsi="宋体" w:cs="宋体" w:eastAsia="宋体" w:hint="default"/>
          <w:sz w:val="28"/>
          <w:szCs w:val="28"/>
        </w:rPr>
      </w:pPr>
      <w:r>
        <w:rPr>
          <w:rFonts w:ascii="宋体" w:hAnsi="宋体" w:cs="宋体" w:eastAsia="宋体" w:hint="default"/>
          <w:b/>
          <w:bCs/>
          <w:w w:val="95"/>
          <w:sz w:val="28"/>
          <w:szCs w:val="28"/>
        </w:rPr>
        <w:t>公司负责人庄重、主管会计工作负责人于桂添及会计机构负责人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房新芬声明：保证年度报告中财务报告的真实、准确、完整。</w:t>
      </w:r>
      <w:r>
        <w:rPr>
          <w:rFonts w:ascii="宋体" w:hAnsi="宋体" w:cs="宋体" w:eastAsia="宋体" w:hint="default"/>
          <w:sz w:val="28"/>
          <w:szCs w:val="28"/>
        </w:rPr>
      </w:r>
    </w:p>
    <w:p>
      <w:pPr>
        <w:spacing w:line="472" w:lineRule="auto" w:before="147"/>
        <w:ind w:left="705" w:right="1032" w:firstLine="1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sz w:val="28"/>
          <w:szCs w:val="28"/>
        </w:rPr>
        <w:t>公司需遵守《深圳证券交易所行业信息披露指引第</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18"/>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上市公司从事装修</w:t>
      </w:r>
      <w:r>
        <w:rPr>
          <w:rFonts w:ascii="宋体" w:hAnsi="宋体" w:cs="宋体" w:eastAsia="宋体" w:hint="default"/>
          <w:sz w:val="28"/>
          <w:szCs w:val="28"/>
        </w:rPr>
      </w:r>
    </w:p>
    <w:p>
      <w:pPr>
        <w:spacing w:line="303" w:lineRule="exact" w:before="0"/>
        <w:ind w:left="154" w:right="1032" w:firstLine="0"/>
        <w:jc w:val="left"/>
        <w:rPr>
          <w:rFonts w:ascii="宋体" w:hAnsi="宋体" w:cs="宋体" w:eastAsia="宋体" w:hint="default"/>
          <w:sz w:val="28"/>
          <w:szCs w:val="28"/>
        </w:rPr>
      </w:pPr>
      <w:r>
        <w:rPr>
          <w:rFonts w:ascii="宋体" w:hAnsi="宋体" w:cs="宋体" w:eastAsia="宋体" w:hint="default"/>
          <w:b/>
          <w:bCs/>
          <w:sz w:val="28"/>
          <w:szCs w:val="28"/>
        </w:rPr>
        <w:t>装饰业务》的披露要求。</w:t>
      </w:r>
      <w:r>
        <w:rPr>
          <w:rFonts w:ascii="宋体" w:hAnsi="宋体" w:cs="宋体" w:eastAsia="宋体" w:hint="default"/>
          <w:sz w:val="28"/>
          <w:szCs w:val="28"/>
        </w:rPr>
      </w:r>
    </w:p>
    <w:p>
      <w:pPr>
        <w:spacing w:line="240" w:lineRule="auto" w:before="10"/>
        <w:rPr>
          <w:rFonts w:ascii="宋体" w:hAnsi="宋体" w:cs="宋体" w:eastAsia="宋体" w:hint="default"/>
          <w:b/>
          <w:bCs/>
          <w:sz w:val="22"/>
          <w:szCs w:val="22"/>
        </w:rPr>
      </w:pPr>
    </w:p>
    <w:p>
      <w:pPr>
        <w:spacing w:line="408" w:lineRule="auto" w:before="0"/>
        <w:ind w:left="154" w:right="1032" w:firstLine="551"/>
        <w:jc w:val="left"/>
        <w:rPr>
          <w:rFonts w:ascii="宋体" w:hAnsi="宋体" w:cs="宋体" w:eastAsia="宋体" w:hint="default"/>
          <w:sz w:val="28"/>
          <w:szCs w:val="28"/>
        </w:rPr>
      </w:pPr>
      <w:r>
        <w:rPr>
          <w:rFonts w:ascii="宋体" w:hAnsi="宋体" w:cs="宋体" w:eastAsia="宋体" w:hint="default"/>
          <w:b/>
          <w:bCs/>
          <w:sz w:val="28"/>
          <w:szCs w:val="28"/>
        </w:rPr>
        <w:t>本次年度报告所涉及的未来计划等前瞻性陈述可能受宏观经济环境、市场</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环境等因素的影响而存在一定的不确定性，不构成公司对投资者的实质性承诺，</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投资者及相关人士均应对此保持足够的风险认识，并且应当理解计划、预测与</w:t>
      </w:r>
      <w:r>
        <w:rPr>
          <w:rFonts w:ascii="宋体" w:hAnsi="宋体" w:cs="宋体" w:eastAsia="宋体" w:hint="default"/>
          <w:b/>
          <w:bCs/>
          <w:w w:val="99"/>
          <w:sz w:val="28"/>
          <w:szCs w:val="28"/>
        </w:rPr>
        <w:t> </w:t>
      </w:r>
      <w:r>
        <w:rPr>
          <w:rFonts w:ascii="宋体" w:hAnsi="宋体" w:cs="宋体" w:eastAsia="宋体" w:hint="default"/>
          <w:b/>
          <w:bCs/>
          <w:sz w:val="28"/>
          <w:szCs w:val="28"/>
        </w:rPr>
        <w:t>承诺之间的差异。</w:t>
      </w:r>
      <w:r>
        <w:rPr>
          <w:rFonts w:ascii="宋体" w:hAnsi="宋体" w:cs="宋体" w:eastAsia="宋体" w:hint="default"/>
          <w:sz w:val="28"/>
          <w:szCs w:val="28"/>
        </w:rPr>
      </w:r>
    </w:p>
    <w:p>
      <w:pPr>
        <w:spacing w:line="408" w:lineRule="auto" w:before="160"/>
        <w:ind w:left="154"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本公司请投资者认真阅读本年报报告全文，并特别注意下列风险因素：宏</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观经济波动的风险、房地产行业政策调控带来的风险、应收账款产生坏账的风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险、市场竞争风险、业务扩张带来的管理风险、业务转型升级及开拓新兴市场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不达预期的风险。</w:t>
      </w:r>
      <w:r>
        <w:rPr>
          <w:rFonts w:ascii="宋体" w:hAnsi="宋体" w:cs="宋体" w:eastAsia="宋体" w:hint="default"/>
          <w:sz w:val="28"/>
          <w:szCs w:val="28"/>
        </w:rPr>
      </w:r>
    </w:p>
    <w:p>
      <w:pPr>
        <w:spacing w:before="160"/>
        <w:ind w:left="716" w:right="103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600000000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7"/>
        <w:ind w:left="154" w:right="1032"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1032"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917" w:footer="1019" w:top="1120" w:bottom="1200" w:left="980" w:right="0"/>
        </w:sectPr>
      </w:pPr>
    </w:p>
    <w:p>
      <w:pPr>
        <w:spacing w:line="240" w:lineRule="auto" w:before="10"/>
        <w:rPr>
          <w:rFonts w:ascii="宋体" w:hAnsi="宋体" w:cs="宋体" w:eastAsia="宋体" w:hint="default"/>
          <w:b/>
          <w:bCs/>
          <w:sz w:val="20"/>
          <w:szCs w:val="20"/>
        </w:rPr>
      </w:pPr>
    </w:p>
    <w:p>
      <w:pPr>
        <w:pStyle w:val="BodyText"/>
        <w:spacing w:line="240" w:lineRule="auto" w:before="44"/>
        <w:ind w:right="1032"/>
        <w:jc w:val="left"/>
      </w:pPr>
      <w:r>
        <w:rPr/>
        <w:t>目录</w:t>
      </w:r>
    </w:p>
    <w:p>
      <w:pPr>
        <w:pStyle w:val="BodyText"/>
        <w:spacing w:line="240" w:lineRule="auto" w:before="116"/>
        <w:ind w:left="2243" w:right="3219"/>
        <w:jc w:val="center"/>
      </w:pPr>
      <w:r>
        <w:rPr/>
        <w:t>释义</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103" w:right="171"/>
              <w:jc w:val="left"/>
              <w:rPr>
                <w:rFonts w:ascii="宋体" w:hAnsi="宋体" w:cs="宋体" w:eastAsia="宋体" w:hint="default"/>
                <w:sz w:val="18"/>
                <w:szCs w:val="18"/>
              </w:rPr>
            </w:pPr>
            <w:r>
              <w:rPr>
                <w:rFonts w:ascii="宋体" w:hAnsi="宋体" w:cs="宋体" w:eastAsia="宋体" w:hint="default"/>
                <w:sz w:val="18"/>
                <w:szCs w:val="18"/>
              </w:rPr>
              <w:t>中装建设、公司、本公司、股份公司或发 行人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中装有限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深圳市中装设计装饰工程有限公司，公司前身</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庄重、庄小红和庄展诺</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庄小红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鼎润天成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南京鼎润天成投资合伙企业（有限合伙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上海融银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上海融银股权投资合伙企业（有限合伙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昆山中科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福州中科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福州中科福海创业投资合伙企业（有限合伙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盐城中科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盐城市中科盐发创业投资企业（有限合伙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江西中嘉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江西中嘉投资有限公司，公司股东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深圳市中装城市建设发展有限公司，公司全资子公司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深圳市中装新能源科技有限公司，公司控股子公司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中装希奥特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深圳市中装希奥特能源科技有限公司，公司控股孙公司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中装设计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深圳市中装建筑设计顾问有限公司，公司全资子公司，后更名为南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京卓佰年建筑设计有限公司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南京卓佰年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南京卓佰年建筑设计有限公司，公司全资子公司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吉林省中装装饰工程有限公司，公司全资子公司，正在办理注销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中装利丰建筑工程有限公司，公司控股子公司，正在办理注销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惠州市中装新材料有限公司，公司全资子公司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深圳市中装园林建设工程有限公司，公司全资子公司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南亿科技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深圳南亿科技股份有限公司，公司参股公司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深圳市中装智能建筑顾问有限公司，公司控股子公司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引爆互联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深圳市引爆互联网金融服务有限公司，曾为公司参股公司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深圳市赛格物业管理有限公司，公司参股公司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保荐机构、万联证券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律师、华商律师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会计师、天职国际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深圳市中装建设集团股份有限公司股东大会、董事会、监事会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bl>
    <w:p>
      <w:pPr>
        <w:spacing w:after="0" w:line="240" w:lineRule="auto"/>
        <w:jc w:val="left"/>
        <w:rPr>
          <w:rFonts w:ascii="宋体" w:hAnsi="宋体" w:cs="宋体" w:eastAsia="宋体" w:hint="default"/>
          <w:sz w:val="18"/>
          <w:szCs w:val="18"/>
        </w:rPr>
        <w:sectPr>
          <w:pgSz w:w="11910" w:h="16840"/>
          <w:pgMar w:header="917" w:footer="1019" w:top="1120" w:bottom="1200" w:left="98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17" w:footer="1019" w:top="112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1"/>
        <w:spacing w:line="240" w:lineRule="auto"/>
        <w:ind w:left="2644" w:right="1032"/>
        <w:jc w:val="left"/>
        <w:rPr>
          <w:b w:val="0"/>
          <w:bCs w:val="0"/>
        </w:rPr>
      </w:pPr>
      <w:bookmarkStart w:name="第二节 公司简介和主要财务指标"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信息" w:id="3"/>
      <w:bookmarkEnd w:id="3"/>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中装建设</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002822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中装建设</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Shenzhen Zhongzhuang Construction Group Co.</w:t>
            </w:r>
            <w:r>
              <w:rPr>
                <w:rFonts w:ascii="Times New Roman"/>
                <w:spacing w:val="-9"/>
                <w:sz w:val="18"/>
              </w:rPr>
              <w:t> </w:t>
            </w:r>
            <w:r>
              <w:rPr>
                <w:rFonts w:ascii="Times New Roman"/>
                <w:sz w:val="18"/>
              </w:rPr>
              <w:t>,Ltd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Zhongzhuang</w:t>
            </w:r>
            <w:r>
              <w:rPr>
                <w:rFonts w:ascii="Times New Roman"/>
                <w:spacing w:val="-3"/>
                <w:sz w:val="18"/>
              </w:rPr>
              <w:t> </w:t>
            </w:r>
            <w:r>
              <w:rPr>
                <w:rFonts w:ascii="Times New Roman"/>
                <w:sz w:val="18"/>
              </w:rPr>
              <w:t>Construction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庄重</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号鸿隆世纪广场四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518001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号鸿隆世纪广场四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518001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8">
              <w:r>
                <w:rPr>
                  <w:rFonts w:ascii="Times New Roman"/>
                  <w:sz w:val="18"/>
                </w:rPr>
                <w:t>www.zhongzhuang.com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zhengquan@zhongzhuang.com</w:t>
              </w:r>
            </w:hyperlink>
          </w:p>
        </w:tc>
      </w:tr>
    </w:tbl>
    <w:p>
      <w:pPr>
        <w:spacing w:line="240" w:lineRule="auto" w:before="2"/>
        <w:rPr>
          <w:rFonts w:ascii="宋体" w:hAnsi="宋体" w:cs="宋体" w:eastAsia="宋体" w:hint="default"/>
          <w:b/>
          <w:bCs/>
          <w:sz w:val="18"/>
          <w:szCs w:val="18"/>
        </w:rPr>
      </w:pPr>
    </w:p>
    <w:p>
      <w:pPr>
        <w:spacing w:before="26"/>
        <w:ind w:left="154" w:right="1032" w:firstLine="0"/>
        <w:jc w:val="left"/>
        <w:rPr>
          <w:rFonts w:ascii="宋体" w:hAnsi="宋体" w:cs="宋体" w:eastAsia="宋体" w:hint="default"/>
          <w:sz w:val="24"/>
          <w:szCs w:val="24"/>
        </w:rPr>
      </w:pPr>
      <w:bookmarkStart w:name="二、联系人和联系方式" w:id="4"/>
      <w:bookmarkEnd w:id="4"/>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陈琳、张雪</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 纪广场四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4002 </w:t>
            </w:r>
            <w:r>
              <w:rPr>
                <w:rFonts w:ascii="宋体" w:hAnsi="宋体" w:cs="宋体" w:eastAsia="宋体" w:hint="default"/>
                <w:sz w:val="18"/>
                <w:szCs w:val="18"/>
              </w:rPr>
              <w:t>号鸿隆世 纪广场四</w:t>
            </w:r>
            <w:r>
              <w:rPr>
                <w:rFonts w:ascii="Times New Roman" w:hAnsi="Times New Roman" w:cs="Times New Roman" w:eastAsia="Times New Roman" w:hint="default"/>
                <w:sz w:val="18"/>
                <w:szCs w:val="18"/>
              </w:rPr>
              <w:t>-</w:t>
            </w:r>
            <w:r>
              <w:rPr>
                <w:rFonts w:ascii="宋体" w:hAnsi="宋体" w:cs="宋体" w:eastAsia="宋体" w:hint="default"/>
                <w:sz w:val="18"/>
                <w:szCs w:val="18"/>
              </w:rPr>
              <w:t>五层</w:t>
            </w:r>
            <w:r>
              <w:rPr>
                <w:rFonts w:ascii="Times New Roman" w:hAnsi="Times New Roman" w:cs="Times New Roman" w:eastAsia="Times New Roman" w:hint="default"/>
                <w:sz w:val="18"/>
                <w:szCs w:val="18"/>
              </w:rPr>
              <w:t>(</w:t>
            </w:r>
            <w:r>
              <w:rPr>
                <w:rFonts w:ascii="宋体" w:hAnsi="宋体" w:cs="宋体" w:eastAsia="宋体" w:hint="default"/>
                <w:sz w:val="18"/>
                <w:szCs w:val="18"/>
              </w:rPr>
              <w:t>仅限办公</w:t>
            </w:r>
            <w:r>
              <w:rPr>
                <w:rFonts w:ascii="Times New Roman" w:hAnsi="Times New Roman" w:cs="Times New Roman" w:eastAsia="Times New Roman"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0755-83599233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0755-83599233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0755-83567197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0755-83567197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hyperlink r:id="rId10">
              <w:r>
                <w:rPr>
                  <w:rFonts w:ascii="Times New Roman"/>
                  <w:sz w:val="18"/>
                </w:rPr>
                <w:t>yuguitian@zhongzhuang.com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883"/>
              <w:jc w:val="left"/>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z w:val="18"/>
                  <w:szCs w:val="18"/>
                </w:rPr>
                <w:t>chenlin@zhongzhuang.com</w:t>
              </w:r>
            </w:hyperlink>
            <w:r>
              <w:rPr>
                <w:rFonts w:ascii="宋体" w:hAnsi="宋体" w:cs="宋体" w:eastAsia="宋体" w:hint="default"/>
                <w:sz w:val="18"/>
                <w:szCs w:val="18"/>
              </w:rPr>
              <w:t>； </w:t>
            </w:r>
            <w:hyperlink r:id="rId12">
              <w:r>
                <w:rPr>
                  <w:rFonts w:ascii="Times New Roman" w:hAnsi="Times New Roman" w:cs="Times New Roman" w:eastAsia="Times New Roman" w:hint="default"/>
                  <w:sz w:val="18"/>
                  <w:szCs w:val="18"/>
                </w:rPr>
                <w:t>zhangxue@zhongzhuang.com</w:t>
              </w:r>
            </w:hyperlink>
          </w:p>
        </w:tc>
      </w:tr>
    </w:tbl>
    <w:p>
      <w:pPr>
        <w:spacing w:line="240" w:lineRule="auto" w:before="2"/>
        <w:rPr>
          <w:rFonts w:ascii="宋体" w:hAnsi="宋体" w:cs="宋体" w:eastAsia="宋体" w:hint="default"/>
          <w:b/>
          <w:bCs/>
          <w:sz w:val="18"/>
          <w:szCs w:val="18"/>
        </w:rPr>
      </w:pPr>
    </w:p>
    <w:p>
      <w:pPr>
        <w:spacing w:before="26"/>
        <w:ind w:left="154" w:right="1032" w:firstLine="0"/>
        <w:jc w:val="left"/>
        <w:rPr>
          <w:rFonts w:ascii="宋体" w:hAnsi="宋体" w:cs="宋体" w:eastAsia="宋体" w:hint="default"/>
          <w:sz w:val="24"/>
          <w:szCs w:val="24"/>
        </w:rPr>
      </w:pPr>
      <w:bookmarkStart w:name="三、信息披露及备置地点" w:id="5"/>
      <w:bookmarkEnd w:id="5"/>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17" w:footer="1019" w:top="1120" w:bottom="1200" w:left="980" w:right="0"/>
        </w:sect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314" w:hRule="exact"/>
        </w:trPr>
        <w:tc>
          <w:tcPr>
            <w:tcW w:w="3993" w:type="dxa"/>
            <w:tcBorders>
              <w:top w:val="nil" w:sz="6" w:space="0" w:color="auto"/>
              <w:left w:val="nil" w:sz="6" w:space="0" w:color="auto"/>
              <w:bottom w:val="single" w:sz="4" w:space="0" w:color="000000"/>
              <w:right w:val="nil" w:sz="6" w:space="0" w:color="auto"/>
            </w:tcBorders>
          </w:tcPr>
          <w:p>
            <w:pPr/>
          </w:p>
        </w:tc>
        <w:tc>
          <w:tcPr>
            <w:tcW w:w="557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公司证券事务部、深圳证券交易所</w:t>
            </w:r>
          </w:p>
        </w:tc>
      </w:tr>
    </w:tbl>
    <w:p>
      <w:pPr>
        <w:spacing w:line="240" w:lineRule="auto" w:before="12"/>
        <w:rPr>
          <w:rFonts w:ascii="宋体" w:hAnsi="宋体" w:cs="宋体" w:eastAsia="宋体" w:hint="default"/>
          <w:b/>
          <w:bCs/>
          <w:sz w:val="19"/>
          <w:szCs w:val="19"/>
        </w:rPr>
      </w:pPr>
    </w:p>
    <w:p>
      <w:pPr>
        <w:spacing w:before="26"/>
        <w:ind w:left="154" w:right="1032" w:firstLine="0"/>
        <w:jc w:val="left"/>
        <w:rPr>
          <w:rFonts w:ascii="宋体" w:hAnsi="宋体" w:cs="宋体" w:eastAsia="宋体" w:hint="default"/>
          <w:sz w:val="24"/>
          <w:szCs w:val="24"/>
        </w:rPr>
      </w:pPr>
      <w:r>
        <w:rPr/>
        <w:pict>
          <v:group style="position:absolute;margin-left:55.200001pt;margin-top:-47.9244pt;width:485pt;height:.1pt;mso-position-horizontal-relative:page;mso-position-vertical-relative:paragraph;z-index:-1091368" coordorigin="1104,-958" coordsize="9700,2">
            <v:shape style="position:absolute;left:1104;top:-958;width:9700;height:2" coordorigin="1104,-958" coordsize="9700,0" path="m1104,-958l10804,-958e" filled="false" stroked="true" strokeweight=".48pt" strokecolor="#000000">
              <v:path arrowok="t"/>
            </v:shape>
            <w10:wrap type="none"/>
          </v:group>
        </w:pict>
      </w:r>
      <w:bookmarkStart w:name="四、注册变更情况" w:id="6"/>
      <w:bookmarkEnd w:id="6"/>
      <w:r>
        <w:rPr/>
      </w: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914403001922663713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spacing w:before="26"/>
        <w:ind w:left="154" w:right="1032" w:firstLine="0"/>
        <w:jc w:val="left"/>
        <w:rPr>
          <w:rFonts w:ascii="宋体" w:hAnsi="宋体" w:cs="宋体" w:eastAsia="宋体" w:hint="default"/>
          <w:sz w:val="24"/>
          <w:szCs w:val="24"/>
        </w:rPr>
      </w:pPr>
      <w:bookmarkStart w:name="五、其他有关资料" w:id="7"/>
      <w:bookmarkEnd w:id="7"/>
      <w:r>
        <w:rPr/>
      </w: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屈先富、唐亚波</w:t>
            </w:r>
          </w:p>
        </w:tc>
      </w:tr>
    </w:tbl>
    <w:p>
      <w:pPr>
        <w:pStyle w:val="BodyText"/>
        <w:spacing w:line="240" w:lineRule="auto" w:before="51"/>
        <w:ind w:right="1032"/>
        <w:jc w:val="left"/>
      </w:pPr>
      <w:r>
        <w:rPr/>
        <w:t>公司聘请的报告期内履行持续督导职责的保荐机构</w:t>
      </w:r>
    </w:p>
    <w:p>
      <w:pPr>
        <w:pStyle w:val="BodyText"/>
        <w:spacing w:line="240" w:lineRule="auto" w:before="117"/>
        <w:ind w:right="1032"/>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楼全层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侯陆方、时光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日起至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年会计年度结束</w:t>
            </w:r>
          </w:p>
        </w:tc>
      </w:tr>
    </w:tbl>
    <w:p>
      <w:pPr>
        <w:pStyle w:val="BodyText"/>
        <w:spacing w:line="240" w:lineRule="auto" w:before="51"/>
        <w:ind w:right="1032"/>
        <w:jc w:val="left"/>
      </w:pPr>
      <w:r>
        <w:rPr/>
        <w:t>公司聘请的报告期内履行持续督导职责的财务顾问</w:t>
      </w:r>
    </w:p>
    <w:p>
      <w:pPr>
        <w:pStyle w:val="BodyText"/>
        <w:spacing w:line="240" w:lineRule="auto" w:before="116"/>
        <w:ind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32"/>
        <w:jc w:val="left"/>
        <w:rPr>
          <w:b w:val="0"/>
          <w:bCs w:val="0"/>
        </w:rPr>
      </w:pPr>
      <w:bookmarkStart w:name="六、主要会计数据和财务指标" w:id="8"/>
      <w:bookmarkEnd w:id="8"/>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公司是否需追溯调整或重述以前年度会计数据</w:t>
      </w:r>
    </w:p>
    <w:p>
      <w:pPr>
        <w:pStyle w:val="BodyText"/>
        <w:spacing w:line="240" w:lineRule="auto" w:before="116"/>
        <w:ind w:right="1032"/>
        <w:jc w:val="left"/>
      </w:pPr>
      <w:r>
        <w:rPr/>
        <w:t>□ 是 √ 否</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4,145,695,271.65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3,172,996,288.26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2,691,714,149.77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167,090,740.33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160,749,979.46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156,183,203.24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166,050,116.55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159,769,782.44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156,875,746.52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-245,506,536.65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-178,298,572.42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-111,879,567.68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12.67%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4,742,297,990.48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4,129,952,298.48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3,367,565,949.14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2,172,452,357.79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2,035,391,961.74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1,934,606,136.37</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七、境内外会计准则下会计数据差异" w:id="9"/>
      <w:bookmarkEnd w:id="9"/>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同时按照国际会计准则与按照中国会计准则披露的财务报告中净利润和净资产差异情况" w:id="10"/>
      <w:bookmarkEnd w:id="10"/>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292"/>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2、同时按照境外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3、境内外会计准则下会计数据差异原因说明" w:id="12"/>
      <w:bookmarkEnd w:id="12"/>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32"/>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798,106,550.03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1,005,644,248.67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1,159,882,727.14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1,182,061,745.81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30,248,490.81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50,874,626.25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51,738,815.79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34,228,807.48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30,050,150.65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48,310,133.08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49,206,761.37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38,483,071.45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-278,140,736.62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60,884,544.69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-115,701,456.31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87,451,111.59</w:t>
            </w:r>
          </w:p>
        </w:tc>
      </w:tr>
    </w:tbl>
    <w:p>
      <w:pPr>
        <w:pStyle w:val="BodyText"/>
        <w:spacing w:line="240" w:lineRule="auto" w:before="51"/>
        <w:ind w:right="1032"/>
        <w:jc w:val="left"/>
      </w:pPr>
      <w:r>
        <w:rPr/>
        <w:t>上述财务指标或其加总数是否与公司已披露季度报告、半年度报告相关财务指标存在重大差异</w:t>
      </w:r>
    </w:p>
    <w:p>
      <w:pPr>
        <w:pStyle w:val="BodyText"/>
        <w:spacing w:line="240" w:lineRule="auto" w:before="117"/>
        <w:ind w:right="1032"/>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-12,332.89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-14,801.61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-130,287.63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30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2,511,904.72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3,025,080.66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1,059,395.11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5,863,534.34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1,812,863.71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 提的各项资产减值准备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 合费用等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 允价值部分的损益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-6,967,601.36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-3,360,509.76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-1,722,049.51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354,917.03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175,208.85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-101,031.20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-8,230.45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632.45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1,040,623.78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980,197.02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-692,543.28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1032"/>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47" w:right="1032"/>
        <w:jc w:val="left"/>
        <w:rPr>
          <w:b w:val="0"/>
          <w:bCs w:val="0"/>
        </w:rPr>
      </w:pPr>
      <w:bookmarkStart w:name="第三节 公司业务概要"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装修装饰业</w:t>
      </w:r>
    </w:p>
    <w:p>
      <w:pPr>
        <w:spacing w:line="316" w:lineRule="auto" w:before="115"/>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（一）报告期内，公司的主营业务及其变化情况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公司是一家以室内外装饰为主，融合幕墙、建筑智能、机电、园林、新能源、物业管理等业务为一体的、致力打造成国</w:t>
      </w:r>
    </w:p>
    <w:p>
      <w:pPr>
        <w:pStyle w:val="BodyText"/>
        <w:spacing w:line="316" w:lineRule="auto" w:before="19"/>
        <w:ind w:right="1042"/>
        <w:jc w:val="both"/>
      </w:pPr>
      <w:r>
        <w:rPr>
          <w:spacing w:val="-2"/>
        </w:rPr>
        <w:t>内知名的城乡建设综合服务商。公司主要承接办公楼、商业建筑、高档酒店、文教体卫设施、交通基础设施等公共建筑和普</w:t>
      </w:r>
      <w:r>
        <w:rPr>
          <w:spacing w:val="-65"/>
        </w:rPr>
        <w:t> </w:t>
      </w:r>
      <w:r>
        <w:rPr>
          <w:spacing w:val="-65"/>
        </w:rPr>
      </w:r>
      <w:r>
        <w:rPr>
          <w:spacing w:val="-2"/>
        </w:rPr>
        <w:t>通住宅、别墅等住宅建筑的装饰施工和设计业务。近年来，凭借着全面的业务资质和优秀的施工能力，公司在全国范围内成</w:t>
      </w:r>
      <w:r>
        <w:rPr>
          <w:spacing w:val="-66"/>
        </w:rPr>
        <w:t> </w:t>
      </w:r>
      <w:r>
        <w:rPr>
          <w:spacing w:val="-66"/>
        </w:rPr>
      </w:r>
      <w:r>
        <w:rPr>
          <w:spacing w:val="-2"/>
        </w:rPr>
        <w:t>功完成了一系列的代表性装饰工程项目。公司在全国装饰行业百强企业综合评价中的排名连续三年位列第八位，并获得“深</w:t>
      </w:r>
      <w:r>
        <w:rPr>
          <w:spacing w:val="-65"/>
        </w:rPr>
        <w:t> </w:t>
      </w:r>
      <w:r>
        <w:rPr>
          <w:spacing w:val="-65"/>
        </w:rPr>
      </w:r>
      <w:r>
        <w:rPr>
          <w:spacing w:val="-8"/>
        </w:rPr>
        <w:t>圳市企业社会责任</w:t>
      </w:r>
      <w:r>
        <w:rPr>
          <w:rFonts w:ascii="宋体" w:hAnsi="宋体" w:cs="宋体" w:eastAsia="宋体" w:hint="default"/>
          <w:spacing w:val="-8"/>
        </w:rPr>
        <w:t>3A</w:t>
      </w:r>
      <w:r>
        <w:rPr>
          <w:spacing w:val="-8"/>
        </w:rPr>
        <w:t>企业”、广东省信用企业评价</w:t>
      </w:r>
      <w:r>
        <w:rPr>
          <w:rFonts w:ascii="宋体" w:hAnsi="宋体" w:cs="宋体" w:eastAsia="宋体" w:hint="default"/>
          <w:spacing w:val="-8"/>
        </w:rPr>
        <w:t>3A</w:t>
      </w:r>
      <w:r>
        <w:rPr>
          <w:spacing w:val="-8"/>
        </w:rPr>
        <w:t>、广东省</w:t>
      </w:r>
      <w:r>
        <w:rPr>
          <w:rFonts w:ascii="宋体" w:hAnsi="宋体" w:cs="宋体" w:eastAsia="宋体" w:hint="default"/>
          <w:spacing w:val="-8"/>
        </w:rPr>
        <w:t>500</w:t>
      </w:r>
      <w:r>
        <w:rPr>
          <w:spacing w:val="-8"/>
        </w:rPr>
        <w:t>强企业等荣誉；连续十六年获评“广东省守合同重信用企业”。</w:t>
      </w:r>
    </w:p>
    <w:p>
      <w:pPr>
        <w:pStyle w:val="BodyText"/>
        <w:spacing w:line="319" w:lineRule="auto" w:before="59"/>
        <w:ind w:right="1130" w:firstLine="360"/>
        <w:jc w:val="both"/>
      </w:pPr>
      <w:r>
        <w:rPr>
          <w:spacing w:val="-2"/>
        </w:rPr>
        <w:t>公司具有多项业务资质：建筑装修装饰工程专业承包壹级；电子与智能化工程专业承包壹级；建筑机电安装工程专业承</w:t>
      </w:r>
      <w:r>
        <w:rPr/>
        <w:t> </w:t>
      </w:r>
      <w:r>
        <w:rPr>
          <w:spacing w:val="-2"/>
        </w:rPr>
        <w:t>包壹级；建筑幕墙工程专业承包壹级；防水防腐保温工程专业承包壹级；消防设施工程专业承包贰级、建筑工程施工总承包</w:t>
      </w:r>
      <w:r>
        <w:rPr>
          <w:spacing w:val="-66"/>
        </w:rPr>
        <w:t> </w:t>
      </w:r>
      <w:r>
        <w:rPr>
          <w:spacing w:val="-66"/>
        </w:rPr>
      </w:r>
      <w:r>
        <w:rPr>
          <w:spacing w:val="-2"/>
        </w:rPr>
        <w:t>叁级；安全技术防范系统设计、施工、维修贰级（凭广东省公安厅粤；建筑装饰工程设计专项甲级；建筑智能化系统设计专</w:t>
      </w:r>
      <w:r>
        <w:rPr>
          <w:spacing w:val="-68"/>
        </w:rPr>
        <w:t> </w:t>
      </w:r>
      <w:r>
        <w:rPr>
          <w:spacing w:val="-68"/>
        </w:rPr>
      </w:r>
      <w:r>
        <w:rPr>
          <w:spacing w:val="-2"/>
        </w:rPr>
        <w:t>项乙级；建筑幕墙工程设计专项乙级；消防设施工程设计专项乙级；音、视频工程企业资质特级；净化工程叁级；展览陈列</w:t>
      </w:r>
      <w:r>
        <w:rPr>
          <w:spacing w:val="-68"/>
        </w:rPr>
        <w:t> </w:t>
      </w:r>
      <w:r>
        <w:rPr>
          <w:spacing w:val="-68"/>
        </w:rPr>
      </w:r>
      <w:r>
        <w:rPr/>
        <w:t>工程设计与施工一体化壹级。</w:t>
      </w:r>
    </w:p>
    <w:p>
      <w:pPr>
        <w:pStyle w:val="BodyText"/>
        <w:spacing w:line="360" w:lineRule="auto" w:before="55"/>
        <w:ind w:left="514" w:right="1032" w:firstLine="1"/>
        <w:jc w:val="left"/>
      </w:pPr>
      <w:r>
        <w:rPr>
          <w:rFonts w:ascii="宋体" w:hAnsi="宋体" w:cs="宋体" w:eastAsia="宋体" w:hint="default"/>
          <w:b/>
          <w:bCs/>
        </w:rPr>
        <w:t>（二）行业发展概况</w:t>
      </w:r>
      <w:r>
        <w:rPr>
          <w:rFonts w:ascii="宋体" w:hAnsi="宋体" w:cs="宋体" w:eastAsia="宋体" w:hint="default"/>
          <w:b/>
          <w:bCs/>
          <w:w w:val="99"/>
        </w:rPr>
        <w:t> </w:t>
      </w:r>
      <w:r>
        <w:rPr>
          <w:rFonts w:ascii="宋体" w:hAnsi="宋体" w:cs="宋体" w:eastAsia="宋体" w:hint="default"/>
          <w:spacing w:val="-2"/>
        </w:rPr>
        <w:t>2018</w:t>
      </w:r>
      <w:r>
        <w:rPr>
          <w:spacing w:val="-2"/>
        </w:rPr>
        <w:t>年是全面贯彻落实中共十九大精神的开局之年，我国供给侧结构性改革持续深化，经济结构继续优化，经济发展质</w:t>
      </w:r>
    </w:p>
    <w:p>
      <w:pPr>
        <w:pStyle w:val="BodyText"/>
        <w:spacing w:line="221" w:lineRule="exact"/>
        <w:ind w:right="0"/>
        <w:jc w:val="both"/>
      </w:pPr>
      <w:r>
        <w:rPr/>
        <w:t>量得到进一</w:t>
      </w:r>
      <w:r>
        <w:rPr>
          <w:spacing w:val="1"/>
        </w:rPr>
        <w:t>步</w:t>
      </w:r>
      <w:r>
        <w:rPr/>
        <w:t>提高。国家</w:t>
      </w:r>
      <w:r>
        <w:rPr>
          <w:spacing w:val="1"/>
        </w:rPr>
        <w:t>区</w:t>
      </w:r>
      <w:r>
        <w:rPr/>
        <w:t>域协调发展</w:t>
      </w:r>
      <w:r>
        <w:rPr>
          <w:spacing w:val="1"/>
        </w:rPr>
        <w:t>战</w:t>
      </w:r>
      <w:r>
        <w:rPr/>
        <w:t>略的进一步</w:t>
      </w:r>
      <w:r>
        <w:rPr>
          <w:spacing w:val="1"/>
        </w:rPr>
        <w:t>推</w:t>
      </w:r>
      <w:r>
        <w:rPr/>
        <w:t>动，增强了</w:t>
      </w:r>
      <w:r>
        <w:rPr>
          <w:spacing w:val="1"/>
        </w:rPr>
        <w:t>区</w:t>
      </w:r>
      <w:r>
        <w:rPr/>
        <w:t>域发展活力</w:t>
      </w:r>
      <w:r>
        <w:rPr>
          <w:spacing w:val="1"/>
        </w:rPr>
        <w:t>，</w:t>
      </w:r>
      <w:r>
        <w:rPr/>
        <w:t>新型城镇化</w:t>
      </w:r>
      <w:r>
        <w:rPr>
          <w:spacing w:val="1"/>
        </w:rPr>
        <w:t>、</w:t>
      </w:r>
      <w:r>
        <w:rPr/>
        <w:t>京津冀协同</w:t>
      </w:r>
      <w:r>
        <w:rPr>
          <w:spacing w:val="1"/>
        </w:rPr>
        <w:t>发</w:t>
      </w:r>
      <w:r>
        <w:rPr>
          <w:spacing w:val="2"/>
        </w:rPr>
        <w:t>展</w:t>
      </w:r>
      <w:r>
        <w:rPr>
          <w:spacing w:val="-90"/>
        </w:rPr>
        <w:t>、</w:t>
      </w:r>
      <w:r>
        <w:rPr/>
        <w:t>“一</w:t>
      </w:r>
      <w:r>
        <w:rPr>
          <w:spacing w:val="-2"/>
        </w:rPr>
        <w:t>带</w:t>
      </w:r>
      <w:r>
        <w:rPr/>
        <w:t>一</w:t>
      </w:r>
    </w:p>
    <w:p>
      <w:pPr>
        <w:pStyle w:val="BodyText"/>
        <w:spacing w:line="357" w:lineRule="auto" w:before="77"/>
        <w:ind w:left="515" w:right="3733" w:hanging="362"/>
        <w:jc w:val="left"/>
        <w:rPr>
          <w:rFonts w:ascii="宋体" w:hAnsi="宋体" w:cs="宋体" w:eastAsia="宋体" w:hint="default"/>
        </w:rPr>
      </w:pPr>
      <w:r>
        <w:rPr/>
        <w:t>路”建设和粤港澳大湾区建设等发展规划为建筑装饰行业未来的发展提供了宝贵的机遇。 </w:t>
      </w:r>
      <w:r>
        <w:rPr>
          <w:rFonts w:ascii="宋体" w:hAnsi="宋体" w:cs="宋体" w:eastAsia="宋体" w:hint="default"/>
          <w:b/>
          <w:bCs/>
        </w:rPr>
        <w:t>1</w:t>
      </w:r>
      <w:r>
        <w:rPr>
          <w:rFonts w:ascii="宋体" w:hAnsi="宋体" w:cs="宋体" w:eastAsia="宋体" w:hint="default"/>
          <w:b/>
          <w:bCs/>
        </w:rPr>
        <w:t>、行业主要特点</w:t>
      </w:r>
      <w:r>
        <w:rPr>
          <w:rFonts w:ascii="宋体" w:hAnsi="宋体" w:cs="宋体" w:eastAsia="宋体" w:hint="default"/>
        </w:rPr>
      </w:r>
    </w:p>
    <w:p>
      <w:pPr>
        <w:pStyle w:val="BodyText"/>
        <w:spacing w:line="224" w:lineRule="exact"/>
        <w:ind w:right="1032" w:firstLine="360"/>
        <w:jc w:val="left"/>
      </w:pPr>
      <w:r>
        <w:rPr/>
        <w:t>根据我国《</w:t>
      </w:r>
      <w:r>
        <w:rPr>
          <w:spacing w:val="1"/>
        </w:rPr>
        <w:t>国</w:t>
      </w:r>
      <w:r>
        <w:rPr/>
        <w:t>民经济行业</w:t>
      </w:r>
      <w:r>
        <w:rPr>
          <w:spacing w:val="1"/>
        </w:rPr>
        <w:t>分</w:t>
      </w:r>
      <w:r>
        <w:rPr/>
        <w:t>类与代码</w:t>
      </w:r>
      <w:r>
        <w:rPr>
          <w:spacing w:val="-90"/>
        </w:rPr>
        <w:t>》</w:t>
      </w:r>
      <w:r>
        <w:rPr/>
        <w:t>，</w:t>
      </w:r>
      <w:r>
        <w:rPr>
          <w:spacing w:val="1"/>
        </w:rPr>
        <w:t>公</w:t>
      </w:r>
      <w:r>
        <w:rPr/>
        <w:t>司所处行业</w:t>
      </w:r>
      <w:r>
        <w:rPr>
          <w:spacing w:val="1"/>
        </w:rPr>
        <w:t>属</w:t>
      </w:r>
      <w:r>
        <w:rPr/>
        <w:t>于建筑业中</w:t>
      </w:r>
      <w:r>
        <w:rPr>
          <w:spacing w:val="1"/>
        </w:rPr>
        <w:t>的</w:t>
      </w:r>
      <w:r>
        <w:rPr/>
        <w:t>建筑装饰业</w:t>
      </w:r>
      <w:r>
        <w:rPr>
          <w:spacing w:val="1"/>
        </w:rPr>
        <w:t>子</w:t>
      </w:r>
      <w:r>
        <w:rPr/>
        <w:t>行业。根据</w:t>
      </w:r>
      <w:r>
        <w:rPr>
          <w:spacing w:val="1"/>
        </w:rPr>
        <w:t>建</w:t>
      </w:r>
      <w:r>
        <w:rPr/>
        <w:t>筑装饰的类</w:t>
      </w:r>
      <w:r>
        <w:rPr>
          <w:spacing w:val="1"/>
        </w:rPr>
        <w:t>型</w:t>
      </w:r>
      <w:r>
        <w:rPr/>
        <w:t>，建筑</w:t>
      </w:r>
    </w:p>
    <w:p>
      <w:pPr>
        <w:pStyle w:val="BodyText"/>
        <w:spacing w:line="316" w:lineRule="auto" w:before="76"/>
        <w:ind w:right="1131"/>
        <w:jc w:val="both"/>
      </w:pPr>
      <w:r>
        <w:rPr>
          <w:spacing w:val="-2"/>
        </w:rPr>
        <w:t>装饰业划分为公共建筑装饰和装修、住宅装饰和装修以及建筑幕墙装饰和装修。与土木建筑业、设备安装业等一次性完成工</w:t>
      </w:r>
      <w:r>
        <w:rPr>
          <w:spacing w:val="-66"/>
        </w:rPr>
        <w:t> </w:t>
      </w:r>
      <w:r>
        <w:rPr>
          <w:spacing w:val="-66"/>
        </w:rPr>
      </w:r>
      <w:r>
        <w:rPr>
          <w:spacing w:val="-2"/>
        </w:rPr>
        <w:t>程业务不同，每一建筑物在其完成后的使用的周期中，都需要进行多次装饰装修。因此，建筑装饰行业的市场容量具有乘数</w:t>
      </w:r>
      <w:r>
        <w:rPr>
          <w:spacing w:val="-66"/>
        </w:rPr>
        <w:t> </w:t>
      </w:r>
      <w:r>
        <w:rPr>
          <w:spacing w:val="-66"/>
        </w:rPr>
      </w:r>
      <w:r>
        <w:rPr/>
        <w:t>效应和市场需求的可持续性的特点。</w:t>
      </w:r>
    </w:p>
    <w:p>
      <w:pPr>
        <w:pStyle w:val="BodyText"/>
        <w:spacing w:line="316" w:lineRule="auto" w:before="19"/>
        <w:ind w:left="514" w:right="1032" w:firstLine="1"/>
        <w:jc w:val="left"/>
      </w:pPr>
      <w:r>
        <w:rPr>
          <w:rFonts w:ascii="宋体" w:hAnsi="宋体" w:cs="宋体" w:eastAsia="宋体" w:hint="default"/>
          <w:b/>
          <w:bCs/>
        </w:rPr>
        <w:t>2</w:t>
      </w:r>
      <w:r>
        <w:rPr>
          <w:rFonts w:ascii="宋体" w:hAnsi="宋体" w:cs="宋体" w:eastAsia="宋体" w:hint="default"/>
          <w:b/>
          <w:bCs/>
        </w:rPr>
        <w:t>、行业发展阶段</w:t>
      </w:r>
      <w:r>
        <w:rPr>
          <w:rFonts w:ascii="宋体" w:hAnsi="宋体" w:cs="宋体" w:eastAsia="宋体" w:hint="default"/>
          <w:b/>
          <w:bCs/>
          <w:w w:val="99"/>
        </w:rPr>
        <w:t> </w:t>
      </w:r>
      <w:r>
        <w:rPr>
          <w:spacing w:val="-2"/>
        </w:rPr>
        <w:t>自</w:t>
      </w:r>
      <w:r>
        <w:rPr>
          <w:rFonts w:ascii="宋体" w:hAnsi="宋体" w:cs="宋体" w:eastAsia="宋体" w:hint="default"/>
          <w:spacing w:val="-2"/>
        </w:rPr>
        <w:t>2017</w:t>
      </w:r>
      <w:r>
        <w:rPr>
          <w:spacing w:val="-2"/>
        </w:rPr>
        <w:t>年以来，我国宏观经济在改革开放推进、经济结构加快调整、创新驱动发展等相关战略政策的共同作用下，缓中</w:t>
      </w:r>
    </w:p>
    <w:p>
      <w:pPr>
        <w:pStyle w:val="BodyText"/>
        <w:spacing w:line="316" w:lineRule="auto" w:before="19"/>
        <w:ind w:right="1131"/>
        <w:jc w:val="both"/>
      </w:pPr>
      <w:r>
        <w:rPr>
          <w:spacing w:val="-2"/>
        </w:rPr>
        <w:t>趋稳，稳中向好。现阶段对于建筑装饰行业而言，有机遇也有挑战。随着新型城镇化建设和“一带一路”的深入推进，各地</w:t>
      </w:r>
      <w:r>
        <w:rPr>
          <w:spacing w:val="-69"/>
        </w:rPr>
        <w:t> </w:t>
      </w:r>
      <w:r>
        <w:rPr>
          <w:spacing w:val="-69"/>
        </w:rPr>
      </w:r>
      <w:r>
        <w:rPr>
          <w:spacing w:val="-2"/>
        </w:rPr>
        <w:t>区加快推进了住宅装修；国民生活质量与水平提高带来的消费升级，以及生活、交通、商业配套等基础设施的建设将为建筑</w:t>
      </w:r>
      <w:r>
        <w:rPr>
          <w:spacing w:val="-66"/>
        </w:rPr>
        <w:t> </w:t>
      </w:r>
      <w:r>
        <w:rPr>
          <w:spacing w:val="-66"/>
        </w:rPr>
      </w:r>
      <w:r>
        <w:rPr>
          <w:spacing w:val="-2"/>
        </w:rPr>
        <w:t>装饰行业提供新的发展动能。受国家的经济结构性改革和国家分类调控房地产政策变化的影响，近年来房地产市场呈现较大</w:t>
      </w:r>
      <w:r>
        <w:rPr>
          <w:spacing w:val="-64"/>
        </w:rPr>
        <w:t> </w:t>
      </w:r>
      <w:r>
        <w:rPr>
          <w:spacing w:val="-64"/>
        </w:rPr>
      </w:r>
      <w:r>
        <w:rPr>
          <w:spacing w:val="-2"/>
        </w:rPr>
        <w:t>的波动，房地产市场产生的波动对建筑装饰行业的业务造成了一定程度影响。建筑装饰行业的业务结构、新签订单、开工速</w:t>
      </w:r>
      <w:r>
        <w:rPr>
          <w:spacing w:val="-66"/>
        </w:rPr>
        <w:t> </w:t>
      </w:r>
      <w:r>
        <w:rPr>
          <w:spacing w:val="-66"/>
        </w:rPr>
      </w:r>
      <w:r>
        <w:rPr/>
        <w:t>度、回款速度等都受到了不同程度的影响。整体来看，本公司所处的建筑装饰行业呈持续平稳发展的态势。</w:t>
      </w:r>
    </w:p>
    <w:p>
      <w:pPr>
        <w:pStyle w:val="Heading4"/>
        <w:spacing w:line="240" w:lineRule="auto" w:before="17"/>
        <w:ind w:right="1032"/>
        <w:jc w:val="left"/>
        <w:rPr>
          <w:b w:val="0"/>
          <w:bCs w:val="0"/>
        </w:rPr>
      </w:pPr>
      <w:r>
        <w:rPr>
          <w:rFonts w:ascii="宋体" w:hAnsi="宋体" w:cs="宋体" w:eastAsia="宋体" w:hint="default"/>
        </w:rPr>
        <w:t>3</w:t>
      </w:r>
      <w:r>
        <w:rPr/>
        <w:t>、影响行业发展因素</w:t>
      </w:r>
      <w:r>
        <w:rPr>
          <w:b w:val="0"/>
          <w:bCs w:val="0"/>
        </w:rPr>
      </w:r>
    </w:p>
    <w:p>
      <w:pPr>
        <w:pStyle w:val="BodyText"/>
        <w:spacing w:line="360" w:lineRule="auto" w:before="76"/>
        <w:ind w:left="514" w:right="1032"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）世界经济环境的影响</w:t>
      </w:r>
      <w:r>
        <w:rPr>
          <w:rFonts w:ascii="宋体" w:hAnsi="宋体" w:cs="宋体" w:eastAsia="宋体" w:hint="default"/>
          <w:b/>
          <w:bCs/>
          <w:w w:val="99"/>
        </w:rPr>
        <w:t> </w:t>
      </w:r>
      <w:r>
        <w:rPr>
          <w:rFonts w:ascii="宋体" w:hAnsi="宋体" w:cs="宋体" w:eastAsia="宋体" w:hint="default"/>
          <w:spacing w:val="-2"/>
        </w:rPr>
        <w:t>2018</w:t>
      </w:r>
      <w:r>
        <w:rPr>
          <w:spacing w:val="-2"/>
        </w:rPr>
        <w:t>年国际金融市场、大宗商品价格剧烈波动、全球投资大幅下滑、全球贸易保护主义及单边主义盛行，造成国际装饰</w:t>
      </w:r>
    </w:p>
    <w:p>
      <w:pPr>
        <w:pStyle w:val="BodyText"/>
        <w:spacing w:line="222" w:lineRule="exact"/>
        <w:ind w:right="0"/>
        <w:jc w:val="both"/>
      </w:pPr>
      <w:r>
        <w:rPr/>
        <w:t>市场存在一定的不确定性，建筑装饰行业对外承接的装饰工程项目增速放缓。但随着意大利积极加入“一带一路”倡议，中</w:t>
      </w:r>
    </w:p>
    <w:p>
      <w:pPr>
        <w:pStyle w:val="BodyText"/>
        <w:spacing w:line="240" w:lineRule="auto" w:before="77"/>
        <w:ind w:right="0"/>
        <w:jc w:val="both"/>
      </w:pPr>
      <w:r>
        <w:rPr/>
        <w:t>美贸易高级别磋商的进行，世界经济局势有望得到进一步缓解，建筑装饰行业的海外市场空间有望得到释放。</w:t>
      </w:r>
    </w:p>
    <w:p>
      <w:pPr>
        <w:spacing w:line="316" w:lineRule="auto" w:before="115"/>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）国内宏观经济和政策影响</w:t>
      </w:r>
      <w:r>
        <w:rPr>
          <w:rFonts w:ascii="宋体" w:hAnsi="宋体" w:cs="宋体" w:eastAsia="宋体" w:hint="default"/>
          <w:b/>
          <w:bCs/>
          <w:w w:val="99"/>
          <w:sz w:val="18"/>
          <w:szCs w:val="18"/>
        </w:rPr>
        <w:t> </w:t>
      </w:r>
      <w:r>
        <w:rPr>
          <w:rFonts w:ascii="宋体" w:hAnsi="宋体" w:cs="宋体" w:eastAsia="宋体" w:hint="default"/>
          <w:spacing w:val="-2"/>
          <w:sz w:val="18"/>
          <w:szCs w:val="18"/>
        </w:rPr>
        <w:t>根据国家统计局公开数据显示，</w:t>
      </w:r>
      <w:r>
        <w:rPr>
          <w:rFonts w:ascii="宋体" w:hAnsi="宋体" w:cs="宋体" w:eastAsia="宋体" w:hint="default"/>
          <w:spacing w:val="-2"/>
          <w:sz w:val="18"/>
          <w:szCs w:val="18"/>
        </w:rPr>
        <w:t>2018</w:t>
      </w:r>
      <w:r>
        <w:rPr>
          <w:rFonts w:ascii="宋体" w:hAnsi="宋体" w:cs="宋体" w:eastAsia="宋体" w:hint="default"/>
          <w:spacing w:val="-2"/>
          <w:sz w:val="18"/>
          <w:szCs w:val="18"/>
        </w:rPr>
        <w:t>年，我国综合</w:t>
      </w:r>
      <w:r>
        <w:rPr>
          <w:rFonts w:ascii="宋体" w:hAnsi="宋体" w:cs="宋体" w:eastAsia="宋体" w:hint="default"/>
          <w:spacing w:val="-2"/>
          <w:sz w:val="18"/>
          <w:szCs w:val="18"/>
        </w:rPr>
        <w:t>PMI</w:t>
      </w:r>
      <w:r>
        <w:rPr>
          <w:rFonts w:ascii="宋体" w:hAnsi="宋体" w:cs="宋体" w:eastAsia="宋体" w:hint="default"/>
          <w:spacing w:val="-2"/>
          <w:sz w:val="18"/>
          <w:szCs w:val="18"/>
        </w:rPr>
        <w:t>产出指数均值为</w:t>
      </w:r>
      <w:r>
        <w:rPr>
          <w:rFonts w:ascii="宋体" w:hAnsi="宋体" w:cs="宋体" w:eastAsia="宋体" w:hint="default"/>
          <w:spacing w:val="-2"/>
          <w:sz w:val="18"/>
          <w:szCs w:val="18"/>
        </w:rPr>
        <w:t>53.7%</w:t>
      </w:r>
      <w:r>
        <w:rPr>
          <w:rFonts w:ascii="宋体" w:hAnsi="宋体" w:cs="宋体" w:eastAsia="宋体" w:hint="default"/>
          <w:spacing w:val="-2"/>
          <w:sz w:val="18"/>
          <w:szCs w:val="18"/>
        </w:rPr>
        <w:t>，全年我国企业生产经营活动总体保持平稳</w:t>
      </w:r>
    </w:p>
    <w:p>
      <w:pPr>
        <w:spacing w:after="0" w:line="316"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29"/>
        <w:jc w:val="both"/>
      </w:pPr>
      <w:r>
        <w:rPr>
          <w:spacing w:val="-2"/>
        </w:rPr>
        <w:t>增长；非制造业商务活动指数稳中有升；其中，建筑业景气度明显提升，建筑业增速有所加快。我国建筑装饰行业仍有较大</w:t>
      </w:r>
      <w:r>
        <w:rPr>
          <w:spacing w:val="-66"/>
        </w:rPr>
        <w:t> </w:t>
      </w:r>
      <w:r>
        <w:rPr>
          <w:spacing w:val="-66"/>
        </w:rPr>
      </w:r>
      <w:r>
        <w:rPr>
          <w:spacing w:val="-2"/>
        </w:rPr>
        <w:t>的国内市场需求。此外，房地产行业的政策和发展环境对建筑装饰行业也会产生重要影响。建筑装饰行业企业的主要业务之</w:t>
      </w:r>
      <w:r>
        <w:rPr>
          <w:spacing w:val="-66"/>
        </w:rPr>
        <w:t> </w:t>
      </w:r>
      <w:r>
        <w:rPr>
          <w:spacing w:val="-66"/>
        </w:rPr>
      </w:r>
      <w:r>
        <w:rPr>
          <w:spacing w:val="-2"/>
        </w:rPr>
        <w:t>一为住宅精装修，住宅精装修业务主要面向大型房地产开发商。国家统计局数据显示，</w:t>
      </w:r>
      <w:r>
        <w:rPr>
          <w:rFonts w:ascii="宋体" w:hAnsi="宋体" w:cs="宋体" w:eastAsia="宋体" w:hint="default"/>
          <w:spacing w:val="-2"/>
        </w:rPr>
        <w:t>2018</w:t>
      </w:r>
      <w:r>
        <w:rPr>
          <w:spacing w:val="-2"/>
        </w:rPr>
        <w:t>年，房地产开发企业房屋施工面</w:t>
      </w:r>
      <w:r>
        <w:rPr>
          <w:spacing w:val="-61"/>
        </w:rPr>
        <w:t> </w:t>
      </w:r>
      <w:r>
        <w:rPr>
          <w:spacing w:val="-61"/>
        </w:rPr>
      </w:r>
      <w:r>
        <w:rPr>
          <w:spacing w:val="-2"/>
        </w:rPr>
        <w:t>积</w:t>
      </w:r>
      <w:r>
        <w:rPr>
          <w:rFonts w:ascii="宋体" w:hAnsi="宋体" w:cs="宋体" w:eastAsia="宋体" w:hint="default"/>
          <w:spacing w:val="-2"/>
        </w:rPr>
        <w:t>822300</w:t>
      </w:r>
      <w:r>
        <w:rPr>
          <w:spacing w:val="-2"/>
        </w:rPr>
        <w:t>万平方米，比上年增长</w:t>
      </w:r>
      <w:r>
        <w:rPr>
          <w:rFonts w:ascii="宋体" w:hAnsi="宋体" w:cs="宋体" w:eastAsia="宋体" w:hint="default"/>
          <w:spacing w:val="-2"/>
        </w:rPr>
        <w:t>5.2%</w:t>
      </w:r>
      <w:r>
        <w:rPr>
          <w:spacing w:val="-2"/>
        </w:rPr>
        <w:t>，其中住宅施工面积</w:t>
      </w:r>
      <w:r>
        <w:rPr>
          <w:rFonts w:ascii="宋体" w:hAnsi="宋体" w:cs="宋体" w:eastAsia="宋体" w:hint="default"/>
          <w:spacing w:val="-2"/>
        </w:rPr>
        <w:t>569987</w:t>
      </w:r>
      <w:r>
        <w:rPr>
          <w:spacing w:val="-2"/>
        </w:rPr>
        <w:t>万平方米，增长</w:t>
      </w:r>
      <w:r>
        <w:rPr>
          <w:rFonts w:ascii="宋体" w:hAnsi="宋体" w:cs="宋体" w:eastAsia="宋体" w:hint="default"/>
          <w:spacing w:val="-2"/>
        </w:rPr>
        <w:t>6.3%</w:t>
      </w:r>
      <w:r>
        <w:rPr>
          <w:spacing w:val="-2"/>
        </w:rPr>
        <w:t>，住宅新开工面积</w:t>
      </w:r>
      <w:r>
        <w:rPr>
          <w:rFonts w:ascii="宋体" w:hAnsi="宋体" w:cs="宋体" w:eastAsia="宋体" w:hint="default"/>
          <w:spacing w:val="-2"/>
        </w:rPr>
        <w:t>153353</w:t>
      </w:r>
      <w:r>
        <w:rPr>
          <w:spacing w:val="-2"/>
        </w:rPr>
        <w:t>万平方米，增</w:t>
      </w:r>
      <w:r>
        <w:rPr>
          <w:spacing w:val="-42"/>
        </w:rPr>
        <w:t> </w:t>
      </w:r>
      <w:r>
        <w:rPr>
          <w:spacing w:val="-42"/>
        </w:rPr>
      </w:r>
      <w:r>
        <w:rPr/>
        <w:t>长</w:t>
      </w:r>
      <w:r>
        <w:rPr>
          <w:rFonts w:ascii="宋体" w:hAnsi="宋体" w:cs="宋体" w:eastAsia="宋体" w:hint="default"/>
        </w:rPr>
        <w:t>19.7%</w:t>
      </w:r>
      <w:r>
        <w:rPr/>
        <w:t>，住宅精装修有良好的市场空间。我国固定资产投资增速也将影响城市基础设施和公共建筑的增量，</w:t>
      </w:r>
      <w:r>
        <w:rPr>
          <w:rFonts w:ascii="宋体" w:hAnsi="宋体" w:cs="宋体" w:eastAsia="宋体" w:hint="default"/>
        </w:rPr>
        <w:t>2018</w:t>
      </w:r>
      <w:r>
        <w:rPr/>
        <w:t>年下半年</w:t>
      </w:r>
      <w:r>
        <w:rPr>
          <w:spacing w:val="-82"/>
        </w:rPr>
        <w:t> </w:t>
      </w:r>
      <w:r>
        <w:rPr/>
        <w:t>以来，国家加大补短板政策支持力度，</w:t>
      </w:r>
      <w:r>
        <w:rPr>
          <w:rFonts w:ascii="宋体" w:hAnsi="宋体" w:cs="宋体" w:eastAsia="宋体" w:hint="default"/>
        </w:rPr>
        <w:t>2018</w:t>
      </w:r>
      <w:r>
        <w:rPr/>
        <w:t>年</w:t>
      </w:r>
      <w:r>
        <w:rPr>
          <w:rFonts w:ascii="宋体" w:hAnsi="宋体" w:cs="宋体" w:eastAsia="宋体" w:hint="default"/>
        </w:rPr>
        <w:t>12</w:t>
      </w:r>
      <w:r>
        <w:rPr/>
        <w:t>月份国家发改委密集批复一批基础设施建设项目，</w:t>
      </w:r>
      <w:r>
        <w:rPr>
          <w:rFonts w:ascii="宋体" w:hAnsi="宋体" w:cs="宋体" w:eastAsia="宋体" w:hint="default"/>
        </w:rPr>
        <w:t>2019</w:t>
      </w:r>
      <w:r>
        <w:rPr/>
        <w:t>年</w:t>
      </w:r>
      <w:r>
        <w:rPr>
          <w:rFonts w:ascii="宋体" w:hAnsi="宋体" w:cs="宋体" w:eastAsia="宋体" w:hint="default"/>
        </w:rPr>
        <w:t>2</w:t>
      </w:r>
      <w:r>
        <w:rPr/>
        <w:t>月份</w:t>
      </w:r>
      <w:r>
        <w:rPr>
          <w:rFonts w:ascii="宋体" w:hAnsi="宋体" w:cs="宋体" w:eastAsia="宋体" w:hint="default"/>
        </w:rPr>
        <w:t>18</w:t>
      </w:r>
      <w:r>
        <w:rPr/>
        <w:t>部门联合</w:t>
      </w:r>
      <w:r>
        <w:rPr>
          <w:spacing w:val="-83"/>
        </w:rPr>
        <w:t> </w:t>
      </w:r>
      <w:r>
        <w:rPr>
          <w:spacing w:val="-2"/>
        </w:rPr>
        <w:t>印发了《加大力度推动社会领域公共服务补短板强弱项提质量促进形成强大国内市场的行动方案》。随着国家层面补短板稳</w:t>
      </w:r>
      <w:r>
        <w:rPr>
          <w:spacing w:val="-64"/>
        </w:rPr>
        <w:t> </w:t>
      </w:r>
      <w:r>
        <w:rPr>
          <w:spacing w:val="-64"/>
        </w:rPr>
      </w:r>
      <w:r>
        <w:rPr/>
        <w:t>投资政策不断向纵深推进，基础设施投资增速有所回升。</w:t>
      </w:r>
    </w:p>
    <w:p>
      <w:pPr>
        <w:spacing w:line="316" w:lineRule="auto" w:before="19"/>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）城镇化水平不断提高，有利于推动行业平稳发展</w:t>
      </w:r>
      <w:r>
        <w:rPr>
          <w:rFonts w:ascii="宋体" w:hAnsi="宋体" w:cs="宋体" w:eastAsia="宋体" w:hint="default"/>
          <w:b/>
          <w:bCs/>
          <w:w w:val="99"/>
          <w:sz w:val="18"/>
          <w:szCs w:val="18"/>
        </w:rPr>
        <w:t> </w:t>
      </w:r>
      <w:r>
        <w:rPr>
          <w:rFonts w:ascii="宋体" w:hAnsi="宋体" w:cs="宋体" w:eastAsia="宋体" w:hint="default"/>
          <w:spacing w:val="-2"/>
          <w:sz w:val="18"/>
          <w:szCs w:val="18"/>
        </w:rPr>
        <w:t>虽然我国城镇化进程稳步推进，城镇化率显著提升，但我国城镇化率还是远低于发达国家平均水平，</w:t>
      </w:r>
      <w:r>
        <w:rPr>
          <w:rFonts w:ascii="宋体" w:hAnsi="宋体" w:cs="宋体" w:eastAsia="宋体" w:hint="default"/>
          <w:spacing w:val="-2"/>
          <w:sz w:val="18"/>
          <w:szCs w:val="18"/>
        </w:rPr>
        <w:t>2018</w:t>
      </w:r>
      <w:r>
        <w:rPr>
          <w:rFonts w:ascii="宋体" w:hAnsi="宋体" w:cs="宋体" w:eastAsia="宋体" w:hint="default"/>
          <w:spacing w:val="-2"/>
          <w:sz w:val="18"/>
          <w:szCs w:val="18"/>
        </w:rPr>
        <w:t>年，我国城镇</w:t>
      </w:r>
    </w:p>
    <w:p>
      <w:pPr>
        <w:pStyle w:val="BodyText"/>
        <w:spacing w:line="316" w:lineRule="auto" w:before="19"/>
        <w:ind w:right="1130"/>
        <w:jc w:val="both"/>
      </w:pPr>
      <w:r>
        <w:rPr>
          <w:spacing w:val="-2"/>
        </w:rPr>
        <w:t>化率比高收入国家低</w:t>
      </w:r>
      <w:r>
        <w:rPr>
          <w:rFonts w:ascii="宋体" w:hAnsi="宋体" w:cs="宋体" w:eastAsia="宋体" w:hint="default"/>
          <w:spacing w:val="-2"/>
        </w:rPr>
        <w:t>23.6</w:t>
      </w:r>
      <w:r>
        <w:rPr>
          <w:spacing w:val="-2"/>
        </w:rPr>
        <w:t>个百分点。目前，我国基础设施人均资本存量只有发达国家的</w:t>
      </w:r>
      <w:r>
        <w:rPr>
          <w:rFonts w:ascii="宋体" w:hAnsi="宋体" w:cs="宋体" w:eastAsia="宋体" w:hint="default"/>
          <w:spacing w:val="-2"/>
        </w:rPr>
        <w:t>20%</w:t>
      </w:r>
      <w:r>
        <w:rPr>
          <w:spacing w:val="-2"/>
        </w:rPr>
        <w:t>至</w:t>
      </w:r>
      <w:r>
        <w:rPr>
          <w:rFonts w:ascii="宋体" w:hAnsi="宋体" w:cs="宋体" w:eastAsia="宋体" w:hint="default"/>
          <w:spacing w:val="-2"/>
        </w:rPr>
        <w:t>30%</w:t>
      </w:r>
      <w:r>
        <w:rPr>
          <w:spacing w:val="-2"/>
        </w:rPr>
        <w:t>；与此同时，随着产业转移</w:t>
      </w:r>
      <w:r>
        <w:rPr>
          <w:spacing w:val="-56"/>
        </w:rPr>
        <w:t> </w:t>
      </w:r>
      <w:r>
        <w:rPr>
          <w:spacing w:val="-56"/>
        </w:rPr>
      </w:r>
      <w:r>
        <w:rPr>
          <w:spacing w:val="-2"/>
        </w:rPr>
        <w:t>和区域化的协调发展的深入，我国区域化的梯度发展潜力仍然较大，新型城镇化建设前景广阔。城镇化进程的推进，各级政</w:t>
      </w:r>
      <w:r>
        <w:rPr>
          <w:spacing w:val="-66"/>
        </w:rPr>
        <w:t> </w:t>
      </w:r>
      <w:r>
        <w:rPr>
          <w:spacing w:val="-66"/>
        </w:rPr>
      </w:r>
      <w:r>
        <w:rPr>
          <w:spacing w:val="-2"/>
        </w:rPr>
        <w:t>府在交通、市政等基础配套设施，以及医疗、教育、体育等公共福利的投资，都将为建筑装饰业提供发展机会。伴随着我国</w:t>
      </w:r>
      <w:r>
        <w:rPr>
          <w:spacing w:val="-68"/>
        </w:rPr>
        <w:t> </w:t>
      </w:r>
      <w:r>
        <w:rPr>
          <w:spacing w:val="-68"/>
        </w:rPr>
      </w:r>
      <w:r>
        <w:rPr/>
        <w:t>经济的稳步发展，新型城镇化的深入推进将为建筑装饰行业释放积极信号。</w:t>
      </w:r>
    </w:p>
    <w:p>
      <w:pPr>
        <w:spacing w:line="316"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）国家大力发展特色小镇和</w:t>
      </w:r>
      <w:r>
        <w:rPr>
          <w:rFonts w:ascii="宋体" w:hAnsi="宋体" w:cs="宋体" w:eastAsia="宋体" w:hint="default"/>
          <w:b/>
          <w:bCs/>
          <w:sz w:val="18"/>
          <w:szCs w:val="18"/>
        </w:rPr>
        <w:t>PPP</w:t>
      </w:r>
      <w:r>
        <w:rPr>
          <w:rFonts w:ascii="宋体" w:hAnsi="宋体" w:cs="宋体" w:eastAsia="宋体" w:hint="default"/>
          <w:b/>
          <w:bCs/>
          <w:sz w:val="18"/>
          <w:szCs w:val="18"/>
        </w:rPr>
        <w:t>项目建设，带来新的行业需求</w:t>
      </w:r>
      <w:r>
        <w:rPr>
          <w:rFonts w:ascii="宋体" w:hAnsi="宋体" w:cs="宋体" w:eastAsia="宋体" w:hint="default"/>
          <w:b/>
          <w:bCs/>
          <w:w w:val="99"/>
          <w:sz w:val="18"/>
          <w:szCs w:val="18"/>
        </w:rPr>
        <w:t> </w:t>
      </w:r>
      <w:r>
        <w:rPr>
          <w:rFonts w:ascii="宋体" w:hAnsi="宋体" w:cs="宋体" w:eastAsia="宋体" w:hint="default"/>
          <w:sz w:val="18"/>
          <w:szCs w:val="18"/>
        </w:rPr>
        <w:t>一般来说，旅游产业具有三大动力效应</w:t>
      </w:r>
      <w:r>
        <w:rPr>
          <w:rFonts w:ascii="宋体" w:hAnsi="宋体" w:cs="宋体" w:eastAsia="宋体" w:hint="default"/>
          <w:sz w:val="18"/>
          <w:szCs w:val="18"/>
        </w:rPr>
        <w:t>:</w:t>
      </w:r>
      <w:r>
        <w:rPr>
          <w:rFonts w:ascii="宋体" w:hAnsi="宋体" w:cs="宋体" w:eastAsia="宋体" w:hint="default"/>
          <w:sz w:val="18"/>
          <w:szCs w:val="18"/>
        </w:rPr>
        <w:t>直接消费动力、产业发展动力、城镇化动力。旅游产业的发展将会为地区带来</w:t>
      </w:r>
    </w:p>
    <w:p>
      <w:pPr>
        <w:pStyle w:val="BodyText"/>
        <w:spacing w:line="316" w:lineRule="auto" w:before="19"/>
        <w:ind w:right="1129"/>
        <w:jc w:val="both"/>
      </w:pPr>
      <w:r>
        <w:rPr>
          <w:spacing w:val="-2"/>
        </w:rPr>
        <w:t>价值提升效应、品牌效应、生态效应、幸福价值效应，是国家大力要发展的产业。根据《住房城乡建设部国家发展改革委财</w:t>
      </w:r>
      <w:r>
        <w:rPr>
          <w:spacing w:val="-67"/>
        </w:rPr>
        <w:t> </w:t>
      </w:r>
      <w:r>
        <w:rPr>
          <w:spacing w:val="-67"/>
        </w:rPr>
      </w:r>
      <w:r>
        <w:rPr>
          <w:spacing w:val="-2"/>
        </w:rPr>
        <w:t>政部关于开展特色小镇培育工作的通知》，到</w:t>
      </w:r>
      <w:r>
        <w:rPr>
          <w:rFonts w:ascii="宋体" w:hAnsi="宋体" w:cs="宋体" w:eastAsia="宋体" w:hint="default"/>
          <w:spacing w:val="-2"/>
        </w:rPr>
        <w:t>2020</w:t>
      </w:r>
      <w:r>
        <w:rPr>
          <w:spacing w:val="-2"/>
        </w:rPr>
        <w:t>年，我国将培育</w:t>
      </w:r>
      <w:r>
        <w:rPr>
          <w:rFonts w:ascii="宋体" w:hAnsi="宋体" w:cs="宋体" w:eastAsia="宋体" w:hint="default"/>
          <w:spacing w:val="-2"/>
        </w:rPr>
        <w:t>1000</w:t>
      </w:r>
      <w:r>
        <w:rPr>
          <w:spacing w:val="-2"/>
        </w:rPr>
        <w:t>个左右各具特色、富有活力的休闲旅游、商贸物流、</w:t>
      </w:r>
      <w:r>
        <w:rPr>
          <w:spacing w:val="-57"/>
        </w:rPr>
        <w:t> </w:t>
      </w:r>
      <w:r>
        <w:rPr>
          <w:spacing w:val="-57"/>
        </w:rPr>
      </w:r>
      <w:r>
        <w:rPr>
          <w:spacing w:val="-2"/>
        </w:rPr>
        <w:t>现代制造、教育科技、传统文化、美丽宜居等特色小镇。由于特色小镇的初始投入规模较大，一般地方政府采用政策性银行</w:t>
      </w:r>
      <w:r>
        <w:rPr>
          <w:spacing w:val="-66"/>
        </w:rPr>
        <w:t> </w:t>
      </w:r>
      <w:r>
        <w:rPr>
          <w:spacing w:val="-66"/>
        </w:rPr>
      </w:r>
      <w:r>
        <w:rPr>
          <w:spacing w:val="-2"/>
        </w:rPr>
        <w:t>贷款、债券计划、信托计划、证券资管、</w:t>
      </w:r>
      <w:r>
        <w:rPr>
          <w:rFonts w:ascii="宋体" w:hAnsi="宋体" w:cs="宋体" w:eastAsia="宋体" w:hint="default"/>
          <w:spacing w:val="-2"/>
        </w:rPr>
        <w:t>PPP</w:t>
      </w:r>
      <w:r>
        <w:rPr>
          <w:spacing w:val="-2"/>
        </w:rPr>
        <w:t>融资等方式实施。尤其是特色小镇</w:t>
      </w:r>
      <w:r>
        <w:rPr>
          <w:rFonts w:ascii="宋体" w:hAnsi="宋体" w:cs="宋体" w:eastAsia="宋体" w:hint="default"/>
          <w:spacing w:val="-2"/>
        </w:rPr>
        <w:t>PPP</w:t>
      </w:r>
      <w:r>
        <w:rPr>
          <w:spacing w:val="-2"/>
        </w:rPr>
        <w:t>融资模式，由于其金融优越性和政府大力</w:t>
      </w:r>
      <w:r>
        <w:rPr>
          <w:spacing w:val="-61"/>
        </w:rPr>
        <w:t> </w:t>
      </w:r>
      <w:r>
        <w:rPr>
          <w:spacing w:val="-61"/>
        </w:rPr>
      </w:r>
      <w:r>
        <w:rPr/>
        <w:t>支持，在特色小镇开发过程中所占比例不断上升。随着特色小镇的兴起和</w:t>
      </w:r>
      <w:r>
        <w:rPr>
          <w:rFonts w:ascii="宋体" w:hAnsi="宋体" w:cs="宋体" w:eastAsia="宋体" w:hint="default"/>
        </w:rPr>
        <w:t>PPP</w:t>
      </w:r>
      <w:r>
        <w:rPr/>
        <w:t>项目建设的政策不断完善，将会给建筑装饰行</w:t>
      </w:r>
      <w:r>
        <w:rPr>
          <w:spacing w:val="-82"/>
        </w:rPr>
        <w:t> </w:t>
      </w:r>
      <w:r>
        <w:rPr>
          <w:spacing w:val="-82"/>
        </w:rPr>
      </w:r>
      <w:r>
        <w:rPr/>
        <w:t>业带来新的行业需求和业务增量。</w:t>
      </w:r>
    </w:p>
    <w:p>
      <w:pPr>
        <w:spacing w:line="316" w:lineRule="auto" w:before="19"/>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）公共建筑装饰增量放缓，存量市场改造空间大</w:t>
      </w:r>
      <w:r>
        <w:rPr>
          <w:rFonts w:ascii="宋体" w:hAnsi="宋体" w:cs="宋体" w:eastAsia="宋体" w:hint="default"/>
          <w:b/>
          <w:bCs/>
          <w:w w:val="99"/>
          <w:sz w:val="18"/>
          <w:szCs w:val="18"/>
        </w:rPr>
        <w:t> </w:t>
      </w:r>
      <w:r>
        <w:rPr>
          <w:rFonts w:ascii="宋体" w:hAnsi="宋体" w:cs="宋体" w:eastAsia="宋体" w:hint="default"/>
          <w:spacing w:val="-2"/>
          <w:sz w:val="18"/>
          <w:szCs w:val="18"/>
        </w:rPr>
        <w:t>公共建筑装饰市场的发展主要受两大因素驱动：一是随固定资产投资增加而新建的公共建筑所产生的增量市场；二是随</w:t>
      </w:r>
    </w:p>
    <w:p>
      <w:pPr>
        <w:pStyle w:val="BodyText"/>
        <w:spacing w:line="316" w:lineRule="auto" w:before="19"/>
        <w:ind w:right="1032"/>
        <w:jc w:val="left"/>
      </w:pPr>
      <w:r>
        <w:rPr>
          <w:spacing w:val="-4"/>
        </w:rPr>
        <w:t>经济发展、需求升级而对已有建筑定期翻新的存量市场。近年来，公共建筑装饰市场规模总体上稳步上升，但增速有所放缓。</w:t>
      </w:r>
      <w:r>
        <w:rPr>
          <w:spacing w:val="-46"/>
        </w:rPr>
        <w:t> </w:t>
      </w:r>
      <w:r>
        <w:rPr>
          <w:spacing w:val="-46"/>
        </w:rPr>
      </w:r>
      <w:r>
        <w:rPr>
          <w:spacing w:val="-2"/>
        </w:rPr>
        <w:t>增速下调的原因主要是新建公共建筑增量放缓，带来装饰业务规模增速下调。在中短期内公共建筑装饰增量市场发展趋势整</w:t>
      </w:r>
      <w:r>
        <w:rPr>
          <w:spacing w:val="-64"/>
        </w:rPr>
        <w:t> </w:t>
      </w:r>
      <w:r>
        <w:rPr>
          <w:spacing w:val="-64"/>
        </w:rPr>
      </w:r>
      <w:r>
        <w:rPr/>
        <w:t>体较为平稳；同时，前期积累的改造需求、以及装饰市场的产业升级将促使公共建筑装饰行业存量市场改造规模迅速扩大。 </w:t>
      </w:r>
      <w:r>
        <w:rPr>
          <w:spacing w:val="-4"/>
        </w:rPr>
        <w:t>近十年来，我国公共建筑市场发展迅速，商务酒店、城市商业综合体、文教体卫建筑、交通基建建筑等存量市场已十分巨大。</w:t>
      </w:r>
      <w:r>
        <w:rPr>
          <w:spacing w:val="-44"/>
        </w:rPr>
        <w:t> </w:t>
      </w:r>
      <w:r>
        <w:rPr>
          <w:spacing w:val="-44"/>
        </w:rPr>
      </w:r>
      <w:r>
        <w:rPr>
          <w:spacing w:val="-2"/>
        </w:rPr>
        <w:t>随着国内商务活动的逐渐增多和旅游的兴起，国内星级酒店得到了快速发展。未来几年，十年内新开业的高端星级酒店，特</w:t>
      </w:r>
      <w:r>
        <w:rPr>
          <w:spacing w:val="-66"/>
        </w:rPr>
        <w:t> </w:t>
      </w:r>
      <w:r>
        <w:rPr>
          <w:spacing w:val="-66"/>
        </w:rPr>
      </w:r>
      <w:r>
        <w:rPr>
          <w:spacing w:val="-2"/>
        </w:rPr>
        <w:t>别是五星、四星酒店将迎来重新装饰改造的高峰。公共建筑物在整个使用寿命期内需要进行多次装饰装修，据统计，一般旅</w:t>
      </w:r>
      <w:r>
        <w:rPr>
          <w:spacing w:val="-66"/>
        </w:rPr>
        <w:t> </w:t>
      </w:r>
      <w:r>
        <w:rPr>
          <w:spacing w:val="-66"/>
        </w:rPr>
      </w:r>
      <w:r>
        <w:rPr>
          <w:spacing w:val="-2"/>
        </w:rPr>
        <w:t>游饭店、写字楼的装饰周期是</w:t>
      </w:r>
      <w:r>
        <w:rPr>
          <w:rFonts w:ascii="宋体" w:hAnsi="宋体" w:cs="宋体" w:eastAsia="宋体" w:hint="default"/>
          <w:spacing w:val="-2"/>
        </w:rPr>
        <w:t>6</w:t>
      </w:r>
      <w:r>
        <w:rPr>
          <w:spacing w:val="-2"/>
        </w:rPr>
        <w:t>至</w:t>
      </w:r>
      <w:r>
        <w:rPr>
          <w:rFonts w:ascii="宋体" w:hAnsi="宋体" w:cs="宋体" w:eastAsia="宋体" w:hint="default"/>
          <w:spacing w:val="-2"/>
        </w:rPr>
        <w:t>8</w:t>
      </w:r>
      <w:r>
        <w:rPr>
          <w:spacing w:val="-2"/>
        </w:rPr>
        <w:t>年，而娱乐场所、商务用房的装饰周期还会更短，其他建筑一般</w:t>
      </w:r>
      <w:r>
        <w:rPr>
          <w:rFonts w:ascii="宋体" w:hAnsi="宋体" w:cs="宋体" w:eastAsia="宋体" w:hint="default"/>
          <w:spacing w:val="-2"/>
        </w:rPr>
        <w:t>10</w:t>
      </w:r>
      <w:r>
        <w:rPr>
          <w:spacing w:val="-2"/>
        </w:rPr>
        <w:t>年更新一次；市场增量</w:t>
      </w:r>
      <w:r>
        <w:rPr>
          <w:spacing w:val="-63"/>
        </w:rPr>
        <w:t> </w:t>
      </w:r>
      <w:r>
        <w:rPr>
          <w:spacing w:val="-63"/>
        </w:rPr>
      </w:r>
      <w:r>
        <w:rPr>
          <w:spacing w:val="-2"/>
        </w:rPr>
        <w:t>转化为存量的扩容，存量市场的定期装饰装修，加之客户标准不断提高产生的装饰需求，这些都为资质种类齐全、追求高品</w:t>
      </w:r>
      <w:r>
        <w:rPr>
          <w:spacing w:val="-66"/>
        </w:rPr>
        <w:t> </w:t>
      </w:r>
      <w:r>
        <w:rPr>
          <w:spacing w:val="-66"/>
        </w:rPr>
      </w:r>
      <w:r>
        <w:rPr/>
        <w:t>质的大型装饰企业提供了广阔的市场空间。</w:t>
      </w:r>
    </w:p>
    <w:p>
      <w:pPr>
        <w:spacing w:line="316"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6</w:t>
      </w:r>
      <w:r>
        <w:rPr>
          <w:rFonts w:ascii="宋体" w:hAnsi="宋体" w:cs="宋体" w:eastAsia="宋体" w:hint="default"/>
          <w:b/>
          <w:bCs/>
          <w:sz w:val="18"/>
          <w:szCs w:val="18"/>
        </w:rPr>
        <w:t>）智慧装饰和“互联网</w:t>
      </w:r>
      <w:r>
        <w:rPr>
          <w:rFonts w:ascii="宋体" w:hAnsi="宋体" w:cs="宋体" w:eastAsia="宋体" w:hint="default"/>
          <w:b/>
          <w:bCs/>
          <w:sz w:val="18"/>
          <w:szCs w:val="18"/>
        </w:rPr>
        <w:t>+</w:t>
      </w:r>
      <w:r>
        <w:rPr>
          <w:rFonts w:ascii="宋体" w:hAnsi="宋体" w:cs="宋体" w:eastAsia="宋体" w:hint="default"/>
          <w:b/>
          <w:bCs/>
          <w:sz w:val="18"/>
          <w:szCs w:val="18"/>
        </w:rPr>
        <w:t>”将成为建筑装饰行业的新方向</w:t>
      </w:r>
      <w:r>
        <w:rPr>
          <w:rFonts w:ascii="宋体" w:hAnsi="宋体" w:cs="宋体" w:eastAsia="宋体" w:hint="default"/>
          <w:b/>
          <w:bCs/>
          <w:w w:val="99"/>
          <w:sz w:val="18"/>
          <w:szCs w:val="18"/>
        </w:rPr>
        <w:t> </w:t>
      </w: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”代表一种新的经济形态，即充分发挥互联网在生产要素配置中的优化和集成作用，将互联网的创新成果深</w:t>
      </w:r>
    </w:p>
    <w:p>
      <w:pPr>
        <w:pStyle w:val="BodyText"/>
        <w:spacing w:line="316" w:lineRule="auto" w:before="19"/>
        <w:ind w:right="1130"/>
        <w:jc w:val="both"/>
      </w:pPr>
      <w:r>
        <w:rPr>
          <w:spacing w:val="-2"/>
        </w:rPr>
        <w:t>度融合于经济社会各领域之中，提升实体经济的创新力和生产力，形成更广泛的以互联网为基础设施和实现工具的经济发展</w:t>
      </w:r>
      <w:r>
        <w:rPr>
          <w:spacing w:val="-63"/>
        </w:rPr>
        <w:t> </w:t>
      </w:r>
      <w:r>
        <w:rPr>
          <w:spacing w:val="-63"/>
        </w:rPr>
      </w:r>
      <w:r>
        <w:rPr>
          <w:spacing w:val="-2"/>
        </w:rPr>
        <w:t>新形态。智能生活理念将随着智能体验产品的普及而进入每个人的生活，智能家居将引爆智能装饰市场的巨大需求，为建筑</w:t>
      </w:r>
      <w:r>
        <w:rPr>
          <w:spacing w:val="-66"/>
        </w:rPr>
        <w:t> </w:t>
      </w:r>
      <w:r>
        <w:rPr>
          <w:spacing w:val="-66"/>
        </w:rPr>
      </w:r>
      <w:r>
        <w:rPr/>
        <w:t>装饰产业带来新的增长点。随着“互联网</w:t>
      </w:r>
      <w:r>
        <w:rPr>
          <w:rFonts w:ascii="宋体" w:hAnsi="宋体" w:cs="宋体" w:eastAsia="宋体" w:hint="default"/>
        </w:rPr>
        <w:t>+</w:t>
      </w:r>
      <w:r>
        <w:rPr/>
        <w:t>”的普及，互联网思维对社会传统思维模式、生活模式的冲击将不可避免，甚至</w:t>
      </w:r>
      <w:r>
        <w:rPr>
          <w:spacing w:val="-83"/>
        </w:rPr>
        <w:t> </w:t>
      </w:r>
      <w:r>
        <w:rPr>
          <w:spacing w:val="-83"/>
        </w:rPr>
      </w:r>
      <w:r>
        <w:rPr>
          <w:spacing w:val="-2"/>
        </w:rPr>
        <w:t>将极大地影响装饰行业的传统盈利模式，能否帮助客户实现价值最大化将成为装饰企业持续发展的根本保障。同时互联网思</w:t>
      </w:r>
      <w:r>
        <w:rPr>
          <w:spacing w:val="-64"/>
        </w:rPr>
        <w:t> </w:t>
      </w:r>
      <w:r>
        <w:rPr>
          <w:spacing w:val="-64"/>
        </w:rPr>
      </w:r>
      <w:r>
        <w:rPr/>
        <w:t>维也为未雨绸缪、具有颠覆式超前战略眼光的装饰企业将迎来新的发展机遇。</w:t>
      </w:r>
    </w:p>
    <w:p>
      <w:pPr>
        <w:pStyle w:val="BodyText"/>
        <w:spacing w:line="316" w:lineRule="auto" w:before="19"/>
        <w:ind w:left="514" w:right="2292" w:firstLine="1"/>
        <w:jc w:val="left"/>
      </w:pPr>
      <w:r>
        <w:rPr>
          <w:rFonts w:ascii="宋体" w:hAnsi="宋体" w:cs="宋体" w:eastAsia="宋体" w:hint="default"/>
          <w:b/>
          <w:bCs/>
        </w:rPr>
        <w:t>4</w:t>
      </w:r>
      <w:r>
        <w:rPr>
          <w:rFonts w:ascii="宋体" w:hAnsi="宋体" w:cs="宋体" w:eastAsia="宋体" w:hint="default"/>
          <w:b/>
          <w:bCs/>
        </w:rPr>
        <w:t>、行业竞争格局</w:t>
      </w:r>
      <w:r>
        <w:rPr>
          <w:rFonts w:ascii="宋体" w:hAnsi="宋体" w:cs="宋体" w:eastAsia="宋体" w:hint="default"/>
          <w:b/>
          <w:bCs/>
          <w:w w:val="99"/>
        </w:rPr>
        <w:t> </w:t>
      </w:r>
      <w:r>
        <w:rPr/>
        <w:t>总体来看，我国建筑装饰行业呈现出“大市场、小企业”的市场竞争状态，主要体现在以下几个方面：</w:t>
      </w:r>
    </w:p>
    <w:p>
      <w:pPr>
        <w:spacing w:line="316" w:lineRule="auto" w:before="19"/>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）企业数量较多，中小企业比重较高</w:t>
      </w:r>
      <w:r>
        <w:rPr>
          <w:rFonts w:ascii="宋体" w:hAnsi="宋体" w:cs="宋体" w:eastAsia="宋体" w:hint="default"/>
          <w:b/>
          <w:bCs/>
          <w:w w:val="99"/>
          <w:sz w:val="18"/>
          <w:szCs w:val="18"/>
        </w:rPr>
        <w:t> </w:t>
      </w:r>
      <w:r>
        <w:rPr>
          <w:rFonts w:ascii="宋体" w:hAnsi="宋体" w:cs="宋体" w:eastAsia="宋体" w:hint="default"/>
          <w:spacing w:val="-2"/>
          <w:sz w:val="18"/>
          <w:szCs w:val="18"/>
        </w:rPr>
        <w:t>由中国建筑装饰协会主办、中国建筑装饰协会研究分会承办的《</w:t>
      </w:r>
      <w:r>
        <w:rPr>
          <w:rFonts w:ascii="宋体" w:hAnsi="宋体" w:cs="宋体" w:eastAsia="宋体" w:hint="default"/>
          <w:spacing w:val="-2"/>
          <w:sz w:val="18"/>
          <w:szCs w:val="18"/>
        </w:rPr>
        <w:t>2018</w:t>
      </w:r>
      <w:r>
        <w:rPr>
          <w:rFonts w:ascii="宋体" w:hAnsi="宋体" w:cs="宋体" w:eastAsia="宋体" w:hint="default"/>
          <w:spacing w:val="-2"/>
          <w:sz w:val="18"/>
          <w:szCs w:val="18"/>
        </w:rPr>
        <w:t>中国建筑装饰蓝皮书》中显示：截止到</w:t>
      </w:r>
      <w:r>
        <w:rPr>
          <w:rFonts w:ascii="宋体" w:hAnsi="宋体" w:cs="宋体" w:eastAsia="宋体" w:hint="default"/>
          <w:spacing w:val="-2"/>
          <w:sz w:val="18"/>
          <w:szCs w:val="18"/>
        </w:rPr>
        <w:t>2017</w:t>
      </w:r>
      <w:r>
        <w:rPr>
          <w:rFonts w:ascii="宋体" w:hAnsi="宋体" w:cs="宋体" w:eastAsia="宋体" w:hint="default"/>
          <w:spacing w:val="-2"/>
          <w:sz w:val="18"/>
          <w:szCs w:val="18"/>
        </w:rPr>
        <w:t>年，中</w:t>
      </w:r>
    </w:p>
    <w:p>
      <w:pPr>
        <w:spacing w:after="0" w:line="316"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31"/>
        <w:jc w:val="both"/>
      </w:pPr>
      <w:r>
        <w:rPr>
          <w:spacing w:val="-2"/>
        </w:rPr>
        <w:t>国建筑装饰市场的企业数量继续减少，从</w:t>
      </w:r>
      <w:r>
        <w:rPr>
          <w:rFonts w:ascii="宋体" w:hAnsi="宋体" w:cs="宋体" w:eastAsia="宋体" w:hint="default"/>
          <w:spacing w:val="-2"/>
        </w:rPr>
        <w:t>2011</w:t>
      </w:r>
      <w:r>
        <w:rPr>
          <w:spacing w:val="-2"/>
        </w:rPr>
        <w:t>年的</w:t>
      </w:r>
      <w:r>
        <w:rPr>
          <w:rFonts w:ascii="宋体" w:hAnsi="宋体" w:cs="宋体" w:eastAsia="宋体" w:hint="default"/>
          <w:spacing w:val="-2"/>
        </w:rPr>
        <w:t>14.5</w:t>
      </w:r>
      <w:r>
        <w:rPr>
          <w:spacing w:val="-2"/>
        </w:rPr>
        <w:t>万家减少到</w:t>
      </w:r>
      <w:r>
        <w:rPr>
          <w:rFonts w:ascii="宋体" w:hAnsi="宋体" w:cs="宋体" w:eastAsia="宋体" w:hint="default"/>
          <w:spacing w:val="-2"/>
        </w:rPr>
        <w:t>2017</w:t>
      </w:r>
      <w:r>
        <w:rPr>
          <w:spacing w:val="-2"/>
        </w:rPr>
        <w:t>年的</w:t>
      </w:r>
      <w:r>
        <w:rPr>
          <w:rFonts w:ascii="宋体" w:hAnsi="宋体" w:cs="宋体" w:eastAsia="宋体" w:hint="default"/>
          <w:spacing w:val="-2"/>
        </w:rPr>
        <w:t>13</w:t>
      </w:r>
      <w:r>
        <w:rPr>
          <w:spacing w:val="-2"/>
        </w:rPr>
        <w:t>万家，</w:t>
      </w:r>
      <w:r>
        <w:rPr>
          <w:rFonts w:ascii="宋体" w:hAnsi="宋体" w:cs="宋体" w:eastAsia="宋体" w:hint="default"/>
          <w:spacing w:val="-2"/>
        </w:rPr>
        <w:t>6</w:t>
      </w:r>
      <w:r>
        <w:rPr>
          <w:spacing w:val="-2"/>
        </w:rPr>
        <w:t>年共有</w:t>
      </w:r>
      <w:r>
        <w:rPr>
          <w:rFonts w:ascii="宋体" w:hAnsi="宋体" w:cs="宋体" w:eastAsia="宋体" w:hint="default"/>
          <w:spacing w:val="-2"/>
        </w:rPr>
        <w:t>1.5</w:t>
      </w:r>
      <w:r>
        <w:rPr>
          <w:spacing w:val="-2"/>
        </w:rPr>
        <w:t>万家企业退出了市场，其中</w:t>
      </w:r>
      <w:r>
        <w:rPr>
          <w:spacing w:val="-48"/>
        </w:rPr>
        <w:t> </w:t>
      </w:r>
      <w:r>
        <w:rPr>
          <w:spacing w:val="-48"/>
        </w:rPr>
      </w:r>
      <w:r>
        <w:rPr>
          <w:spacing w:val="-2"/>
        </w:rPr>
        <w:t>中小企业数量比重占比较高。退出市场的主要是在库存严重、去库存前景不佳的三、四线城市以散户住宅装修装饰的小微企</w:t>
      </w:r>
      <w:r>
        <w:rPr>
          <w:spacing w:val="-66"/>
        </w:rPr>
        <w:t> </w:t>
      </w:r>
      <w:r>
        <w:rPr>
          <w:spacing w:val="-66"/>
        </w:rPr>
      </w:r>
      <w:r>
        <w:rPr/>
        <w:t>业。</w:t>
      </w:r>
    </w:p>
    <w:p>
      <w:pPr>
        <w:pStyle w:val="Heading4"/>
        <w:spacing w:line="240" w:lineRule="auto" w:before="19"/>
        <w:ind w:right="1032"/>
        <w:jc w:val="left"/>
        <w:rPr>
          <w:b w:val="0"/>
          <w:bCs w:val="0"/>
        </w:rPr>
      </w:pPr>
      <w:r>
        <w:rPr/>
        <w:t>（</w:t>
      </w:r>
      <w:r>
        <w:rPr>
          <w:rFonts w:ascii="宋体" w:hAnsi="宋体" w:cs="宋体" w:eastAsia="宋体" w:hint="default"/>
        </w:rPr>
        <w:t>2</w:t>
      </w:r>
      <w:r>
        <w:rPr/>
        <w:t>）装饰行业市场空间广阔，但市场集中度较低</w:t>
      </w:r>
      <w:r>
        <w:rPr>
          <w:b w:val="0"/>
          <w:bCs w:val="0"/>
        </w:rPr>
      </w:r>
    </w:p>
    <w:p>
      <w:pPr>
        <w:pStyle w:val="BodyText"/>
        <w:spacing w:line="316" w:lineRule="auto" w:before="117"/>
        <w:ind w:right="1032" w:firstLine="360"/>
        <w:jc w:val="left"/>
      </w:pPr>
      <w:r>
        <w:rPr>
          <w:spacing w:val="-2"/>
        </w:rPr>
        <w:t>《</w:t>
      </w:r>
      <w:r>
        <w:rPr>
          <w:rFonts w:ascii="宋体" w:hAnsi="宋体" w:cs="宋体" w:eastAsia="宋体" w:hint="default"/>
          <w:spacing w:val="-2"/>
        </w:rPr>
        <w:t>2018</w:t>
      </w:r>
      <w:r>
        <w:rPr>
          <w:spacing w:val="-2"/>
        </w:rPr>
        <w:t>中国建筑装饰蓝皮书》显示，</w:t>
      </w:r>
      <w:r>
        <w:rPr>
          <w:rFonts w:ascii="宋体" w:hAnsi="宋体" w:cs="宋体" w:eastAsia="宋体" w:hint="default"/>
          <w:spacing w:val="-2"/>
        </w:rPr>
        <w:t>2017</w:t>
      </w:r>
      <w:r>
        <w:rPr>
          <w:spacing w:val="-2"/>
        </w:rPr>
        <w:t>年全国建筑装饰行业完成总产值</w:t>
      </w:r>
      <w:r>
        <w:rPr>
          <w:rFonts w:ascii="宋体" w:hAnsi="宋体" w:cs="宋体" w:eastAsia="宋体" w:hint="default"/>
          <w:spacing w:val="-2"/>
        </w:rPr>
        <w:t>3.94</w:t>
      </w:r>
      <w:r>
        <w:rPr>
          <w:spacing w:val="-2"/>
        </w:rPr>
        <w:t>万亿元，比</w:t>
      </w:r>
      <w:r>
        <w:rPr>
          <w:rFonts w:ascii="宋体" w:hAnsi="宋体" w:cs="宋体" w:eastAsia="宋体" w:hint="default"/>
          <w:spacing w:val="-2"/>
        </w:rPr>
        <w:t>2016</w:t>
      </w:r>
      <w:r>
        <w:rPr>
          <w:spacing w:val="-2"/>
        </w:rPr>
        <w:t>年增加</w:t>
      </w:r>
      <w:r>
        <w:rPr>
          <w:rFonts w:ascii="宋体" w:hAnsi="宋体" w:cs="宋体" w:eastAsia="宋体" w:hint="default"/>
          <w:spacing w:val="-2"/>
        </w:rPr>
        <w:t>2800</w:t>
      </w:r>
      <w:r>
        <w:rPr>
          <w:spacing w:val="-2"/>
        </w:rPr>
        <w:t>亿元，增长率</w:t>
      </w:r>
      <w:r>
        <w:rPr/>
        <w:t> 达</w:t>
      </w:r>
      <w:r>
        <w:rPr>
          <w:rFonts w:ascii="宋体" w:hAnsi="宋体" w:cs="宋体" w:eastAsia="宋体" w:hint="default"/>
        </w:rPr>
        <w:t>7.6%</w:t>
      </w:r>
      <w:r>
        <w:rPr/>
        <w:t>，比全国</w:t>
      </w:r>
      <w:r>
        <w:rPr>
          <w:rFonts w:ascii="宋体" w:hAnsi="宋体" w:cs="宋体" w:eastAsia="宋体" w:hint="default"/>
        </w:rPr>
        <w:t>GDP</w:t>
      </w:r>
      <w:r>
        <w:rPr/>
        <w:t>增长速度高出</w:t>
      </w:r>
      <w:r>
        <w:rPr>
          <w:rFonts w:ascii="宋体" w:hAnsi="宋体" w:cs="宋体" w:eastAsia="宋体" w:hint="default"/>
        </w:rPr>
        <w:t>0.7</w:t>
      </w:r>
      <w:r>
        <w:rPr/>
        <w:t>个百分点。其中年产值超过百亿元的企业不到</w:t>
      </w:r>
      <w:r>
        <w:rPr>
          <w:rFonts w:ascii="宋体" w:hAnsi="宋体" w:cs="宋体" w:eastAsia="宋体" w:hint="default"/>
        </w:rPr>
        <w:t>5</w:t>
      </w:r>
      <w:r>
        <w:rPr/>
        <w:t>家，市场集中度非常低。</w:t>
      </w:r>
    </w:p>
    <w:p>
      <w:pPr>
        <w:spacing w:line="316" w:lineRule="auto" w:before="58"/>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）建筑装饰行业的并购重组将日益频繁，行业集中度将逐步提升</w:t>
      </w:r>
      <w:r>
        <w:rPr>
          <w:rFonts w:ascii="宋体" w:hAnsi="宋体" w:cs="宋体" w:eastAsia="宋体" w:hint="default"/>
          <w:b/>
          <w:bCs/>
          <w:w w:val="99"/>
          <w:sz w:val="18"/>
          <w:szCs w:val="18"/>
        </w:rPr>
        <w:t> </w:t>
      </w:r>
      <w:r>
        <w:rPr>
          <w:rFonts w:ascii="宋体" w:hAnsi="宋体" w:cs="宋体" w:eastAsia="宋体" w:hint="default"/>
          <w:sz w:val="18"/>
          <w:szCs w:val="18"/>
        </w:rPr>
        <w:t>随着市场经济的发展、国家政策的引导以及行业协会的规范，中国建筑装饰市场逐步成熟，过度分散的状况日渐改善，</w:t>
      </w:r>
    </w:p>
    <w:p>
      <w:pPr>
        <w:pStyle w:val="BodyText"/>
        <w:spacing w:line="316" w:lineRule="auto" w:before="19"/>
        <w:ind w:right="1032"/>
        <w:jc w:val="left"/>
      </w:pPr>
      <w:r>
        <w:rPr>
          <w:spacing w:val="-2"/>
        </w:rPr>
        <w:t>并逐渐涌现出一批资质高、规模大、具有一定市场影响力的大中型企业，截止</w:t>
      </w:r>
      <w:r>
        <w:rPr>
          <w:rFonts w:ascii="宋体" w:hAnsi="宋体" w:cs="宋体" w:eastAsia="宋体" w:hint="default"/>
          <w:spacing w:val="-2"/>
        </w:rPr>
        <w:t>2017</w:t>
      </w:r>
      <w:r>
        <w:rPr>
          <w:spacing w:val="-2"/>
        </w:rPr>
        <w:t>年，中国建筑装饰市场的企业数量继续减</w:t>
      </w:r>
      <w:r>
        <w:rPr>
          <w:spacing w:val="-62"/>
        </w:rPr>
        <w:t> </w:t>
      </w:r>
      <w:r>
        <w:rPr>
          <w:spacing w:val="-62"/>
        </w:rPr>
      </w:r>
      <w:r>
        <w:rPr/>
        <w:t>少，市场集中度持续提高。未来一段时期，上市装饰公司的规模优势、专业优势、资金优势、竞争优势将得以进一步凸显， </w:t>
      </w:r>
      <w:r>
        <w:rPr>
          <w:spacing w:val="-2"/>
        </w:rPr>
        <w:t>从而将淘汰行业的落后产能，清除市场中的僵尸企业，促进行业市场的规范化，提高工程资源和市场保有的集中度，推动行</w:t>
      </w:r>
      <w:r>
        <w:rPr>
          <w:spacing w:val="-66"/>
        </w:rPr>
        <w:t> </w:t>
      </w:r>
      <w:r>
        <w:rPr>
          <w:spacing w:val="-66"/>
        </w:rPr>
      </w:r>
      <w:r>
        <w:rPr/>
        <w:t>业产业化跨越式发展。</w:t>
      </w:r>
    </w:p>
    <w:p>
      <w:pPr>
        <w:pStyle w:val="BodyText"/>
        <w:spacing w:line="360" w:lineRule="auto" w:before="19"/>
        <w:ind w:left="514" w:right="1032" w:firstLine="1"/>
        <w:jc w:val="left"/>
      </w:pPr>
      <w:r>
        <w:rPr>
          <w:rFonts w:ascii="宋体" w:hAnsi="宋体" w:cs="宋体" w:eastAsia="宋体" w:hint="default"/>
          <w:b/>
          <w:bCs/>
        </w:rPr>
        <w:t>5</w:t>
      </w:r>
      <w:r>
        <w:rPr>
          <w:rFonts w:ascii="宋体" w:hAnsi="宋体" w:cs="宋体" w:eastAsia="宋体" w:hint="default"/>
          <w:b/>
          <w:bCs/>
        </w:rPr>
        <w:t>、公司的经营模式</w:t>
      </w:r>
      <w:r>
        <w:rPr>
          <w:rFonts w:ascii="宋体" w:hAnsi="宋体" w:cs="宋体" w:eastAsia="宋体" w:hint="default"/>
          <w:b/>
          <w:bCs/>
          <w:w w:val="99"/>
        </w:rPr>
        <w:t> </w:t>
      </w:r>
      <w:r>
        <w:rPr>
          <w:spacing w:val="-2"/>
        </w:rPr>
        <w:t>公司在承接业务及管理方面，逐步形成“强总部、大区域”的模式，通过区域营销中心的建设，将营销功能进一步向一</w:t>
      </w:r>
    </w:p>
    <w:p>
      <w:pPr>
        <w:pStyle w:val="BodyText"/>
        <w:spacing w:line="222" w:lineRule="exact"/>
        <w:ind w:right="1032"/>
        <w:jc w:val="left"/>
      </w:pPr>
      <w:r>
        <w:rPr/>
        <w:t>线延伸，同时总部的工程管控功能也适度地下放至区域，为项目部的工程施工、管控提供强大的支持。</w:t>
      </w:r>
    </w:p>
    <w:p>
      <w:pPr>
        <w:pStyle w:val="BodyText"/>
        <w:spacing w:line="319" w:lineRule="auto" w:before="115"/>
        <w:ind w:right="1032" w:firstLine="360"/>
        <w:jc w:val="left"/>
      </w:pPr>
      <w:r>
        <w:rPr>
          <w:rFonts w:ascii="宋体" w:hAnsi="宋体" w:cs="宋体" w:eastAsia="宋体" w:hint="default"/>
          <w:spacing w:val="-4"/>
        </w:rPr>
        <w:t>2018</w:t>
      </w:r>
      <w:r>
        <w:rPr>
          <w:spacing w:val="-4"/>
        </w:rPr>
        <w:t>年公司引进行业领先的</w:t>
      </w:r>
      <w:r>
        <w:rPr>
          <w:rFonts w:ascii="宋体" w:hAnsi="宋体" w:cs="宋体" w:eastAsia="宋体" w:hint="default"/>
          <w:spacing w:val="-4"/>
        </w:rPr>
        <w:t>3080</w:t>
      </w:r>
      <w:r>
        <w:rPr>
          <w:spacing w:val="-4"/>
        </w:rPr>
        <w:t>工程管控体系，改变了以往的管理习惯，从公司原有的制度管理模式发展到工作模块化、</w:t>
      </w:r>
      <w:r>
        <w:rPr/>
        <w:t> </w:t>
      </w:r>
      <w:r>
        <w:rPr>
          <w:spacing w:val="-2"/>
        </w:rPr>
        <w:t>策略化，并通过强调执行力而把工作节点落实到每个人。利用各类表格管理工具将流程类工作具象化，完成原来偏向口语化</w:t>
      </w:r>
      <w:r>
        <w:rPr>
          <w:spacing w:val="-66"/>
        </w:rPr>
        <w:t> </w:t>
      </w:r>
      <w:r>
        <w:rPr>
          <w:spacing w:val="-66"/>
        </w:rPr>
      </w:r>
      <w:r>
        <w:rPr>
          <w:spacing w:val="-3"/>
        </w:rPr>
        <w:t>管理思维向“铁三角”（营销、投标、施工）相融合经营模式的转变。</w:t>
      </w:r>
    </w:p>
    <w:p>
      <w:pPr>
        <w:pStyle w:val="BodyText"/>
        <w:spacing w:line="319" w:lineRule="auto" w:before="56"/>
        <w:ind w:right="1032" w:firstLine="360"/>
        <w:jc w:val="left"/>
      </w:pPr>
      <w:r>
        <w:rPr/>
        <w:t>公司非常重视工程质量，严格执行国际质量管理标准并已通过</w:t>
      </w:r>
      <w:r>
        <w:rPr>
          <w:rFonts w:ascii="宋体" w:hAnsi="宋体" w:cs="宋体" w:eastAsia="宋体" w:hint="default"/>
        </w:rPr>
        <w:t>ISO9001</w:t>
      </w:r>
      <w:r>
        <w:rPr/>
        <w:t>质量管理体系认证和</w:t>
      </w:r>
      <w:r>
        <w:rPr>
          <w:rFonts w:ascii="宋体" w:hAnsi="宋体" w:cs="宋体" w:eastAsia="宋体" w:hint="default"/>
        </w:rPr>
        <w:t>GB/T50430</w:t>
      </w:r>
      <w:r>
        <w:rPr/>
        <w:t>质量管理体系认 </w:t>
      </w:r>
      <w:r>
        <w:rPr>
          <w:spacing w:val="-2"/>
        </w:rPr>
        <w:t>证。为了确保施工质量符合国家规范要求，公司建立了由总经理、分管副总经理、质量安全部和项目经理组成的质量安全架</w:t>
      </w:r>
      <w:r>
        <w:rPr>
          <w:spacing w:val="-66"/>
        </w:rPr>
        <w:t> </w:t>
      </w:r>
      <w:r>
        <w:rPr>
          <w:spacing w:val="-66"/>
        </w:rPr>
      </w:r>
      <w:r>
        <w:rPr/>
        <w:t>构，设专人负责施工现场的质量检查、监督、验收、考核工作，并做好记录。公司质量控制活动贯穿于施工质量管理策划、 </w:t>
      </w:r>
      <w:r>
        <w:rPr>
          <w:spacing w:val="-2"/>
        </w:rPr>
        <w:t>施工组织设计、施工准备、施工实施、竣工验收和保修服务等环节，形成了全过程、全流程的管理控制体系。报告期内，公</w:t>
      </w:r>
      <w:r>
        <w:rPr>
          <w:spacing w:val="-70"/>
        </w:rPr>
        <w:t> </w:t>
      </w:r>
      <w:r>
        <w:rPr>
          <w:spacing w:val="-70"/>
        </w:rPr>
      </w:r>
      <w:r>
        <w:rPr/>
        <w:t>司未出现重大项目质量问题。</w:t>
      </w:r>
    </w:p>
    <w:p>
      <w:pPr>
        <w:spacing w:line="240" w:lineRule="auto" w:before="6"/>
        <w:rPr>
          <w:rFonts w:ascii="宋体" w:hAnsi="宋体" w:cs="宋体" w:eastAsia="宋体" w:hint="default"/>
          <w:sz w:val="20"/>
          <w:szCs w:val="20"/>
        </w:rPr>
      </w:pPr>
    </w:p>
    <w:p>
      <w:pPr>
        <w:pStyle w:val="Heading2"/>
        <w:spacing w:line="240" w:lineRule="auto"/>
        <w:ind w:right="1032"/>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本期增加主要系增加南亿科技的股权投资及对引爆互联的投资处置</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本期增加主要系取得总部大厦土地使用权所致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本期增加主要系子公司惠州部品部件项目建设投资增加所致</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1032" w:firstLine="0"/>
        <w:jc w:val="left"/>
        <w:rPr>
          <w:rFonts w:ascii="宋体" w:hAnsi="宋体" w:cs="宋体" w:eastAsia="宋体" w:hint="default"/>
          <w:sz w:val="21"/>
          <w:szCs w:val="21"/>
        </w:rPr>
      </w:pPr>
      <w:bookmarkStart w:name="2、主要境外资产情况" w:id="19"/>
      <w:bookmarkEnd w:id="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装修装饰业</w:t>
      </w:r>
    </w:p>
    <w:p>
      <w:pPr>
        <w:pStyle w:val="BodyText"/>
        <w:spacing w:line="338" w:lineRule="auto" w:before="116"/>
        <w:ind w:left="574" w:right="1166" w:hanging="420"/>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w:t>
      </w:r>
      <w:r>
        <w:rPr>
          <w:spacing w:val="-2"/>
        </w:rPr>
        <w:t>公司连续十一年入选“中国建筑装饰行业百强企业”，且排名不断提升。目前公司位居全国建筑装饰行业百强第</w:t>
      </w:r>
      <w:r>
        <w:rPr>
          <w:rFonts w:ascii="宋体" w:hAnsi="宋体" w:cs="宋体" w:eastAsia="宋体" w:hint="default"/>
          <w:spacing w:val="-2"/>
        </w:rPr>
        <w:t>8</w:t>
      </w:r>
      <w:r>
        <w:rPr>
          <w:spacing w:val="-2"/>
        </w:rPr>
        <w:t>位。</w:t>
      </w:r>
    </w:p>
    <w:p>
      <w:pPr>
        <w:pStyle w:val="BodyText"/>
        <w:spacing w:line="319" w:lineRule="auto" w:before="2"/>
        <w:ind w:right="1032"/>
        <w:jc w:val="left"/>
      </w:pPr>
      <w:r>
        <w:rPr>
          <w:spacing w:val="-3"/>
        </w:rPr>
        <w:t>公司企业信用评价</w:t>
      </w:r>
      <w:r>
        <w:rPr>
          <w:rFonts w:ascii="宋体" w:hAnsi="宋体" w:cs="宋体" w:eastAsia="宋体" w:hint="default"/>
          <w:spacing w:val="-3"/>
        </w:rPr>
        <w:t>AAA</w:t>
      </w:r>
      <w:r>
        <w:rPr>
          <w:spacing w:val="-3"/>
        </w:rPr>
        <w:t>级信用企业、广东省连续十五年守合同重信用企业，公司先后通过了</w:t>
      </w:r>
      <w:r>
        <w:rPr>
          <w:rFonts w:ascii="宋体" w:hAnsi="宋体" w:cs="宋体" w:eastAsia="宋体" w:hint="default"/>
          <w:spacing w:val="-3"/>
        </w:rPr>
        <w:t>ISO9001</w:t>
      </w:r>
      <w:r>
        <w:rPr>
          <w:spacing w:val="-3"/>
        </w:rPr>
        <w:t>质量管理体系、</w:t>
      </w:r>
      <w:r>
        <w:rPr>
          <w:rFonts w:ascii="宋体" w:hAnsi="宋体" w:cs="宋体" w:eastAsia="宋体" w:hint="default"/>
          <w:spacing w:val="-3"/>
        </w:rPr>
        <w:t>GB/T50430</w:t>
      </w:r>
      <w:r>
        <w:rPr>
          <w:rFonts w:ascii="宋体" w:hAnsi="宋体" w:cs="宋体" w:eastAsia="宋体" w:hint="default"/>
          <w:spacing w:val="-72"/>
        </w:rPr>
        <w:t> </w:t>
      </w:r>
      <w:r>
        <w:rPr/>
        <w:t>质量管理体系、</w:t>
      </w:r>
      <w:r>
        <w:rPr>
          <w:rFonts w:ascii="宋体" w:hAnsi="宋体" w:cs="宋体" w:eastAsia="宋体" w:hint="default"/>
        </w:rPr>
        <w:t>ISO14001</w:t>
      </w:r>
      <w:r>
        <w:rPr/>
        <w:t>环境管理体系和</w:t>
      </w:r>
      <w:r>
        <w:rPr>
          <w:rFonts w:ascii="宋体" w:hAnsi="宋体" w:cs="宋体" w:eastAsia="宋体" w:hint="default"/>
        </w:rPr>
        <w:t>GB/T28001</w:t>
      </w:r>
      <w:r>
        <w:rPr/>
        <w:t>职业健康安全管理体系认证。</w:t>
      </w:r>
    </w:p>
    <w:p>
      <w:pPr>
        <w:pStyle w:val="BodyText"/>
        <w:spacing w:line="357" w:lineRule="auto" w:before="58"/>
        <w:ind w:left="574" w:right="1024"/>
        <w:jc w:val="left"/>
      </w:pPr>
      <w:r>
        <w:rPr>
          <w:rFonts w:ascii="宋体" w:hAnsi="宋体" w:cs="宋体" w:eastAsia="宋体" w:hint="default"/>
          <w:b/>
          <w:bCs/>
        </w:rPr>
        <w:t>（一）品牌优势</w:t>
      </w:r>
      <w:r>
        <w:rPr>
          <w:rFonts w:ascii="宋体" w:hAnsi="宋体" w:cs="宋体" w:eastAsia="宋体" w:hint="default"/>
          <w:b/>
          <w:bCs/>
          <w:w w:val="99"/>
        </w:rPr>
        <w:t> </w:t>
      </w:r>
      <w:r>
        <w:rPr>
          <w:spacing w:val="-1"/>
        </w:rPr>
        <w:t>公司一贯奉行“质量先行、科学管理、优质服务、打造精品”的质量方针和“科学化、环保化、人性化”的装饰理念，</w:t>
      </w:r>
    </w:p>
    <w:p>
      <w:pPr>
        <w:pStyle w:val="BodyText"/>
        <w:spacing w:line="224" w:lineRule="exact"/>
        <w:ind w:right="0"/>
        <w:jc w:val="both"/>
      </w:pPr>
      <w:r>
        <w:rPr/>
        <w:t>以优良的业绩取信于社会。近年来，公司获得了包括鲁班奖、全国建筑工程装饰奖在内的国家及省市级工程奖项</w:t>
      </w:r>
      <w:r>
        <w:rPr>
          <w:rFonts w:ascii="宋体" w:hAnsi="宋体" w:cs="宋体" w:eastAsia="宋体" w:hint="default"/>
        </w:rPr>
        <w:t>300</w:t>
      </w:r>
      <w:r>
        <w:rPr/>
        <w:t>多项，</w:t>
      </w:r>
    </w:p>
    <w:p>
      <w:pPr>
        <w:pStyle w:val="BodyText"/>
        <w:spacing w:line="240" w:lineRule="auto" w:before="77"/>
        <w:ind w:right="0"/>
        <w:jc w:val="both"/>
      </w:pPr>
      <w:r>
        <w:rPr/>
        <w:t>公司在行业内的知名度和影响力不断提升。</w:t>
      </w:r>
    </w:p>
    <w:p>
      <w:pPr>
        <w:pStyle w:val="BodyText"/>
        <w:spacing w:line="357" w:lineRule="auto" w:before="116"/>
        <w:ind w:left="574" w:right="1152"/>
        <w:jc w:val="left"/>
      </w:pPr>
      <w:r>
        <w:rPr>
          <w:rFonts w:ascii="宋体" w:hAnsi="宋体" w:cs="宋体" w:eastAsia="宋体" w:hint="default"/>
          <w:b/>
          <w:bCs/>
        </w:rPr>
        <w:t>（二）项目经验优势</w:t>
      </w:r>
      <w:r>
        <w:rPr>
          <w:rFonts w:ascii="宋体" w:hAnsi="宋体" w:cs="宋体" w:eastAsia="宋体" w:hint="default"/>
          <w:b/>
          <w:bCs/>
          <w:w w:val="99"/>
        </w:rPr>
        <w:t> </w:t>
      </w:r>
      <w:r>
        <w:rPr/>
        <w:t>公司承接的装饰工程遍布全国各地，项目类型覆盖范围广泛，包括办公楼、商业建筑、高档酒店、文教体卫设施、交</w:t>
      </w:r>
    </w:p>
    <w:p>
      <w:pPr>
        <w:pStyle w:val="BodyText"/>
        <w:spacing w:line="225" w:lineRule="exact"/>
        <w:ind w:right="0"/>
        <w:jc w:val="both"/>
      </w:pPr>
      <w:r>
        <w:rPr/>
        <w:t>通基础设施、普通住宅、别墅等，多年的发展积累了丰富的项目经验。</w:t>
      </w:r>
    </w:p>
    <w:p>
      <w:pPr>
        <w:pStyle w:val="BodyText"/>
        <w:spacing w:line="357" w:lineRule="auto" w:before="116"/>
        <w:ind w:left="574" w:right="1152"/>
        <w:jc w:val="left"/>
      </w:pPr>
      <w:r>
        <w:rPr>
          <w:rFonts w:ascii="宋体" w:hAnsi="宋体" w:cs="宋体" w:eastAsia="宋体" w:hint="default"/>
          <w:b/>
          <w:bCs/>
        </w:rPr>
        <w:t>（三）跨区域经营优势</w:t>
      </w:r>
      <w:r>
        <w:rPr>
          <w:rFonts w:ascii="宋体" w:hAnsi="宋体" w:cs="宋体" w:eastAsia="宋体" w:hint="default"/>
          <w:b/>
          <w:bCs/>
          <w:w w:val="99"/>
        </w:rPr>
        <w:t> </w:t>
      </w:r>
      <w:r>
        <w:rPr/>
        <w:t>近年来，公司始终坚持“立足华南、面向全国”的战略方针，通过实施本地化人才策略，加大对全国各地市场拓展力</w:t>
      </w:r>
    </w:p>
    <w:p>
      <w:pPr>
        <w:pStyle w:val="BodyText"/>
        <w:spacing w:line="224" w:lineRule="exact"/>
        <w:ind w:right="0"/>
        <w:jc w:val="both"/>
      </w:pPr>
      <w:r>
        <w:rPr/>
        <w:t>度，公司业务范围迅速扩张。当前公司已在北京、上海、江苏、陕西、山东、海南、安徽、云南、四川和辽宁等地设立了分</w:t>
      </w:r>
    </w:p>
    <w:p>
      <w:pPr>
        <w:pStyle w:val="BodyText"/>
        <w:spacing w:line="319" w:lineRule="auto" w:before="76"/>
        <w:ind w:right="1032"/>
        <w:jc w:val="left"/>
      </w:pPr>
      <w:r>
        <w:rPr>
          <w:spacing w:val="-2"/>
        </w:rPr>
        <w:t>支机构，已建立华南、华东、华北等区域营销中心，形成了一个覆盖全国的市场网络，在珠江三角洲、长江三角洲和京津环</w:t>
      </w:r>
      <w:r>
        <w:rPr>
          <w:spacing w:val="-68"/>
        </w:rPr>
        <w:t> </w:t>
      </w:r>
      <w:r>
        <w:rPr>
          <w:spacing w:val="-68"/>
        </w:rPr>
      </w:r>
      <w:r>
        <w:rPr/>
        <w:t>渤海经济带等重点区域形成了稳定的品牌影响力，已充分具备跨区域经营能力。</w:t>
      </w:r>
    </w:p>
    <w:p>
      <w:pPr>
        <w:pStyle w:val="BodyText"/>
        <w:spacing w:line="357" w:lineRule="auto" w:before="58"/>
        <w:ind w:left="574" w:right="1152"/>
        <w:jc w:val="left"/>
      </w:pPr>
      <w:r>
        <w:rPr>
          <w:rFonts w:ascii="宋体" w:hAnsi="宋体" w:cs="宋体" w:eastAsia="宋体" w:hint="default"/>
          <w:b/>
          <w:bCs/>
        </w:rPr>
        <w:t>（四）人才优势</w:t>
      </w:r>
      <w:r>
        <w:rPr>
          <w:rFonts w:ascii="宋体" w:hAnsi="宋体" w:cs="宋体" w:eastAsia="宋体" w:hint="default"/>
          <w:b/>
          <w:bCs/>
          <w:w w:val="99"/>
        </w:rPr>
        <w:t> </w:t>
      </w:r>
      <w:r>
        <w:rPr/>
        <w:t>公司一贯坚持“以人为本”的管理理念，积极引进和培养各类专业技术、管理人才，具有经验丰富的高层管理团队和</w:t>
      </w:r>
    </w:p>
    <w:p>
      <w:pPr>
        <w:pStyle w:val="BodyText"/>
        <w:spacing w:line="224" w:lineRule="exact"/>
        <w:ind w:right="0"/>
        <w:jc w:val="both"/>
      </w:pPr>
      <w:r>
        <w:rPr/>
        <w:t>执行力强的中层管理人员。经过十几年的发展，公司已经拥有了完善的人才培养体系和人才储备。其中，公司董事长庄重先</w:t>
      </w:r>
    </w:p>
    <w:p>
      <w:pPr>
        <w:pStyle w:val="BodyText"/>
        <w:spacing w:line="240" w:lineRule="auto" w:before="77"/>
        <w:ind w:right="0"/>
        <w:jc w:val="both"/>
      </w:pPr>
      <w:r>
        <w:rPr/>
        <w:t>生、常务副总经理何斌先生更是业内知名的专家，具备丰富的从业经验。</w:t>
      </w:r>
    </w:p>
    <w:p>
      <w:pPr>
        <w:pStyle w:val="BodyText"/>
        <w:spacing w:line="357" w:lineRule="auto" w:before="116"/>
        <w:ind w:left="574" w:right="1152"/>
        <w:jc w:val="left"/>
      </w:pPr>
      <w:r>
        <w:rPr>
          <w:rFonts w:ascii="宋体" w:hAnsi="宋体" w:cs="宋体" w:eastAsia="宋体" w:hint="default"/>
          <w:b/>
          <w:bCs/>
        </w:rPr>
        <w:t>（五）项目管理能力优势</w:t>
      </w:r>
      <w:r>
        <w:rPr>
          <w:rFonts w:ascii="宋体" w:hAnsi="宋体" w:cs="宋体" w:eastAsia="宋体" w:hint="default"/>
          <w:b/>
          <w:bCs/>
          <w:w w:val="99"/>
        </w:rPr>
        <w:t> </w:t>
      </w:r>
      <w:r>
        <w:rPr/>
        <w:t>公司通过建立健全项目管理制度，规范项目操作流程，对整个项目过程实施有效的成本控制、质量控制、进度控制、</w:t>
      </w:r>
    </w:p>
    <w:p>
      <w:pPr>
        <w:pStyle w:val="BodyText"/>
        <w:spacing w:line="224" w:lineRule="exact"/>
        <w:ind w:right="0"/>
        <w:jc w:val="both"/>
      </w:pPr>
      <w:r>
        <w:rPr/>
        <w:t>安全控制、合同管理和信息管理，并通过绩效考核将上述管理目标落实到个人，实现对项目全方位、全过程的管理和控制。</w:t>
      </w:r>
    </w:p>
    <w:p>
      <w:pPr>
        <w:pStyle w:val="BodyText"/>
        <w:spacing w:line="319" w:lineRule="auto" w:before="76"/>
        <w:ind w:right="1132"/>
        <w:jc w:val="both"/>
      </w:pPr>
      <w:r>
        <w:rPr>
          <w:spacing w:val="-2"/>
        </w:rPr>
        <w:t>公司按照事前计划、事中检查、事后评价的管理思路，对项目实施过程中的各类问题做到及时发现、及时调整，在保证施工</w:t>
      </w:r>
      <w:r>
        <w:rPr>
          <w:spacing w:val="-66"/>
        </w:rPr>
        <w:t> </w:t>
      </w:r>
      <w:r>
        <w:rPr>
          <w:spacing w:val="-66"/>
        </w:rPr>
      </w:r>
      <w:r>
        <w:rPr>
          <w:spacing w:val="-2"/>
        </w:rPr>
        <w:t>安全的前提下，严控项目成本和工程质量，避免出现较大的工期延误。成熟的项目管理体系提升了公司的整体运作效率和行</w:t>
      </w:r>
      <w:r>
        <w:rPr>
          <w:spacing w:val="-65"/>
        </w:rPr>
        <w:t> </w:t>
      </w:r>
      <w:r>
        <w:rPr>
          <w:spacing w:val="-65"/>
        </w:rPr>
      </w:r>
      <w:r>
        <w:rPr/>
        <w:t>业信誉，使得公司在激烈的行业竞争中处于有利的地位。</w:t>
      </w:r>
    </w:p>
    <w:p>
      <w:pPr>
        <w:spacing w:after="0" w:line="319" w:lineRule="auto"/>
        <w:jc w:val="both"/>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66" w:right="1032"/>
        <w:jc w:val="left"/>
        <w:rPr>
          <w:b w:val="0"/>
          <w:bCs w:val="0"/>
        </w:rPr>
      </w:pPr>
      <w:bookmarkStart w:name="第四节 经营情况讨论与分析" w:id="21"/>
      <w:bookmarkEnd w:id="21"/>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概述" w:id="22"/>
      <w:bookmarkEnd w:id="22"/>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8" w:firstLine="360"/>
        <w:jc w:val="left"/>
      </w:pPr>
      <w:r>
        <w:rPr>
          <w:rFonts w:ascii="宋体" w:hAnsi="宋体" w:cs="宋体" w:eastAsia="宋体" w:hint="default"/>
          <w:spacing w:val="-4"/>
        </w:rPr>
        <w:t>2018</w:t>
      </w:r>
      <w:r>
        <w:rPr>
          <w:spacing w:val="-4"/>
        </w:rPr>
        <w:t>年，是公司改革之年，也是践行“固本强基、扬长补短”战略指导方针的一年，取得了一定成绩，也走了一些弯路，</w:t>
      </w:r>
      <w:r>
        <w:rPr/>
        <w:t> </w:t>
      </w:r>
      <w:r>
        <w:rPr>
          <w:spacing w:val="-4"/>
        </w:rPr>
        <w:t>总结了不少经验与教训。总的来说，</w:t>
      </w:r>
      <w:r>
        <w:rPr>
          <w:rFonts w:ascii="宋体" w:hAnsi="宋体" w:cs="宋体" w:eastAsia="宋体" w:hint="default"/>
          <w:spacing w:val="-4"/>
        </w:rPr>
        <w:t>2018</w:t>
      </w:r>
      <w:r>
        <w:rPr>
          <w:spacing w:val="-4"/>
        </w:rPr>
        <w:t>年公司全面实行成本效益综合考核，着力构建新型工管模式，进一步推行企业变革，</w:t>
      </w:r>
      <w:r>
        <w:rPr>
          <w:spacing w:val="-37"/>
        </w:rPr>
        <w:t> </w:t>
      </w:r>
      <w:r>
        <w:rPr>
          <w:spacing w:val="-37"/>
        </w:rPr>
      </w:r>
      <w:r>
        <w:rPr>
          <w:spacing w:val="-3"/>
        </w:rPr>
        <w:t>取得阶段性成果，较圆满地完成了各项任务，且获得了国优、省优等多项荣誉。</w:t>
      </w:r>
      <w:r>
        <w:rPr>
          <w:rFonts w:ascii="宋体" w:hAnsi="宋体" w:cs="宋体" w:eastAsia="宋体" w:hint="default"/>
          <w:spacing w:val="-3"/>
        </w:rPr>
        <w:t>2018</w:t>
      </w:r>
      <w:r>
        <w:rPr>
          <w:spacing w:val="-3"/>
        </w:rPr>
        <w:t>年，公司实现营业收入</w:t>
      </w:r>
      <w:r>
        <w:rPr>
          <w:rFonts w:ascii="宋体" w:hAnsi="宋体" w:cs="宋体" w:eastAsia="宋体" w:hint="default"/>
          <w:spacing w:val="-3"/>
        </w:rPr>
        <w:t>414,569.53</w:t>
      </w:r>
      <w:r>
        <w:rPr>
          <w:spacing w:val="-3"/>
        </w:rPr>
        <w:t>万元，</w:t>
      </w:r>
      <w:r>
        <w:rPr>
          <w:spacing w:val="-78"/>
        </w:rPr>
        <w:t> </w:t>
      </w:r>
      <w:r>
        <w:rPr/>
        <w:t>较上年同期增长</w:t>
      </w:r>
      <w:r>
        <w:rPr>
          <w:rFonts w:ascii="宋体" w:hAnsi="宋体" w:cs="宋体" w:eastAsia="宋体" w:hint="default"/>
        </w:rPr>
        <w:t>30.66%</w:t>
      </w:r>
      <w:r>
        <w:rPr/>
        <w:t>；实现营业利润</w:t>
      </w:r>
      <w:r>
        <w:rPr>
          <w:rFonts w:ascii="宋体" w:hAnsi="宋体" w:cs="宋体" w:eastAsia="宋体" w:hint="default"/>
        </w:rPr>
        <w:t>25,246.54</w:t>
      </w:r>
      <w:r>
        <w:rPr/>
        <w:t>万元，比上年同期增长</w:t>
      </w:r>
      <w:r>
        <w:rPr>
          <w:rFonts w:ascii="宋体" w:hAnsi="宋体" w:cs="宋体" w:eastAsia="宋体" w:hint="default"/>
        </w:rPr>
        <w:t>22.74%</w:t>
      </w:r>
      <w:r>
        <w:rPr/>
        <w:t>；实现归属于上市公司的净利润</w:t>
      </w:r>
      <w:r>
        <w:rPr>
          <w:rFonts w:ascii="宋体" w:hAnsi="宋体" w:cs="宋体" w:eastAsia="宋体" w:hint="default"/>
        </w:rPr>
        <w:t>16,709.07</w:t>
      </w:r>
      <w:r>
        <w:rPr>
          <w:rFonts w:ascii="宋体" w:hAnsi="宋体" w:cs="宋体" w:eastAsia="宋体" w:hint="default"/>
          <w:spacing w:val="-9"/>
        </w:rPr>
        <w:t> </w:t>
      </w:r>
      <w:r>
        <w:rPr/>
        <w:t>万元，较上年同期增长</w:t>
      </w:r>
      <w:r>
        <w:rPr>
          <w:rFonts w:ascii="宋体" w:hAnsi="宋体" w:cs="宋体" w:eastAsia="宋体" w:hint="default"/>
        </w:rPr>
        <w:t>3.94%</w:t>
      </w:r>
      <w:r>
        <w:rPr/>
        <w:t>。经营业绩与</w:t>
      </w:r>
      <w:r>
        <w:rPr>
          <w:rFonts w:ascii="宋体" w:hAnsi="宋体" w:cs="宋体" w:eastAsia="宋体" w:hint="default"/>
        </w:rPr>
        <w:t>2017</w:t>
      </w:r>
      <w:r>
        <w:rPr/>
        <w:t>年同期相比呈增长趋势。公司总体经营状况良好，公司各工程项目按合同计</w:t>
      </w:r>
      <w:r>
        <w:rPr>
          <w:spacing w:val="-83"/>
        </w:rPr>
        <w:t> </w:t>
      </w:r>
      <w:r>
        <w:rPr>
          <w:spacing w:val="-83"/>
        </w:rPr>
      </w:r>
      <w:r>
        <w:rPr/>
        <w:t>划有序施工，经营模式未发生重大变化，未出现影响公司正常经营的其他重大不利因素。</w:t>
      </w:r>
    </w:p>
    <w:p>
      <w:pPr>
        <w:spacing w:line="240" w:lineRule="auto" w:before="7"/>
        <w:rPr>
          <w:rFonts w:ascii="宋体" w:hAnsi="宋体" w:cs="宋体" w:eastAsia="宋体" w:hint="default"/>
          <w:sz w:val="20"/>
          <w:szCs w:val="20"/>
        </w:rPr>
      </w:pPr>
    </w:p>
    <w:p>
      <w:pPr>
        <w:pStyle w:val="Heading2"/>
        <w:spacing w:line="240" w:lineRule="auto"/>
        <w:ind w:right="1032"/>
        <w:jc w:val="left"/>
        <w:rPr>
          <w:b w:val="0"/>
          <w:bCs w:val="0"/>
        </w:rPr>
      </w:pPr>
      <w:bookmarkStart w:name="二、主营业务分析" w:id="23"/>
      <w:bookmarkEnd w:id="23"/>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概述" w:id="24"/>
      <w:bookmarkEnd w:id="24"/>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参见“经营情况讨论与分析”中的“一、概述”相关内容。</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收入与成本" w:id="25"/>
      <w:bookmarkEnd w:id="25"/>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营业收入构成" w:id="26"/>
      <w:bookmarkEnd w:id="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4,145,695,271.65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3,172,996,288.26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30.66%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4,145,695,271.65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3,172,996,288.26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30.66%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3,950,728,883.07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3,035,991,061.73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59,735,303.62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51,398,144.26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135,231,084.96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85,607,082.27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57.97%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2,085,801,015.54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1,525,576,615.40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730,305,137.77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628,570,564.70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435,184,088.14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262,724,092.67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335,128,209.45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236,705,523.10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332,166,180.69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261,579,376.14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26.98%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129,251,898.13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128,699,167.32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97,858,741.93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129,140,948.93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-24.22%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占公司营业收入或营业利润10%以上的行业、产品或地区情况" w:id="27"/>
      <w:bookmarkEnd w:id="27"/>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980" w:right="0"/>
        </w:sectPr>
      </w:pPr>
    </w:p>
    <w:p>
      <w:pPr>
        <w:pStyle w:val="BodyText"/>
        <w:spacing w:line="360" w:lineRule="auto" w:before="44"/>
        <w:ind w:right="4600"/>
        <w:jc w:val="left"/>
      </w:pPr>
      <w:r>
        <w:rPr/>
        <w:t>√ 适用 □ 不适用 公司是否需要遵守特殊行业的披露要求 是</w:t>
      </w:r>
    </w:p>
    <w:p>
      <w:pPr>
        <w:pStyle w:val="BodyText"/>
        <w:spacing w:line="240" w:lineRule="auto" w:before="26"/>
        <w:ind w:right="4600"/>
        <w:jc w:val="left"/>
      </w:pPr>
      <w:r>
        <w:rPr/>
        <w:t>装修装饰业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单位：元</w:t>
      </w:r>
    </w:p>
    <w:p>
      <w:pPr>
        <w:spacing w:after="0" w:line="240" w:lineRule="auto"/>
        <w:jc w:val="left"/>
        <w:sectPr>
          <w:type w:val="continuous"/>
          <w:pgSz w:w="11910" w:h="16840"/>
          <w:pgMar w:top="1100" w:bottom="1200" w:left="980" w:right="0"/>
          <w:cols w:num="2" w:equalWidth="0">
            <w:col w:w="7835" w:space="108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建筑装饰行业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4,145,695,271.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3,541,342,194.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3,950,728,883.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3,383,990,938.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2,085,801,015.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1,725,212,386.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730,305,137.77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614,745,110.13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0.74%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435,184,088.14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372,681,684.43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pStyle w:val="BodyText"/>
        <w:spacing w:line="240" w:lineRule="auto" w:before="51"/>
        <w:ind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360" w:lineRule="auto" w:before="102"/>
        <w:ind w:right="6640"/>
        <w:jc w:val="left"/>
      </w:pPr>
      <w:r>
        <w:rPr/>
        <w:t>□ 适用 √ 不适用 公司不同业务类型的情况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2" w:equalWidth="0">
            <w:col w:w="8795" w:space="12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业务类型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3,950,728,883.07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3,383,990,938.94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59,735,303.62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44,441,045.44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25.60%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135,231,084.96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112,910,210.04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16.51%</w:t>
            </w:r>
          </w:p>
        </w:tc>
      </w:tr>
    </w:tbl>
    <w:p>
      <w:pPr>
        <w:pStyle w:val="BodyText"/>
        <w:spacing w:line="240" w:lineRule="auto" w:before="51"/>
        <w:ind w:right="1032"/>
        <w:jc w:val="left"/>
      </w:pPr>
      <w:r>
        <w:rPr/>
        <w:t>公司是否需通过互联网渠道开展业务</w:t>
      </w:r>
    </w:p>
    <w:p>
      <w:pPr>
        <w:pStyle w:val="BodyText"/>
        <w:spacing w:line="360" w:lineRule="auto" w:before="116"/>
        <w:ind w:right="8772"/>
        <w:jc w:val="left"/>
      </w:pPr>
      <w:r>
        <w:rPr/>
        <w:t>□ 是 √ 否 公司是否需开展境外项目</w:t>
      </w:r>
    </w:p>
    <w:p>
      <w:pPr>
        <w:pStyle w:val="BodyText"/>
        <w:spacing w:line="240" w:lineRule="auto" w:before="26"/>
        <w:ind w:right="1032"/>
        <w:jc w:val="left"/>
      </w:pPr>
      <w:r>
        <w:rPr/>
        <w:t>□ 是 √ 否</w:t>
      </w:r>
    </w:p>
    <w:p>
      <w:pPr>
        <w:spacing w:after="0" w:line="240" w:lineRule="auto"/>
        <w:jc w:val="left"/>
        <w:sectPr>
          <w:type w:val="continuous"/>
          <w:pgSz w:w="11910" w:h="16840"/>
          <w:pgMar w:top="1100" w:bottom="1200" w:left="98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3）公司实物销售收入是否大于劳务收入" w:id="28"/>
      <w:bookmarkEnd w:id="28"/>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公司已签订的重大销售合同截至本报告期的履行情况" w:id="29"/>
      <w:bookmarkEnd w:id="29"/>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980" w:right="0"/>
        </w:sectPr>
      </w:pPr>
    </w:p>
    <w:p>
      <w:pPr>
        <w:pStyle w:val="BodyText"/>
        <w:spacing w:line="360" w:lineRule="auto" w:before="44"/>
        <w:ind w:right="4600"/>
        <w:jc w:val="left"/>
      </w:pPr>
      <w:r>
        <w:rPr/>
        <w:t>√ 适用 □ 不适用 公司是否需要遵守特殊行业的披露要求 是</w:t>
      </w:r>
    </w:p>
    <w:p>
      <w:pPr>
        <w:pStyle w:val="BodyText"/>
        <w:spacing w:line="240" w:lineRule="auto" w:before="26"/>
        <w:ind w:right="4600"/>
        <w:jc w:val="left"/>
      </w:pPr>
      <w:r>
        <w:rPr/>
        <w:t>装修装饰业</w:t>
      </w:r>
    </w:p>
    <w:p>
      <w:pPr>
        <w:pStyle w:val="BodyText"/>
        <w:spacing w:line="240" w:lineRule="auto" w:before="116"/>
        <w:ind w:right="-19"/>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单位：元</w:t>
      </w:r>
    </w:p>
    <w:p>
      <w:pPr>
        <w:spacing w:after="0" w:line="240" w:lineRule="auto"/>
        <w:jc w:val="left"/>
        <w:sectPr>
          <w:type w:val="continuous"/>
          <w:pgSz w:w="11910" w:h="16840"/>
          <w:pgMar w:top="1100" w:bottom="1200" w:left="980" w:right="0"/>
          <w:cols w:num="2" w:equalWidth="0">
            <w:col w:w="7835" w:space="1084"/>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未完工部分金额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未完工项目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8" w:right="0"/>
              <w:jc w:val="left"/>
              <w:rPr>
                <w:rFonts w:ascii="Times New Roman" w:hAnsi="Times New Roman" w:cs="Times New Roman" w:eastAsia="Times New Roman" w:hint="default"/>
                <w:sz w:val="18"/>
                <w:szCs w:val="18"/>
              </w:rPr>
            </w:pPr>
            <w:r>
              <w:rPr>
                <w:rFonts w:ascii="Times New Roman"/>
                <w:sz w:val="18"/>
              </w:rPr>
              <w:t>7,500,427,686.30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8" w:right="0"/>
              <w:jc w:val="left"/>
              <w:rPr>
                <w:rFonts w:ascii="Times New Roman" w:hAnsi="Times New Roman" w:cs="Times New Roman" w:eastAsia="Times New Roman" w:hint="default"/>
                <w:sz w:val="18"/>
                <w:szCs w:val="18"/>
              </w:rPr>
            </w:pPr>
            <w:r>
              <w:rPr>
                <w:rFonts w:ascii="Times New Roman"/>
                <w:sz w:val="18"/>
              </w:rPr>
              <w:t>3,412,976,621.54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8" w:right="0"/>
              <w:jc w:val="left"/>
              <w:rPr>
                <w:rFonts w:ascii="Times New Roman" w:hAnsi="Times New Roman" w:cs="Times New Roman" w:eastAsia="Times New Roman" w:hint="default"/>
                <w:sz w:val="18"/>
                <w:szCs w:val="18"/>
              </w:rPr>
            </w:pPr>
            <w:r>
              <w:rPr>
                <w:rFonts w:ascii="Times New Roman"/>
                <w:sz w:val="18"/>
              </w:rPr>
              <w:t>4,087,451,064.76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6"/>
        <w:gridCol w:w="1195"/>
        <w:gridCol w:w="1196"/>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完工百分比</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142"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应收账款余 额</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pStyle w:val="BodyText"/>
        <w:spacing w:line="240" w:lineRule="auto" w:before="51"/>
        <w:ind w:right="-20"/>
        <w:jc w:val="left"/>
      </w:pPr>
      <w:r>
        <w:rPr/>
        <w:t>其他说明</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2" w:equalWidth="0">
            <w:col w:w="1685" w:space="723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18"/>
        <w:gridCol w:w="1619"/>
        <w:gridCol w:w="1617"/>
        <w:gridCol w:w="1618"/>
        <w:gridCol w:w="1550"/>
        <w:gridCol w:w="1548"/>
      </w:tblGrid>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累计已确认毛利</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9" w:right="138" w:hanging="541"/>
              <w:jc w:val="left"/>
              <w:rPr>
                <w:rFonts w:ascii="宋体" w:hAnsi="宋体" w:cs="宋体" w:eastAsia="宋体" w:hint="default"/>
                <w:sz w:val="18"/>
                <w:szCs w:val="18"/>
              </w:rPr>
            </w:pPr>
            <w:r>
              <w:rPr>
                <w:rFonts w:ascii="宋体" w:hAnsi="宋体" w:cs="宋体" w:eastAsia="宋体" w:hint="default"/>
                <w:sz w:val="18"/>
                <w:szCs w:val="18"/>
              </w:rPr>
              <w:t>已办理结算的金 额</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138" w:hanging="450"/>
              <w:jc w:val="left"/>
              <w:rPr>
                <w:rFonts w:ascii="宋体" w:hAnsi="宋体" w:cs="宋体" w:eastAsia="宋体" w:hint="default"/>
                <w:sz w:val="18"/>
                <w:szCs w:val="18"/>
              </w:rPr>
            </w:pPr>
            <w:r>
              <w:rPr>
                <w:rFonts w:ascii="宋体" w:hAnsi="宋体" w:cs="宋体" w:eastAsia="宋体" w:hint="default"/>
                <w:sz w:val="18"/>
                <w:szCs w:val="18"/>
              </w:rPr>
              <w:t>已完工未结算的 余额</w:t>
            </w:r>
          </w:p>
        </w:tc>
      </w:tr>
      <w:tr>
        <w:trPr>
          <w:trHeight w:val="714"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3"/>
              <w:jc w:val="left"/>
              <w:rPr>
                <w:rFonts w:ascii="宋体" w:hAnsi="宋体" w:cs="宋体" w:eastAsia="宋体" w:hint="default"/>
                <w:sz w:val="18"/>
                <w:szCs w:val="18"/>
              </w:rPr>
            </w:pPr>
            <w:r>
              <w:rPr>
                <w:rFonts w:ascii="宋体" w:hAnsi="宋体" w:cs="宋体" w:eastAsia="宋体" w:hint="default"/>
                <w:sz w:val="18"/>
                <w:szCs w:val="18"/>
              </w:rPr>
              <w:t>已完工未结算项 目</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7,717,160,606.83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1,392,284,119.86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1,951,137.93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8,920,187,092.89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187,306,495.87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980" w:right="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4600"/>
        <w:jc w:val="left"/>
      </w:pPr>
      <w:r>
        <w:rPr/>
        <w:t>其他说明</w:t>
      </w:r>
    </w:p>
    <w:p>
      <w:pPr>
        <w:pStyle w:val="BodyText"/>
        <w:spacing w:line="240" w:lineRule="auto" w:before="116"/>
        <w:ind w:right="460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4600"/>
        <w:jc w:val="left"/>
        <w:rPr>
          <w:b w:val="0"/>
          <w:bCs w:val="0"/>
        </w:rPr>
      </w:pPr>
      <w:bookmarkStart w:name="（5）营业成本构成" w:id="30"/>
      <w:bookmarkEnd w:id="30"/>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19"/>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主营业务成本构成</w:t>
      </w:r>
    </w:p>
    <w:p>
      <w:pPr>
        <w:pStyle w:val="BodyText"/>
        <w:spacing w:line="240" w:lineRule="auto" w:before="51"/>
        <w:ind w:left="153" w:right="0"/>
        <w:jc w:val="left"/>
      </w:pPr>
      <w:r>
        <w:rPr/>
        <w:br w:type="column"/>
      </w:r>
      <w:r>
        <w:rPr/>
        <w:t>单位：元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2" w:equalWidth="0">
            <w:col w:w="7835" w:space="108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2,032,280,060.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57.39%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1,565,728,401.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29.80%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26,965,621.66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22,190,406.35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64,365,375.07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23,658,735.13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2,123,611,057.</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1,611,577,543.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1,020,185,859.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779,696,537.42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12,807,201.82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12,423,336.80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29,030,605.35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19,493,001.01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48.93%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1,062,023,667.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811,612,875.23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331,525,018.71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255,162,398.48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4,668,221.96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2,775,846.66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19,514,229.62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27,099,449.78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355,707,470.29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285,037,694.92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6）报告期内合并范围是否发生变动" w:id="31"/>
      <w:bookmarkEnd w:id="31"/>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是 □ 否</w:t>
      </w:r>
    </w:p>
    <w:p>
      <w:pPr>
        <w:pStyle w:val="BodyText"/>
        <w:spacing w:line="240" w:lineRule="auto" w:before="116"/>
        <w:ind w:left="514" w:right="1032"/>
        <w:jc w:val="left"/>
      </w:pPr>
      <w:r>
        <w:rPr>
          <w:rFonts w:ascii="宋体" w:hAnsi="宋体" w:cs="宋体" w:eastAsia="宋体" w:hint="default"/>
        </w:rPr>
        <w:t>1</w:t>
      </w:r>
      <w:r>
        <w:rPr/>
        <w:t>、本期增加孙公司的情况说明</w:t>
      </w:r>
    </w:p>
    <w:p>
      <w:pPr>
        <w:spacing w:line="240" w:lineRule="auto" w:before="1"/>
        <w:rPr>
          <w:rFonts w:ascii="宋体" w:hAnsi="宋体" w:cs="宋体" w:eastAsia="宋体" w:hint="default"/>
          <w:sz w:val="15"/>
          <w:szCs w:val="15"/>
        </w:rPr>
      </w:pPr>
    </w:p>
    <w:p>
      <w:pPr>
        <w:pStyle w:val="BodyText"/>
        <w:spacing w:line="316" w:lineRule="auto"/>
        <w:ind w:right="1122" w:firstLine="360"/>
        <w:jc w:val="left"/>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日，本公司通过子公司深圳市中装新能源科技有限公司投资设立控股孙公司深圳市中装希奥特能源科技有 </w:t>
      </w:r>
      <w:r>
        <w:rPr>
          <w:spacing w:val="-2"/>
        </w:rPr>
        <w:t>限公司（以下简称中装希奥特），注册资本</w:t>
      </w:r>
      <w:r>
        <w:rPr>
          <w:rFonts w:ascii="宋体" w:hAnsi="宋体" w:cs="宋体" w:eastAsia="宋体" w:hint="default"/>
          <w:spacing w:val="-2"/>
        </w:rPr>
        <w:t>1,000.00</w:t>
      </w:r>
      <w:r>
        <w:rPr>
          <w:spacing w:val="-2"/>
        </w:rPr>
        <w:t>万元。因此中装希奥特自</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日开始纳入合并范围。</w:t>
      </w:r>
    </w:p>
    <w:p>
      <w:pPr>
        <w:pStyle w:val="BodyText"/>
        <w:spacing w:line="432" w:lineRule="exact" w:before="3"/>
        <w:ind w:left="514" w:right="1032"/>
        <w:jc w:val="left"/>
      </w:pPr>
      <w:r>
        <w:rPr>
          <w:rFonts w:ascii="宋体" w:hAnsi="宋体" w:cs="宋体" w:eastAsia="宋体" w:hint="default"/>
        </w:rPr>
        <w:t>2</w:t>
      </w:r>
      <w:r>
        <w:rPr/>
        <w:t>、本期减少子公司的情况说明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日经第三届董事会第二次会议审议通过《关于注销全资子公司吉林省中装装饰工程有限公司的议案》</w:t>
      </w:r>
    </w:p>
    <w:p>
      <w:pPr>
        <w:pStyle w:val="BodyText"/>
        <w:spacing w:line="316" w:lineRule="auto" w:before="15"/>
        <w:ind w:right="1131"/>
        <w:jc w:val="both"/>
      </w:pPr>
      <w:r>
        <w:rPr>
          <w:spacing w:val="-2"/>
        </w:rPr>
        <w:t>和《关于注销控股子公司中装利丰建筑工程有限公司的议案》，同意注销吉林中装和中装利丰，并授权吉林中装和中装利丰</w:t>
      </w:r>
      <w:r>
        <w:rPr>
          <w:spacing w:val="-65"/>
        </w:rPr>
        <w:t> </w:t>
      </w:r>
      <w:r>
        <w:rPr>
          <w:spacing w:val="-65"/>
        </w:rPr>
      </w:r>
      <w:r>
        <w:rPr>
          <w:spacing w:val="-2"/>
        </w:rPr>
        <w:t>经营管理层负责办理清算、注销事宜，截至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日，吉林省中装装饰工程有限公司已经完成了清算并办理完成了工</w:t>
      </w:r>
      <w:r>
        <w:rPr>
          <w:spacing w:val="-58"/>
        </w:rPr>
        <w:t> </w:t>
      </w:r>
      <w:r>
        <w:rPr>
          <w:spacing w:val="-58"/>
        </w:rPr>
      </w:r>
      <w:r>
        <w:rPr/>
        <w:t>商、税务注销，仅银行注销手续在办理过程中。</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公司报告期内业务、产品或服务发生重大变化或调整有关情况" w:id="32"/>
      <w:bookmarkEnd w:id="32"/>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8）主要销售客户和主要供应商情况" w:id="33"/>
      <w:bookmarkEnd w:id="33"/>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363,176,105.71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78,480,340.64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75,524,446.44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72,136,667.87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71,603,142.28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65,431,508.48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363,176,105.71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w:t>
            </w:r>
          </w:p>
        </w:tc>
      </w:tr>
    </w:tbl>
    <w:p>
      <w:pPr>
        <w:pStyle w:val="BodyText"/>
        <w:spacing w:line="240" w:lineRule="auto" w:before="51"/>
        <w:ind w:right="1032"/>
        <w:jc w:val="left"/>
      </w:pPr>
      <w:r>
        <w:rPr/>
        <w:t>主要客户其他情况说明</w:t>
      </w:r>
    </w:p>
    <w:p>
      <w:pPr>
        <w:pStyle w:val="BodyText"/>
        <w:spacing w:line="338" w:lineRule="auto" w:before="117"/>
        <w:ind w:right="1032"/>
        <w:jc w:val="left"/>
      </w:pPr>
      <w:r>
        <w:rPr/>
        <w:t>√ 适用 □ 不适用 </w:t>
      </w:r>
      <w:r>
        <w:rPr>
          <w:spacing w:val="-2"/>
        </w:rPr>
        <w:t>公司前五名客户与公司不存在关联关系，公司董事、监事、高级管理人员、核心技术人员、持股</w:t>
      </w:r>
      <w:r>
        <w:rPr>
          <w:rFonts w:ascii="宋体" w:hAnsi="宋体" w:cs="宋体" w:eastAsia="宋体" w:hint="default"/>
          <w:spacing w:val="-2"/>
        </w:rPr>
        <w:t>5%</w:t>
      </w:r>
      <w:r>
        <w:rPr>
          <w:spacing w:val="-2"/>
        </w:rPr>
        <w:t>以上股东、实际控制人和</w:t>
      </w:r>
      <w:r>
        <w:rPr>
          <w:spacing w:val="-66"/>
        </w:rPr>
        <w:t> </w:t>
      </w:r>
      <w:r>
        <w:rPr>
          <w:spacing w:val="-66"/>
        </w:rPr>
      </w:r>
      <w:r>
        <w:rPr/>
        <w:t>其他关联方在主要客户中未直接或者间接拥有权益等。</w:t>
      </w:r>
    </w:p>
    <w:p>
      <w:pPr>
        <w:pStyle w:val="BodyText"/>
        <w:spacing w:line="240" w:lineRule="auto" w:before="43"/>
        <w:ind w:right="1032"/>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628,989,465.44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170,847,198.51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158,970,770.53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144,112,667.36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86,587,005.39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68,471,823.65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628,989,465.44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17.57%</w:t>
            </w:r>
          </w:p>
        </w:tc>
      </w:tr>
    </w:tbl>
    <w:p>
      <w:pPr>
        <w:pStyle w:val="BodyText"/>
        <w:spacing w:line="240" w:lineRule="auto" w:before="51"/>
        <w:ind w:right="1032"/>
        <w:jc w:val="left"/>
      </w:pPr>
      <w:r>
        <w:rPr/>
        <w:t>主要供应商其他情况说明</w:t>
      </w:r>
    </w:p>
    <w:p>
      <w:pPr>
        <w:pStyle w:val="BodyText"/>
        <w:spacing w:line="338" w:lineRule="auto" w:before="117"/>
        <w:ind w:right="1032"/>
        <w:jc w:val="left"/>
      </w:pPr>
      <w:r>
        <w:rPr/>
        <w:t>√ 适用 □ 不适用 </w:t>
      </w:r>
      <w:r>
        <w:rPr>
          <w:spacing w:val="-2"/>
        </w:rPr>
        <w:t>公司前五名供应商与公司不存在关联关系，公司董事、监事、高级管理人员、核心技术人员、持股</w:t>
      </w:r>
      <w:r>
        <w:rPr>
          <w:rFonts w:ascii="宋体" w:hAnsi="宋体" w:cs="宋体" w:eastAsia="宋体" w:hint="default"/>
          <w:spacing w:val="-2"/>
        </w:rPr>
        <w:t>5%</w:t>
      </w:r>
      <w:r>
        <w:rPr>
          <w:spacing w:val="-2"/>
        </w:rPr>
        <w:t>以上股东、实际控制人</w:t>
      </w:r>
      <w:r>
        <w:rPr>
          <w:spacing w:val="-65"/>
        </w:rPr>
        <w:t> </w:t>
      </w:r>
      <w:r>
        <w:rPr>
          <w:spacing w:val="-65"/>
        </w:rPr>
      </w:r>
      <w:r>
        <w:rPr/>
        <w:t>和其他关联方在主要客户中未直接或者间接拥有权益等。</w:t>
      </w:r>
    </w:p>
    <w:p>
      <w:pPr>
        <w:spacing w:line="240" w:lineRule="auto" w:before="4"/>
        <w:rPr>
          <w:rFonts w:ascii="宋体" w:hAnsi="宋体" w:cs="宋体" w:eastAsia="宋体" w:hint="default"/>
          <w:sz w:val="21"/>
          <w:szCs w:val="21"/>
        </w:rPr>
      </w:pPr>
    </w:p>
    <w:p>
      <w:pPr>
        <w:pStyle w:val="Heading3"/>
        <w:spacing w:line="240" w:lineRule="auto"/>
        <w:ind w:right="1032"/>
        <w:jc w:val="left"/>
        <w:rPr>
          <w:b w:val="0"/>
          <w:bCs w:val="0"/>
        </w:rPr>
      </w:pPr>
      <w:bookmarkStart w:name="3、费用" w:id="34"/>
      <w:bookmarkEnd w:id="34"/>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39,300,528.18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32,510,823.64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主要系工资薪酬支出增加所致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99,023,178.29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86,854,259.37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主要系无形资产摊销增加及租赁费 用支出所致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72,037,616.20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43,168,798.91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主要系短期借款增加，导致利息成</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本支出增加所致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11,952,402.67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9,802,472.02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主要系研发人员增加，导致研发成 本支出增加</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80,411,433.43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42,060,894.62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91.18%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主要系公司高新企业复审未通过所 致</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研发投入" w:id="35"/>
      <w:bookmarkEnd w:id="35"/>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032"/>
        <w:jc w:val="left"/>
      </w:pPr>
      <w:r>
        <w:rPr/>
        <w:t>√ 适用 □ 不适用 </w:t>
      </w:r>
      <w:r>
        <w:rPr>
          <w:rFonts w:ascii="宋体" w:hAnsi="宋体" w:cs="宋体" w:eastAsia="宋体" w:hint="default"/>
          <w:spacing w:val="-2"/>
        </w:rPr>
        <w:t>2018</w:t>
      </w:r>
      <w:r>
        <w:rPr>
          <w:spacing w:val="-2"/>
        </w:rPr>
        <w:t>年度公司研发支出总额为</w:t>
      </w:r>
      <w:r>
        <w:rPr>
          <w:rFonts w:ascii="宋体" w:hAnsi="宋体" w:cs="宋体" w:eastAsia="宋体" w:hint="default"/>
          <w:spacing w:val="-2"/>
        </w:rPr>
        <w:t>13,554.55</w:t>
      </w:r>
      <w:r>
        <w:rPr>
          <w:spacing w:val="-2"/>
        </w:rPr>
        <w:t>万元，占公司最近一期经审计的归属于母公司所有者净资产的</w:t>
      </w:r>
      <w:r>
        <w:rPr>
          <w:rFonts w:ascii="宋体" w:hAnsi="宋体" w:cs="宋体" w:eastAsia="宋体" w:hint="default"/>
          <w:spacing w:val="-2"/>
        </w:rPr>
        <w:t>6.24%</w:t>
      </w:r>
      <w:r>
        <w:rPr>
          <w:spacing w:val="-2"/>
        </w:rPr>
        <w:t>，占合并营业收</w:t>
      </w:r>
      <w:r>
        <w:rPr>
          <w:spacing w:val="-46"/>
        </w:rPr>
        <w:t> </w:t>
      </w:r>
      <w:r>
        <w:rPr>
          <w:spacing w:val="-46"/>
        </w:rPr>
      </w:r>
      <w:r>
        <w:rPr/>
        <w:t>入的</w:t>
      </w:r>
      <w:r>
        <w:rPr>
          <w:rFonts w:ascii="宋体" w:hAnsi="宋体" w:cs="宋体" w:eastAsia="宋体" w:hint="default"/>
        </w:rPr>
        <w:t>3.27%</w:t>
      </w:r>
      <w:r>
        <w:rPr/>
        <w:t>。</w:t>
      </w:r>
    </w:p>
    <w:p>
      <w:pPr>
        <w:pStyle w:val="BodyText"/>
        <w:spacing w:line="240" w:lineRule="auto" w:before="43"/>
        <w:ind w:right="1032"/>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135,545,510.38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120,131,170.00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9"/>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现金流" w:id="36"/>
      <w:bookmarkEnd w:id="36"/>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3,880,628,438.41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2,789,770,070.31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4,126,134,975.06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2,968,068,642.73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-245,506,536.65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-178,298,572.42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895,873,859.98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581,497,406.13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1,143,566,226.56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697,575,711.08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63.93%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-247,692,366.58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-116,078,304.95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-113.38%</w:t>
            </w:r>
            <w:r>
              <w:rPr>
                <w:rFonts w:ascii="Times New Roman"/>
                <w:spacing w:val="-1"/>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1,591,000,000.00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1,345,262,983.88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1,407,454,245.78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245,737,016.12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282,545,754.22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-247,449,122.39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-11,831,123.29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-1,991.51%</w:t>
            </w:r>
            <w:r>
              <w:rPr>
                <w:rFonts w:ascii="Times New Roman"/>
                <w:sz w:val="18"/>
              </w:rPr>
            </w:r>
          </w:p>
        </w:tc>
      </w:tr>
    </w:tbl>
    <w:p>
      <w:pPr>
        <w:pStyle w:val="BodyText"/>
        <w:spacing w:line="240" w:lineRule="auto" w:before="51"/>
        <w:ind w:right="1032"/>
        <w:jc w:val="left"/>
      </w:pPr>
      <w:r>
        <w:rPr/>
        <w:t>相关数据同比发生重大变动的主要影响因素说明</w:t>
      </w:r>
    </w:p>
    <w:p>
      <w:pPr>
        <w:pStyle w:val="BodyText"/>
        <w:spacing w:line="240" w:lineRule="auto" w:before="117"/>
        <w:ind w:right="1032"/>
        <w:jc w:val="left"/>
      </w:pPr>
      <w:r>
        <w:rPr/>
        <w:t>√ 适用 □ 不适用</w:t>
      </w:r>
    </w:p>
    <w:p>
      <w:pPr>
        <w:pStyle w:val="BodyText"/>
        <w:spacing w:line="240" w:lineRule="auto" w:before="115"/>
        <w:ind w:right="1032"/>
        <w:jc w:val="left"/>
      </w:pPr>
      <w:r>
        <w:rPr/>
        <w:t>（</w:t>
      </w:r>
      <w:r>
        <w:rPr>
          <w:rFonts w:ascii="宋体" w:hAnsi="宋体" w:cs="宋体" w:eastAsia="宋体" w:hint="default"/>
        </w:rPr>
        <w:t>1</w:t>
      </w:r>
      <w:r>
        <w:rPr/>
        <w:t>）经营活动产生的现金流量净额同比减少</w:t>
      </w:r>
      <w:r>
        <w:rPr>
          <w:rFonts w:ascii="宋体" w:hAnsi="宋体" w:cs="宋体" w:eastAsia="宋体" w:hint="default"/>
        </w:rPr>
        <w:t>37.69%</w:t>
      </w:r>
      <w:r>
        <w:rPr/>
        <w:t>，主要系员工增加及支付其他经营活动增加所致；</w:t>
      </w:r>
    </w:p>
    <w:p>
      <w:pPr>
        <w:pStyle w:val="BodyText"/>
        <w:spacing w:line="240" w:lineRule="auto" w:before="76"/>
        <w:ind w:right="1032"/>
        <w:jc w:val="left"/>
      </w:pPr>
      <w:r>
        <w:rPr/>
        <w:t>（</w:t>
      </w:r>
      <w:r>
        <w:rPr>
          <w:rFonts w:ascii="宋体" w:hAnsi="宋体" w:cs="宋体" w:eastAsia="宋体" w:hint="default"/>
        </w:rPr>
        <w:t>2</w:t>
      </w:r>
      <w:r>
        <w:rPr/>
        <w:t>）投资活动产生的现金流量净额同比减少</w:t>
      </w:r>
      <w:r>
        <w:rPr>
          <w:rFonts w:ascii="宋体" w:hAnsi="宋体" w:cs="宋体" w:eastAsia="宋体" w:hint="default"/>
        </w:rPr>
        <w:t>113.38%</w:t>
      </w:r>
      <w:r>
        <w:rPr/>
        <w:t>，主要系本期购置总部大厦土地使用权导致净流出增加所致；</w:t>
      </w:r>
    </w:p>
    <w:p>
      <w:pPr>
        <w:pStyle w:val="BodyText"/>
        <w:spacing w:line="240" w:lineRule="auto" w:before="76"/>
        <w:ind w:right="1032"/>
        <w:jc w:val="left"/>
      </w:pPr>
      <w:r>
        <w:rPr/>
        <w:t>（</w:t>
      </w:r>
      <w:r>
        <w:rPr>
          <w:rFonts w:ascii="宋体" w:hAnsi="宋体" w:cs="宋体" w:eastAsia="宋体" w:hint="default"/>
        </w:rPr>
        <w:t>3</w:t>
      </w:r>
      <w:r>
        <w:rPr/>
        <w:t>）筹资活动产生的现金流量净额同比减少</w:t>
      </w:r>
      <w:r>
        <w:rPr>
          <w:rFonts w:ascii="宋体" w:hAnsi="宋体" w:cs="宋体" w:eastAsia="宋体" w:hint="default"/>
        </w:rPr>
        <w:t>13.03%</w:t>
      </w:r>
      <w:r>
        <w:rPr/>
        <w:t>，主要系本期银行借款净减少所致；</w:t>
      </w:r>
    </w:p>
    <w:p>
      <w:pPr>
        <w:pStyle w:val="BodyText"/>
        <w:spacing w:line="316" w:lineRule="auto" w:before="76"/>
        <w:ind w:right="1122"/>
        <w:jc w:val="left"/>
      </w:pPr>
      <w:r>
        <w:rPr/>
        <w:t>（</w:t>
      </w:r>
      <w:r>
        <w:rPr>
          <w:rFonts w:ascii="宋体" w:hAnsi="宋体" w:cs="宋体" w:eastAsia="宋体" w:hint="default"/>
        </w:rPr>
        <w:t>4</w:t>
      </w:r>
      <w:r>
        <w:rPr/>
        <w:t>）现金及现金等价物净增加额同比减少</w:t>
      </w:r>
      <w:r>
        <w:rPr>
          <w:rFonts w:ascii="宋体" w:hAnsi="宋体" w:cs="宋体" w:eastAsia="宋体" w:hint="default"/>
        </w:rPr>
        <w:t>1991.51%</w:t>
      </w:r>
      <w:r>
        <w:rPr/>
        <w:t>，主要系因为受到经营活动、投资活动和筹资活动产生的现金流量净额 综合影响所致。</w:t>
      </w:r>
    </w:p>
    <w:p>
      <w:pPr>
        <w:pStyle w:val="BodyText"/>
        <w:spacing w:line="240" w:lineRule="auto" w:before="59"/>
        <w:ind w:right="1032"/>
        <w:jc w:val="left"/>
      </w:pPr>
      <w:r>
        <w:rPr/>
        <w:t>报告期内公司经营活动产生的现金净流量与本年度净利润存在重大差异的原因说明</w:t>
      </w:r>
    </w:p>
    <w:p>
      <w:pPr>
        <w:pStyle w:val="BodyText"/>
        <w:spacing w:line="240" w:lineRule="auto" w:before="117"/>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三、非主营业务分析" w:id="37"/>
      <w:bookmarkEnd w:id="37"/>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四、资产及负债状况分析" w:id="38"/>
      <w:bookmarkEnd w:id="38"/>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资产构成重大变动情况" w:id="39"/>
      <w:bookmarkEnd w:id="39"/>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1,086,445,70</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1,280,185,82</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2,789,106,94</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2.22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2,338,030,74</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5.71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189,239,181.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123,982,177.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主要系签约额增加，期末新开工项 目增加所致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63,040,274.8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50,377,882.1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153,550,996.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160,635,723.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12,853,407.1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761,233.92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主要系子公司惠州部品部件项目建 设投资增加所致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18"/>
                <w:szCs w:val="18"/>
              </w:rPr>
            </w:pPr>
            <w:r>
              <w:rPr>
                <w:rFonts w:ascii="Times New Roman"/>
                <w:sz w:val="18"/>
              </w:rPr>
              <w:t>1,310,000,00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970,000,000.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主要系公司业务量上升，资金需求</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增加，从而借款增加所致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29,200,384.5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15,820,065.6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主要系签约额增加，期末预付的材 料款增加所致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266,132,403.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73,835,524.8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主要系取得总部大厦土地使用权所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26,336,243.1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2,693,517.18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主要系装配式厂房项目建设投资增 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81,687,719.5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54,684,857.3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主要系公司业务量上升，导致预收 工程款和设计款增加所致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272,550,950.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186,122,163.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主要系应交增值税和应交企业所得 税增加所致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以公允价值计量的资产和负债" w:id="40"/>
      <w:bookmarkEnd w:id="40"/>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截至报告期末的资产权利受限情况" w:id="41"/>
      <w:bookmarkEnd w:id="41"/>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4"/>
          <w:szCs w:val="24"/>
        </w:rPr>
      </w:pPr>
    </w:p>
    <w:p>
      <w:pPr>
        <w:spacing w:before="0"/>
        <w:ind w:left="574" w:right="10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）明细情况</w:t>
      </w:r>
    </w:p>
    <w:p>
      <w:pPr>
        <w:spacing w:line="240" w:lineRule="auto" w:before="12"/>
        <w:rPr>
          <w:rFonts w:ascii="宋体" w:hAnsi="宋体" w:cs="宋体" w:eastAsia="宋体" w:hint="default"/>
          <w:sz w:val="15"/>
          <w:szCs w:val="15"/>
        </w:rPr>
      </w:pPr>
    </w:p>
    <w:tbl>
      <w:tblPr>
        <w:tblW w:w="0" w:type="auto"/>
        <w:jc w:val="left"/>
        <w:tblInd w:w="153" w:type="dxa"/>
        <w:tblLayout w:type="fixed"/>
        <w:tblCellMar>
          <w:top w:w="0" w:type="dxa"/>
          <w:left w:w="0" w:type="dxa"/>
          <w:bottom w:w="0" w:type="dxa"/>
          <w:right w:w="0" w:type="dxa"/>
        </w:tblCellMar>
        <w:tblLook w:val="01E0"/>
      </w:tblPr>
      <w:tblGrid>
        <w:gridCol w:w="2292"/>
        <w:gridCol w:w="2644"/>
        <w:gridCol w:w="3587"/>
      </w:tblGrid>
      <w:tr>
        <w:trPr>
          <w:trHeight w:val="347" w:hRule="exact"/>
        </w:trPr>
        <w:tc>
          <w:tcPr>
            <w:tcW w:w="22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8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874"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58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7"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7" w:hRule="exact"/>
        </w:trPr>
        <w:tc>
          <w:tcPr>
            <w:tcW w:w="22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4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79,523,769.70</w:t>
            </w:r>
          </w:p>
        </w:tc>
        <w:tc>
          <w:tcPr>
            <w:tcW w:w="3587"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9"/>
              <w:jc w:val="right"/>
              <w:rPr>
                <w:rFonts w:ascii="宋体" w:hAnsi="宋体" w:cs="宋体" w:eastAsia="宋体" w:hint="default"/>
                <w:sz w:val="21"/>
                <w:szCs w:val="21"/>
              </w:rPr>
            </w:pPr>
            <w:r>
              <w:rPr>
                <w:rFonts w:ascii="宋体" w:hAnsi="宋体" w:cs="宋体" w:eastAsia="宋体" w:hint="default"/>
                <w:sz w:val="21"/>
                <w:szCs w:val="21"/>
              </w:rPr>
              <w:t>保证金及因诉讼而被冻结的银行存款</w:t>
            </w:r>
          </w:p>
        </w:tc>
      </w:tr>
      <w:tr>
        <w:trPr>
          <w:trHeight w:val="348" w:hRule="exact"/>
        </w:trPr>
        <w:tc>
          <w:tcPr>
            <w:tcW w:w="22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4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12,079,376.60</w:t>
            </w:r>
          </w:p>
        </w:tc>
        <w:tc>
          <w:tcPr>
            <w:tcW w:w="3587"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9"/>
              <w:jc w:val="right"/>
              <w:rPr>
                <w:rFonts w:ascii="宋体" w:hAnsi="宋体" w:cs="宋体" w:eastAsia="宋体" w:hint="default"/>
                <w:sz w:val="21"/>
                <w:szCs w:val="21"/>
              </w:rPr>
            </w:pPr>
            <w:r>
              <w:rPr>
                <w:rFonts w:ascii="宋体" w:hAnsi="宋体" w:cs="宋体" w:eastAsia="宋体" w:hint="default"/>
                <w:sz w:val="21"/>
                <w:szCs w:val="21"/>
              </w:rPr>
              <w:t>已背书未终止确认的商业承兑汇票</w:t>
            </w:r>
          </w:p>
        </w:tc>
      </w:tr>
      <w:tr>
        <w:trPr>
          <w:trHeight w:val="270" w:hRule="exact"/>
        </w:trPr>
        <w:tc>
          <w:tcPr>
            <w:tcW w:w="2292" w:type="dxa"/>
            <w:tcBorders>
              <w:top w:val="single" w:sz="6" w:space="0" w:color="000000"/>
              <w:left w:val="nil" w:sz="6" w:space="0" w:color="auto"/>
              <w:bottom w:val="single" w:sz="4"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4" w:type="dxa"/>
            <w:tcBorders>
              <w:top w:val="single" w:sz="6" w:space="0" w:color="000000"/>
              <w:left w:val="nil" w:sz="6" w:space="0" w:color="auto"/>
              <w:bottom w:val="single" w:sz="4"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91,603,146.3</w:t>
            </w:r>
          </w:p>
        </w:tc>
        <w:tc>
          <w:tcPr>
            <w:tcW w:w="3587" w:type="dxa"/>
            <w:tcBorders>
              <w:top w:val="single" w:sz="6" w:space="0" w:color="000000"/>
              <w:left w:val="nil" w:sz="6" w:space="0" w:color="auto"/>
              <w:bottom w:val="nil" w:sz="6" w:space="0" w:color="auto"/>
              <w:right w:val="nil" w:sz="6" w:space="0" w:color="auto"/>
            </w:tcBorders>
          </w:tcPr>
          <w:p>
            <w:pPr/>
          </w:p>
        </w:tc>
      </w:tr>
    </w:tbl>
    <w:p>
      <w:pPr>
        <w:spacing w:line="273" w:lineRule="auto" w:before="50"/>
        <w:ind w:left="154" w:right="103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）期末，所有权受到限制的货币资金主要系因开具保函与银行承兑汇票而支付的保证金及因诉讼 而被冻结的银行存款，应收票据主要系已背书未终止确认的商业承兑汇票。</w:t>
      </w:r>
    </w:p>
    <w:p>
      <w:pPr>
        <w:spacing w:line="240" w:lineRule="auto" w:before="11"/>
        <w:rPr>
          <w:rFonts w:ascii="宋体" w:hAnsi="宋体" w:cs="宋体" w:eastAsia="宋体" w:hint="default"/>
          <w:sz w:val="21"/>
          <w:szCs w:val="21"/>
        </w:rPr>
      </w:pPr>
    </w:p>
    <w:p>
      <w:pPr>
        <w:spacing w:before="0"/>
        <w:ind w:left="154" w:right="1032" w:firstLine="0"/>
        <w:jc w:val="left"/>
        <w:rPr>
          <w:rFonts w:ascii="宋体" w:hAnsi="宋体" w:cs="宋体" w:eastAsia="宋体" w:hint="default"/>
          <w:sz w:val="24"/>
          <w:szCs w:val="24"/>
        </w:rPr>
      </w:pPr>
      <w:bookmarkStart w:name="五、投资状况分析" w:id="42"/>
      <w:bookmarkEnd w:id="42"/>
      <w:r>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总体情况" w:id="43"/>
      <w:bookmarkEnd w:id="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103,889,998.48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-85.56%</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单位：元</w:t>
      </w:r>
    </w:p>
    <w:p>
      <w:pPr>
        <w:spacing w:after="0" w:line="240" w:lineRule="auto"/>
        <w:jc w:val="right"/>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1" w:right="14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0" w:right="13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6" w:right="125"/>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6" w:right="12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122"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2" w:right="12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3" w:right="12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62" w:right="158"/>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9" w:right="15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59" w:right="158"/>
              <w:jc w:val="left"/>
              <w:rPr>
                <w:rFonts w:ascii="宋体" w:hAnsi="宋体" w:cs="宋体" w:eastAsia="宋体" w:hint="default"/>
                <w:sz w:val="18"/>
                <w:szCs w:val="18"/>
              </w:rPr>
            </w:pPr>
            <w:r>
              <w:rPr>
                <w:rFonts w:ascii="宋体" w:hAnsi="宋体" w:cs="宋体" w:eastAsia="宋体" w:hint="default"/>
                <w:sz w:val="18"/>
                <w:szCs w:val="18"/>
              </w:rPr>
              <w:t>（如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8" w:right="149"/>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48" w:right="149"/>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28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79"/>
              <w:jc w:val="both"/>
              <w:rPr>
                <w:rFonts w:ascii="宋体" w:hAnsi="宋体" w:cs="宋体" w:eastAsia="宋体" w:hint="default"/>
                <w:sz w:val="18"/>
                <w:szCs w:val="18"/>
              </w:rPr>
            </w:pPr>
            <w:r>
              <w:rPr>
                <w:rFonts w:ascii="宋体" w:hAnsi="宋体" w:cs="宋体" w:eastAsia="宋体" w:hint="default"/>
                <w:sz w:val="18"/>
                <w:szCs w:val="18"/>
              </w:rPr>
              <w:t>深圳 南亿 科技 股份 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176"/>
              <w:jc w:val="left"/>
              <w:rPr>
                <w:rFonts w:ascii="宋体" w:hAnsi="宋体" w:cs="宋体" w:eastAsia="宋体" w:hint="default"/>
                <w:sz w:val="18"/>
                <w:szCs w:val="18"/>
              </w:rPr>
            </w:pPr>
            <w:r>
              <w:rPr>
                <w:rFonts w:ascii="宋体" w:hAnsi="宋体" w:cs="宋体" w:eastAsia="宋体" w:hint="default"/>
                <w:sz w:val="18"/>
                <w:szCs w:val="18"/>
              </w:rPr>
              <w:t>智能 家居</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44"/>
              <w:jc w:val="center"/>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148"/>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43"/>
              <w:jc w:val="both"/>
              <w:rPr>
                <w:rFonts w:ascii="宋体" w:hAnsi="宋体" w:cs="宋体" w:eastAsia="宋体" w:hint="default"/>
                <w:sz w:val="18"/>
                <w:szCs w:val="18"/>
              </w:rPr>
            </w:pPr>
            <w:r>
              <w:rPr>
                <w:rFonts w:ascii="宋体" w:hAnsi="宋体" w:cs="宋体" w:eastAsia="宋体" w:hint="default"/>
                <w:sz w:val="18"/>
                <w:szCs w:val="18"/>
              </w:rPr>
              <w:t>深圳 南亿 科技 股份 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143"/>
              <w:jc w:val="both"/>
              <w:rPr>
                <w:rFonts w:ascii="宋体" w:hAnsi="宋体" w:cs="宋体" w:eastAsia="宋体" w:hint="default"/>
                <w:sz w:val="18"/>
                <w:szCs w:val="18"/>
              </w:rPr>
            </w:pPr>
            <w:r>
              <w:rPr>
                <w:rFonts w:ascii="宋体" w:hAnsi="宋体" w:cs="宋体" w:eastAsia="宋体" w:hint="default"/>
                <w:sz w:val="18"/>
                <w:szCs w:val="18"/>
              </w:rPr>
              <w:t>股份 有限 公司</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116"/>
              <w:jc w:val="left"/>
              <w:rPr>
                <w:rFonts w:ascii="宋体" w:hAnsi="宋体" w:cs="宋体" w:eastAsia="宋体" w:hint="default"/>
                <w:sz w:val="18"/>
                <w:szCs w:val="18"/>
              </w:rPr>
            </w:pPr>
            <w:r>
              <w:rPr>
                <w:rFonts w:ascii="宋体" w:hAnsi="宋体" w:cs="宋体" w:eastAsia="宋体" w:hint="default"/>
                <w:sz w:val="18"/>
                <w:szCs w:val="18"/>
              </w:rPr>
              <w:t>已设 立</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595.8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3"/>
              <w:jc w:val="both"/>
              <w:rPr>
                <w:rFonts w:ascii="宋体" w:hAnsi="宋体" w:cs="宋体" w:eastAsia="宋体" w:hint="default"/>
                <w:sz w:val="18"/>
                <w:szCs w:val="18"/>
              </w:rPr>
            </w:pPr>
            <w:r>
              <w:rPr>
                <w:rFonts w:ascii="宋体" w:hAnsi="宋体" w:cs="宋体" w:eastAsia="宋体" w:hint="default"/>
                <w:sz w:val="18"/>
                <w:szCs w:val="18"/>
              </w:rPr>
              <w:t>详见 巨潮 咨询 网上 公告</w:t>
            </w:r>
          </w:p>
          <w:p>
            <w:pPr>
              <w:pStyle w:val="TableParagraph"/>
              <w:spacing w:line="338" w:lineRule="auto" w:before="19"/>
              <w:ind w:left="103"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（公 告号： </w:t>
            </w:r>
            <w:r>
              <w:rPr>
                <w:rFonts w:ascii="Times New Roman" w:hAnsi="Times New Roman" w:cs="Times New Roman" w:eastAsia="Times New Roman" w:hint="default"/>
                <w:sz w:val="18"/>
                <w:szCs w:val="18"/>
              </w:rPr>
              <w:t>2018-</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w:t>
            </w:r>
            <w:r>
              <w:rPr>
                <w:rFonts w:ascii="宋体" w:hAnsi="宋体" w:cs="宋体" w:eastAsia="宋体" w:hint="default"/>
                <w:sz w:val="18"/>
                <w:szCs w:val="18"/>
              </w:rPr>
              <w:t>）</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595.8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公司报告期无募集资金使用情况。</w:t>
      </w:r>
    </w:p>
    <w:p>
      <w:pPr>
        <w:spacing w:line="240" w:lineRule="auto" w:before="13"/>
        <w:rPr>
          <w:rFonts w:ascii="宋体" w:hAnsi="宋体" w:cs="宋体" w:eastAsia="宋体" w:hint="default"/>
          <w:sz w:val="19"/>
          <w:szCs w:val="19"/>
        </w:rPr>
      </w:pPr>
    </w:p>
    <w:p>
      <w:pPr>
        <w:pStyle w:val="Heading3"/>
        <w:spacing w:line="240" w:lineRule="auto"/>
        <w:ind w:right="1032"/>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公开发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67,603.2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7,320.88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39,163.2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29,972.0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尚未使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4419"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35"/>
              <w:jc w:val="left"/>
              <w:rPr>
                <w:rFonts w:ascii="宋体" w:hAnsi="宋体" w:cs="宋体" w:eastAsia="宋体" w:hint="default"/>
                <w:sz w:val="18"/>
                <w:szCs w:val="18"/>
              </w:rPr>
            </w:pPr>
            <w:r>
              <w:rPr>
                <w:rFonts w:ascii="宋体" w:hAnsi="宋体" w:cs="宋体" w:eastAsia="宋体" w:hint="default"/>
                <w:sz w:val="18"/>
                <w:szCs w:val="18"/>
              </w:rPr>
              <w:t>用的募 集资金 将进行 部分终 止或变 更项目 投资计 </w:t>
            </w:r>
            <w:r>
              <w:rPr>
                <w:rFonts w:ascii="宋体" w:hAnsi="宋体" w:cs="宋体" w:eastAsia="宋体" w:hint="default"/>
                <w:spacing w:val="-17"/>
                <w:sz w:val="18"/>
                <w:szCs w:val="18"/>
              </w:rPr>
              <w:t>划，募集</w:t>
            </w:r>
            <w:r>
              <w:rPr>
                <w:rFonts w:ascii="宋体" w:hAnsi="宋体" w:cs="宋体" w:eastAsia="宋体" w:hint="default"/>
                <w:sz w:val="18"/>
                <w:szCs w:val="18"/>
              </w:rPr>
              <w:t> 资金按 照募集 资金三 方监管 协议专 户存储。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67,603.2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7,320.88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39,163.2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29,972.0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firstLine="27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2351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号”文核准，深圳市中装建设集团股</w:t>
            </w:r>
            <w:r>
              <w:rPr>
                <w:rFonts w:ascii="宋体" w:hAnsi="宋体" w:cs="宋体" w:eastAsia="宋体" w:hint="default"/>
                <w:sz w:val="18"/>
                <w:szCs w:val="18"/>
              </w:rPr>
              <w:t> </w:t>
            </w:r>
            <w:r>
              <w:rPr>
                <w:rFonts w:ascii="宋体" w:hAnsi="宋体" w:cs="宋体" w:eastAsia="宋体" w:hint="default"/>
                <w:spacing w:val="-5"/>
                <w:w w:val="99"/>
                <w:sz w:val="18"/>
                <w:szCs w:val="18"/>
              </w:rPr>
              <w:t>份有限公司（以下简称“公司”）获准公开发行人民币普通股（</w:t>
            </w:r>
            <w:r>
              <w:rPr>
                <w:rFonts w:ascii="Times New Roman" w:hAnsi="Times New Roman" w:cs="Times New Roman" w:eastAsia="Times New Roman" w:hint="default"/>
                <w:spacing w:val="-5"/>
                <w:w w:val="99"/>
                <w:sz w:val="18"/>
                <w:szCs w:val="18"/>
              </w:rPr>
              <w:t>A</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7,500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万股，每股面值人民币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元，每股发行价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募集资金总额为人民币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767,250,000.00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91,218,015.99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元，实际募集资金净额</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676,031,984.01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元。上述募集资金到位情况业经天职国际会计师事务所（特殊普通合伙）审验，并出具了天职</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业字</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16751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累计使用募集资金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39,163.24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募集资金账户余额为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29,972.02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4"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部品部件工厂化生 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29,730.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29,730.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9,439.5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31.75%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营销中心建设项目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9,608.9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9,608.9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2,186.3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设计研发中心建设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8,012.1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8,012.1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4,698.3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58.64%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信息化系统建设项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471.85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975.88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18,000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18,007.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67,634.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67,634.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7,320.8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67,634.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67,634.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7,320.8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55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、营销中心建设项目：营销中心建设项目募集资金用于在广州、北京、上海、西安、成都、长春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建立华南、华北、华东、西北、西南及东北六个营销中心，以构建更加完善的营销网络。目前， 华南、华北、华东三个营销中心已基本建成。由于本项目从论证至今历时较长，西安、成都、长 春的写字楼成交价格持续大幅上涨，公司已难以在西安、成都、长春商业区找到符合募投项目要 求和公司运营需求的写字楼；同时，公司自有资金建设的陕西分公司、重庆分公司、沈阳分公司 通过近几年的发展，已基本满足公司西北、西南及东北营销中心的业务需求。营销中心建设项目 自实施以来，公司每年大、中型的项目签约数量不断提升，营业收入的持续增长。</w:t>
            </w:r>
          </w:p>
          <w:p>
            <w:pPr>
              <w:pStyle w:val="TableParagraph"/>
              <w:spacing w:line="312" w:lineRule="auto" w:before="60"/>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、设计研发中心建设项目：设计研发中心建设项目募集资金主要用于构建设计中心、研发中心和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支持管理中心三个功能部门。公司已完成该项目场地投入的投资内容，但基于募集资金使用的谨 慎性原则，该项目实际投资金额较计划投入金额有所节余。此外，由于可行性研究报告系基于当 时需求所编制，硬件设备、软件设备、对外合作等投资内容与公司现有需求有所差异。</w:t>
            </w:r>
          </w:p>
          <w:p>
            <w:pPr>
              <w:pStyle w:val="TableParagraph"/>
              <w:spacing w:line="309" w:lineRule="auto" w:before="61"/>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、信息化系统建设项目：信息化系统建设项目拟通过硬件基础设施建设和应用管理系统建设，打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造涵盖项目管理、采购管理、投标管理、系统办公平台、工程现场管理、设计管理、财务管理、 远程监控和视频会议的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大管理系统。公司本着募集资金效益最大化的原则，谨慎推进信息化系 统建设项目建设，但由于信息化系统定制化程度较高，部分功能开发时间较长，各职能部门对信 息化系统的需求有所变化。</w:t>
            </w: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、营销中心建设项目：由于本项目从论证至今历时较长，西安、成都、长春的写字楼成交价格持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续大幅上涨，公司已难以在西安、成都、长春商业区找到符合募投项目要求和公司运营需求的写 字楼；同时，公司自有资金建设的陕西分公司、重庆分公司、沈阳分公司通过近几年的发展，已 基本满足公司西北、西南及东北营销中心的业务需求。现有的区域营销网络已基本满足目前业务 发展的需要，因此为提高资金使用效率，公司计划终止该项目，并将该项目剩余的募集资金（含 累计利息和购买理财产品收益，实际金额以资金转出当日余额为准）永久补充流动资金。</w:t>
            </w:r>
          </w:p>
        </w:tc>
      </w:tr>
    </w:tbl>
    <w:p>
      <w:pPr>
        <w:spacing w:after="0" w:line="314" w:lineRule="auto"/>
        <w:jc w:val="both"/>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8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、设计研发中心建设项目：设计研发中心建设项目已完成场地投入和基本软硬件的投资内容，已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基本满足公司使用需求。基于募集资金使用的谨慎性原则，该项目实际投资金额较计划投入金额 有所节余。为提高资金使用效率，公司计划终止该项目，并将该项目剩余的募集资金（含累计利 息和购买理财产品收益，实际金额以资金转出当日余额为准）永久补充流动资金，用于偿还</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2019</w:t>
            </w:r>
          </w:p>
          <w:p>
            <w:pPr>
              <w:pStyle w:val="TableParagraph"/>
              <w:spacing w:line="316" w:lineRule="auto" w:before="4"/>
              <w:ind w:left="103" w:right="1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日到期的交通银行的短期借款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万元，不足部分以公司自有资金偿还。 </w:t>
            </w:r>
            <w:r>
              <w:rPr>
                <w:rFonts w:ascii="Times New Roman" w:hAnsi="Times New Roman" w:cs="Times New Roman" w:eastAsia="Times New Roman" w:hint="default"/>
                <w:sz w:val="18"/>
                <w:szCs w:val="18"/>
              </w:rPr>
              <w:t>3</w:t>
            </w:r>
            <w:r>
              <w:rPr>
                <w:rFonts w:ascii="宋体" w:hAnsi="宋体" w:cs="宋体" w:eastAsia="宋体" w:hint="default"/>
                <w:sz w:val="18"/>
                <w:szCs w:val="18"/>
              </w:rPr>
              <w:t>、信息化系统建设项目：信息化系统建设项目已完成若干系统的开发和上线，但由于信息化系统 定制化程度较高，部分功能开发时间较长，各职能部门对信息化系统的需求有所变化，同时由于 </w:t>
            </w:r>
            <w:r>
              <w:rPr>
                <w:rFonts w:ascii="宋体" w:hAnsi="宋体" w:cs="宋体" w:eastAsia="宋体" w:hint="default"/>
                <w:spacing w:val="-2"/>
                <w:sz w:val="18"/>
                <w:szCs w:val="18"/>
              </w:rPr>
              <w:t>信息化技术迭代快速，按原投资计划投入，将导致公司信息系统建设规模与业务发展规模不匹配。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因此，公司结合客观需求，计划将本项目的投资规模调整至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成，本项目剩余募集资金（含累计利息和购买理财产品收益，实际金额以资金转出当日余额为准）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永久补充流动资金。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日第二届董事会第十一次会议审议通过《关于以募集资金置换先期投入的议案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全体董事一致同意公司以募集资金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9,472.96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万元置换预先已投入募集资金投资项目的自筹资金。</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日止，上述预先投入募集资金投资项目的自筹资金已置换完成。</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3"/>
              <w:jc w:val="left"/>
              <w:rPr>
                <w:rFonts w:ascii="宋体" w:hAnsi="宋体" w:cs="宋体" w:eastAsia="宋体" w:hint="default"/>
                <w:sz w:val="18"/>
                <w:szCs w:val="18"/>
              </w:rPr>
            </w:pPr>
            <w:r>
              <w:rPr>
                <w:rFonts w:ascii="宋体" w:hAnsi="宋体" w:cs="宋体" w:eastAsia="宋体" w:hint="default"/>
                <w:sz w:val="18"/>
                <w:szCs w:val="18"/>
              </w:rPr>
              <w:t>尚未使用的募集资金将进行部分终止或变更项目投资计划，募集资金按照募集资金三方监管协议 专户存储。</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after="0" w:line="357" w:lineRule="auto"/>
        <w:jc w:val="left"/>
        <w:sectPr>
          <w:pgSz w:w="11910" w:h="16840"/>
          <w:pgMar w:header="91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1032"/>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pStyle w:val="BodyText"/>
        <w:spacing w:line="240" w:lineRule="auto" w:before="116"/>
        <w:ind w:right="1032"/>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spacing w:line="326" w:lineRule="auto" w:before="0"/>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（一）公司发展战略及经营计划</w:t>
      </w:r>
      <w:r>
        <w:rPr>
          <w:rFonts w:ascii="宋体" w:hAnsi="宋体" w:cs="宋体" w:eastAsia="宋体" w:hint="default"/>
          <w:b/>
          <w:bCs/>
          <w:w w:val="99"/>
          <w:sz w:val="18"/>
          <w:szCs w:val="18"/>
        </w:rPr>
        <w:t> </w:t>
      </w:r>
      <w:r>
        <w:rPr>
          <w:rFonts w:ascii="宋体" w:hAnsi="宋体" w:cs="宋体" w:eastAsia="宋体" w:hint="default"/>
          <w:spacing w:val="-2"/>
          <w:sz w:val="18"/>
          <w:szCs w:val="18"/>
        </w:rPr>
        <w:t>面对不断变化的市场形势，公司将在</w:t>
      </w:r>
      <w:r>
        <w:rPr>
          <w:rFonts w:ascii="宋体" w:hAnsi="宋体" w:cs="宋体" w:eastAsia="宋体" w:hint="default"/>
          <w:spacing w:val="-2"/>
          <w:sz w:val="18"/>
          <w:szCs w:val="18"/>
        </w:rPr>
        <w:t>2019</w:t>
      </w:r>
      <w:r>
        <w:rPr>
          <w:rFonts w:ascii="宋体" w:hAnsi="宋体" w:cs="宋体" w:eastAsia="宋体" w:hint="default"/>
          <w:spacing w:val="-2"/>
          <w:sz w:val="18"/>
          <w:szCs w:val="18"/>
        </w:rPr>
        <w:t>年，继续致力于企业的战略转型，以建筑装饰设计和施工为主业，向行业上下</w:t>
      </w:r>
    </w:p>
    <w:p>
      <w:pPr>
        <w:pStyle w:val="BodyText"/>
        <w:spacing w:line="316" w:lineRule="auto" w:before="11"/>
        <w:ind w:right="1032"/>
        <w:jc w:val="left"/>
      </w:pPr>
      <w:r>
        <w:rPr>
          <w:spacing w:val="-2"/>
        </w:rPr>
        <w:t>游整合，完善产业链条的各业务资质，逐步从专业的工程承包商，向城乡建设综合服务商转型。公司在</w:t>
      </w:r>
      <w:r>
        <w:rPr>
          <w:rFonts w:ascii="宋体" w:hAnsi="宋体" w:cs="宋体" w:eastAsia="宋体" w:hint="default"/>
          <w:spacing w:val="-2"/>
        </w:rPr>
        <w:t>2019</w:t>
      </w:r>
      <w:r>
        <w:rPr>
          <w:spacing w:val="-2"/>
        </w:rPr>
        <w:t>年的经营计划如</w:t>
      </w:r>
      <w:r>
        <w:rPr>
          <w:spacing w:val="-62"/>
        </w:rPr>
        <w:t> </w:t>
      </w:r>
      <w:r>
        <w:rPr/>
        <w:t>下：</w:t>
      </w:r>
    </w:p>
    <w:p>
      <w:pPr>
        <w:pStyle w:val="BodyText"/>
        <w:spacing w:line="316" w:lineRule="auto" w:before="26"/>
        <w:ind w:right="1132" w:firstLine="360"/>
        <w:jc w:val="both"/>
      </w:pPr>
      <w:r>
        <w:rPr>
          <w:spacing w:val="-2"/>
        </w:rPr>
        <w:t>首先，公司以绿色建筑、环保节能为指导思想，以“大客户、大项目”为导向，以发展构建以室内外装饰、幕墙设计与</w:t>
      </w:r>
      <w:r>
        <w:rPr/>
        <w:t> 施工为主，进一步夯实传统业务。</w:t>
      </w:r>
    </w:p>
    <w:p>
      <w:pPr>
        <w:pStyle w:val="BodyText"/>
        <w:spacing w:line="316" w:lineRule="auto" w:before="26"/>
        <w:ind w:right="1131" w:firstLine="360"/>
        <w:jc w:val="both"/>
      </w:pPr>
      <w:r>
        <w:rPr>
          <w:spacing w:val="-2"/>
        </w:rPr>
        <w:t>第二，加大科技研发投入，打造科技装饰第一股。计划建立院士工作站，并申请国家技术中心，为建筑装饰业务植入新</w:t>
      </w:r>
      <w:r>
        <w:rPr/>
        <w:t> </w:t>
      </w:r>
      <w:r>
        <w:rPr>
          <w:spacing w:val="-2"/>
        </w:rPr>
        <w:t>技术、新材料、新工艺。同时，利用科技力量在粤港澳大湾区试点推广既有房屋维修保养项目，在实现存量市场的城市微更</w:t>
      </w:r>
      <w:r>
        <w:rPr>
          <w:spacing w:val="-65"/>
        </w:rPr>
        <w:t> </w:t>
      </w:r>
      <w:r>
        <w:rPr>
          <w:spacing w:val="-65"/>
        </w:rPr>
      </w:r>
      <w:r>
        <w:rPr/>
        <w:t>新的同时，逐步建立健全大湾区既有建筑物大数据，实现建筑物全生命周期管理和服务。</w:t>
      </w:r>
    </w:p>
    <w:p>
      <w:pPr>
        <w:pStyle w:val="BodyText"/>
        <w:spacing w:line="316" w:lineRule="auto" w:before="25"/>
        <w:ind w:right="1049" w:firstLine="360"/>
        <w:jc w:val="both"/>
      </w:pPr>
      <w:r>
        <w:rPr>
          <w:spacing w:val="-2"/>
        </w:rPr>
        <w:t>第三，利用平台优势，积极展开行业上下游并购整合，完善规划设计、建筑设计、房建总包、市政总包等业务资质，同</w:t>
      </w:r>
      <w:r>
        <w:rPr/>
        <w:t> 时积极寻求符合国家发展战略、满足人居生活需求的新型材料项目，为未来发展知名的城乡建设综合服务提供商奠定基础。</w:t>
      </w:r>
    </w:p>
    <w:p>
      <w:pPr>
        <w:pStyle w:val="BodyText"/>
        <w:spacing w:line="316" w:lineRule="auto" w:before="26"/>
        <w:ind w:right="1130" w:firstLine="360"/>
        <w:jc w:val="both"/>
      </w:pPr>
      <w:r>
        <w:rPr/>
        <w:t>第四，通过大力引进业内人才，探索平台加合伙模式，积极探索、推进</w:t>
      </w:r>
      <w:r>
        <w:rPr>
          <w:rFonts w:ascii="宋体" w:hAnsi="宋体" w:cs="宋体" w:eastAsia="宋体" w:hint="default"/>
        </w:rPr>
        <w:t>EPC</w:t>
      </w:r>
      <w:r>
        <w:rPr/>
        <w:t>业务、以投带建业务、新能源业务以及海外 业务，在“大市场”中寻求优质项目落地，为公司未来持续发展提供巨大的业务空间。</w:t>
      </w:r>
    </w:p>
    <w:p>
      <w:pPr>
        <w:pStyle w:val="BodyText"/>
        <w:spacing w:line="316" w:lineRule="auto" w:before="26"/>
        <w:ind w:right="1133" w:firstLine="360"/>
        <w:jc w:val="both"/>
      </w:pPr>
      <w:r>
        <w:rPr>
          <w:spacing w:val="-2"/>
        </w:rPr>
        <w:t>第五，进一步完善内控管理制度，致力于提高项目履约能力，致力于提高项目盈利水平，致力于优化项目资金管理，以</w:t>
      </w:r>
      <w:r>
        <w:rPr/>
        <w:t> 此提高公司精细化管理水平，提高项目品质。</w:t>
      </w:r>
    </w:p>
    <w:p>
      <w:pPr>
        <w:pStyle w:val="BodyText"/>
        <w:spacing w:line="316" w:lineRule="auto" w:before="26"/>
        <w:ind w:right="1133" w:firstLine="360"/>
        <w:jc w:val="both"/>
      </w:pPr>
      <w:r>
        <w:rPr>
          <w:spacing w:val="-2"/>
        </w:rPr>
        <w:t>第六，加强高层管理水平，通过具有竞争力的薪酬待遇及激励计划吸纳优秀的高级管理人才，在海内外聘请具有丰富施</w:t>
      </w:r>
      <w:r>
        <w:rPr/>
        <w:t> 工经验的项目经理和国际一流装饰设计人才，打造强大的管理团队、设计团队。</w:t>
      </w:r>
    </w:p>
    <w:p>
      <w:pPr>
        <w:pStyle w:val="BodyText"/>
        <w:spacing w:line="319" w:lineRule="auto" w:before="26"/>
        <w:ind w:right="1133" w:firstLine="360"/>
        <w:jc w:val="both"/>
      </w:pPr>
      <w:r>
        <w:rPr>
          <w:spacing w:val="-2"/>
        </w:rPr>
        <w:t>第七，坚持科技创新路线，在惠州工业园区进行部品部件基地建设，进行智慧装配式基地建设，同时建立新材料、新工</w:t>
      </w:r>
      <w:r>
        <w:rPr/>
        <w:t> 艺的国家级技术中心，不断提高公司甚至整个行业的新材料研发、建筑施工工艺方面的技术水平和科技含量。</w:t>
      </w:r>
    </w:p>
    <w:p>
      <w:pPr>
        <w:pStyle w:val="Heading4"/>
        <w:spacing w:line="324" w:lineRule="auto" w:before="24"/>
        <w:ind w:left="514" w:right="7861" w:firstLine="1"/>
        <w:jc w:val="left"/>
        <w:rPr>
          <w:b w:val="0"/>
          <w:bCs w:val="0"/>
        </w:rPr>
      </w:pPr>
      <w:r>
        <w:rPr/>
        <w:t>（二）未来发展面临的主要风险</w:t>
      </w:r>
      <w:r>
        <w:rPr>
          <w:w w:val="99"/>
        </w:rPr>
        <w:t> </w:t>
      </w:r>
      <w:r>
        <w:rPr>
          <w:rFonts w:ascii="宋体" w:hAnsi="宋体" w:cs="宋体" w:eastAsia="宋体" w:hint="default"/>
        </w:rPr>
        <w:t>1</w:t>
      </w:r>
      <w:r>
        <w:rPr/>
        <w:t>、宏观经济波动的风险</w:t>
      </w:r>
      <w:r>
        <w:rPr>
          <w:b w:val="0"/>
          <w:bCs w:val="0"/>
        </w:rPr>
      </w:r>
    </w:p>
    <w:p>
      <w:pPr>
        <w:pStyle w:val="BodyText"/>
        <w:spacing w:line="240" w:lineRule="auto" w:before="20"/>
        <w:ind w:left="514" w:right="0"/>
        <w:jc w:val="left"/>
      </w:pPr>
      <w:r>
        <w:rPr/>
        <w:t>公司所处的行业为建筑装饰业，建筑装饰行业的发展状况与国家的经济发展水平密切相关，宏观经济增长的周期性波动</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9" w:lineRule="auto" w:before="44"/>
        <w:ind w:right="1131"/>
        <w:jc w:val="both"/>
      </w:pPr>
      <w:r>
        <w:rPr>
          <w:spacing w:val="-2"/>
        </w:rPr>
        <w:t>对建筑装饰行业有较大影响。国家宏观调控政策和行业产业政策的变化会对基础设施建设、房地产开发以及商业投资活动等</w:t>
      </w:r>
      <w:r>
        <w:rPr>
          <w:spacing w:val="-64"/>
        </w:rPr>
        <w:t> </w:t>
      </w:r>
      <w:r>
        <w:rPr>
          <w:spacing w:val="-64"/>
        </w:rPr>
      </w:r>
      <w:r>
        <w:rPr>
          <w:spacing w:val="-2"/>
        </w:rPr>
        <w:t>造成直接影响，从而对建筑装饰行业的业务需求和业务结构带来较大影响。近年来，受益于中国经济稳定持续的增长，公司</w:t>
      </w:r>
      <w:r>
        <w:rPr>
          <w:spacing w:val="-66"/>
        </w:rPr>
        <w:t> </w:t>
      </w:r>
      <w:r>
        <w:rPr>
          <w:spacing w:val="-66"/>
        </w:rPr>
      </w:r>
      <w:r>
        <w:rPr>
          <w:spacing w:val="-2"/>
        </w:rPr>
        <w:t>经营规模和经营业绩不断提升。报告期内，本公司主营业务收入保持持续稳定的增长，但如果宏观经济或产业政策发生重大</w:t>
      </w:r>
      <w:r>
        <w:rPr>
          <w:spacing w:val="-66"/>
        </w:rPr>
        <w:t> </w:t>
      </w:r>
      <w:r>
        <w:rPr>
          <w:spacing w:val="-66"/>
        </w:rPr>
      </w:r>
      <w:r>
        <w:rPr>
          <w:spacing w:val="-2"/>
        </w:rPr>
        <w:t>变化，公司经营业绩可能受行业需求的影响出现波动。由于本公司所处行业对宏观经济景气度的敏感性，本公司提醒投资者</w:t>
      </w:r>
      <w:r>
        <w:rPr>
          <w:spacing w:val="-66"/>
        </w:rPr>
        <w:t> </w:t>
      </w:r>
      <w:r>
        <w:rPr>
          <w:spacing w:val="-66"/>
        </w:rPr>
      </w:r>
      <w:r>
        <w:rPr/>
        <w:t>注意宏观经济景气度变化导致公司经营业绩波动的风险。</w:t>
      </w:r>
    </w:p>
    <w:p>
      <w:pPr>
        <w:spacing w:line="326" w:lineRule="auto" w:before="24"/>
        <w:ind w:left="514" w:right="103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、房地产行业政策调控带来的风险</w:t>
      </w:r>
      <w:r>
        <w:rPr>
          <w:rFonts w:ascii="宋体" w:hAnsi="宋体" w:cs="宋体" w:eastAsia="宋体" w:hint="default"/>
          <w:b/>
          <w:bCs/>
          <w:w w:val="99"/>
          <w:sz w:val="18"/>
          <w:szCs w:val="18"/>
        </w:rPr>
        <w:t> </w:t>
      </w:r>
      <w:r>
        <w:rPr>
          <w:rFonts w:ascii="宋体" w:hAnsi="宋体" w:cs="宋体" w:eastAsia="宋体" w:hint="default"/>
          <w:spacing w:val="-2"/>
          <w:sz w:val="18"/>
          <w:szCs w:val="18"/>
        </w:rPr>
        <w:t>住宅装饰行业与房地产行业存在一定的关联性。近年来，为了调整房市结构、防止房价上涨过快，挤压房市泡沫以避免</w:t>
      </w:r>
    </w:p>
    <w:p>
      <w:pPr>
        <w:pStyle w:val="BodyText"/>
        <w:spacing w:line="316" w:lineRule="auto" w:before="11"/>
        <w:ind w:right="1032"/>
        <w:jc w:val="left"/>
      </w:pPr>
      <w:r>
        <w:rPr>
          <w:spacing w:val="-2"/>
        </w:rPr>
        <w:t>出现大的资产泡沫化，国家采取了金融、税收、行政等一系列手段对房地产行业进行宏观调控。但是，我国政府对房地产的</w:t>
      </w:r>
      <w:r>
        <w:rPr>
          <w:spacing w:val="-66"/>
        </w:rPr>
        <w:t> </w:t>
      </w:r>
      <w:r>
        <w:rPr>
          <w:spacing w:val="-66"/>
        </w:rPr>
      </w:r>
      <w:r>
        <w:rPr>
          <w:spacing w:val="-4"/>
        </w:rPr>
        <w:t>持续调控，主要是调整住房供应结构，并不会影响房地产业作为国民经济支柱产业的重要地位，未来住宅开发建设中小户型、</w:t>
      </w:r>
      <w:r>
        <w:rPr>
          <w:spacing w:val="-44"/>
        </w:rPr>
        <w:t> </w:t>
      </w:r>
      <w:r>
        <w:rPr>
          <w:spacing w:val="-44"/>
        </w:rPr>
      </w:r>
      <w:r>
        <w:rPr>
          <w:spacing w:val="-2"/>
        </w:rPr>
        <w:t>经济适用房、保障房等比重将逐步提高，从而带动自住型刚性需求的增长；此外，国家和地方政府不断出台扶持政策，引导</w:t>
      </w:r>
      <w:r>
        <w:rPr>
          <w:spacing w:val="-66"/>
        </w:rPr>
        <w:t> </w:t>
      </w:r>
      <w:r>
        <w:rPr>
          <w:spacing w:val="-66"/>
        </w:rPr>
      </w:r>
      <w:r>
        <w:rPr>
          <w:spacing w:val="-2"/>
        </w:rPr>
        <w:t>和鼓励新建商品住宅实现一次装修到位或采取菜单式装修模式，逐步达到取消毛坯房，直接向消费者提供全装修成品房的目</w:t>
      </w:r>
      <w:r>
        <w:rPr>
          <w:spacing w:val="-64"/>
        </w:rPr>
        <w:t> </w:t>
      </w:r>
      <w:r>
        <w:rPr>
          <w:spacing w:val="-64"/>
        </w:rPr>
      </w:r>
      <w:r>
        <w:rPr>
          <w:spacing w:val="-2"/>
        </w:rPr>
        <w:t>标。因此，目前，国家房地产调控政策对住宅精装修业务的发展影响有限。但是，如果政府继续出台更为严厉的房地产调控</w:t>
      </w:r>
      <w:r>
        <w:rPr>
          <w:spacing w:val="-65"/>
        </w:rPr>
        <w:t> </w:t>
      </w:r>
      <w:r>
        <w:rPr>
          <w:spacing w:val="-65"/>
        </w:rPr>
      </w:r>
      <w:r>
        <w:rPr/>
        <w:t>政策，则可能会在业务订单量、施工进度及客户回款等方面对公司住宅精装修业务带来不利影响。</w:t>
      </w:r>
    </w:p>
    <w:p>
      <w:pPr>
        <w:spacing w:line="326" w:lineRule="auto" w:before="25"/>
        <w:ind w:left="514" w:right="1032"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、应收账款产生坏账的风险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公司应收账款余额较大，应收账款净额占总资产比例较高是由所处行业的特点决定的。随着本公司业务规模的扩大，公</w:t>
      </w:r>
    </w:p>
    <w:p>
      <w:pPr>
        <w:pStyle w:val="BodyText"/>
        <w:spacing w:line="316" w:lineRule="auto" w:before="11"/>
        <w:ind w:right="1131"/>
        <w:jc w:val="both"/>
      </w:pPr>
      <w:r>
        <w:rPr>
          <w:spacing w:val="-2"/>
        </w:rPr>
        <w:t>司应收账款余额总体上呈增加趋势，应收账款净额占总资产的比例预计仍将可能保持较高水平。如果未来宏观经济发生不利</w:t>
      </w:r>
      <w:r>
        <w:rPr>
          <w:spacing w:val="-64"/>
        </w:rPr>
        <w:t> </w:t>
      </w:r>
      <w:r>
        <w:rPr>
          <w:spacing w:val="-64"/>
        </w:rPr>
      </w:r>
      <w:r>
        <w:rPr>
          <w:spacing w:val="-2"/>
        </w:rPr>
        <w:t>变化或者货币资金环境趋紧等因素导致公司应收账款不能及时回收将影响公司的资金周转速度和经营活动现金流量，从而对</w:t>
      </w:r>
      <w:r>
        <w:rPr>
          <w:spacing w:val="-64"/>
        </w:rPr>
        <w:t> </w:t>
      </w:r>
      <w:r>
        <w:rPr>
          <w:spacing w:val="-64"/>
        </w:rPr>
      </w:r>
      <w:r>
        <w:rPr/>
        <w:t>公司的生产经营及业绩水平造成不利影响。</w:t>
      </w:r>
    </w:p>
    <w:p>
      <w:pPr>
        <w:pStyle w:val="BodyText"/>
        <w:spacing w:line="326" w:lineRule="auto" w:before="26"/>
        <w:ind w:left="514" w:right="1032"/>
        <w:jc w:val="left"/>
      </w:pPr>
      <w:r>
        <w:rPr>
          <w:rFonts w:ascii="宋体" w:hAnsi="宋体" w:cs="宋体" w:eastAsia="宋体" w:hint="default"/>
          <w:b/>
          <w:bCs/>
        </w:rPr>
        <w:t>4</w:t>
      </w:r>
      <w:r>
        <w:rPr>
          <w:rFonts w:ascii="宋体" w:hAnsi="宋体" w:cs="宋体" w:eastAsia="宋体" w:hint="default"/>
          <w:b/>
          <w:bCs/>
        </w:rPr>
        <w:t>、市场竞争风险</w:t>
      </w:r>
      <w:r>
        <w:rPr>
          <w:rFonts w:ascii="宋体" w:hAnsi="宋体" w:cs="宋体" w:eastAsia="宋体" w:hint="default"/>
          <w:b/>
          <w:bCs/>
          <w:w w:val="99"/>
        </w:rPr>
        <w:t> </w:t>
      </w:r>
      <w:r>
        <w:rPr>
          <w:spacing w:val="-2"/>
        </w:rPr>
        <w:t>随着国内建筑装饰企业的快速发展，已经有相当一部分企业在建筑装饰的设计、施工及综合配套服务等方面具备了较强</w:t>
      </w:r>
    </w:p>
    <w:p>
      <w:pPr>
        <w:pStyle w:val="BodyText"/>
        <w:spacing w:line="319" w:lineRule="auto" w:before="11"/>
        <w:ind w:right="1032"/>
        <w:jc w:val="left"/>
      </w:pPr>
      <w:r>
        <w:rPr/>
        <w:t>的竞争实力，并陆续通过</w:t>
      </w:r>
      <w:r>
        <w:rPr>
          <w:rFonts w:ascii="宋体" w:hAnsi="宋体" w:cs="宋体" w:eastAsia="宋体" w:hint="default"/>
        </w:rPr>
        <w:t>IPO</w:t>
      </w:r>
      <w:r>
        <w:rPr/>
        <w:t>、借壳等方式进入资本市场，与此同时中国建筑装饰市场的巨大需求吸引了较多的大型外资建</w:t>
      </w:r>
      <w:r>
        <w:rPr>
          <w:spacing w:val="-83"/>
        </w:rPr>
        <w:t> </w:t>
      </w:r>
      <w:r>
        <w:rPr>
          <w:spacing w:val="-83"/>
        </w:rPr>
      </w:r>
      <w:r>
        <w:rPr>
          <w:spacing w:val="-4"/>
        </w:rPr>
        <w:t>筑装饰企业进入国内市场，公司当前面临着较为激烈的市场竞争。虽然公司已经具有较为全面的业务资质，拥有丰富的施工、</w:t>
      </w:r>
      <w:r>
        <w:rPr>
          <w:spacing w:val="-44"/>
        </w:rPr>
        <w:t> </w:t>
      </w:r>
      <w:r>
        <w:rPr>
          <w:spacing w:val="-44"/>
        </w:rPr>
      </w:r>
      <w:r>
        <w:rPr/>
        <w:t>设计经验和人才储备，但随着市场竞争加剧，公司的行业地位、市场份额、盈利水平等方面都会面临较大的竞争。</w:t>
      </w:r>
    </w:p>
    <w:p>
      <w:pPr>
        <w:spacing w:line="360" w:lineRule="auto" w:before="24"/>
        <w:ind w:left="514" w:right="1032"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、业务扩张带来的管理风险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公司上市以后，经营规模必将持续扩大。伴随着业务的快速增长，公司的人员不断增长、经营区域不断扩大，管理难度</w:t>
      </w:r>
    </w:p>
    <w:p>
      <w:pPr>
        <w:pStyle w:val="BodyText"/>
        <w:spacing w:line="221" w:lineRule="exact"/>
        <w:ind w:right="0"/>
        <w:jc w:val="both"/>
      </w:pPr>
      <w:r>
        <w:rPr/>
        <w:t>不断加大。近年来，公司虽然已根据实际情况建立起一套完整的内部控制制度，但是随着公司业务的不断拓展和规模扩张，</w:t>
      </w:r>
    </w:p>
    <w:p>
      <w:pPr>
        <w:pStyle w:val="BodyText"/>
        <w:spacing w:line="319" w:lineRule="auto" w:before="76"/>
        <w:ind w:right="1132"/>
        <w:jc w:val="both"/>
      </w:pPr>
      <w:r>
        <w:rPr>
          <w:spacing w:val="-2"/>
        </w:rPr>
        <w:t>公司将面临管理模式、人才储备、技术创新及市场开拓等多方面的挑战。如果公司管理水平和人才储备不能适应公司规模迅</w:t>
      </w:r>
      <w:r>
        <w:rPr>
          <w:spacing w:val="-66"/>
        </w:rPr>
        <w:t> </w:t>
      </w:r>
      <w:r>
        <w:rPr>
          <w:spacing w:val="-66"/>
        </w:rPr>
      </w:r>
      <w:r>
        <w:rPr>
          <w:spacing w:val="-2"/>
        </w:rPr>
        <w:t>速扩张的需要，组织架构和管理模式未能随着公司规模的扩大而及时调整和完善，将难以保证公司管理水平与经营规模同步</w:t>
      </w:r>
      <w:r>
        <w:rPr>
          <w:spacing w:val="-64"/>
        </w:rPr>
        <w:t> </w:t>
      </w:r>
      <w:r>
        <w:rPr>
          <w:spacing w:val="-64"/>
        </w:rPr>
      </w:r>
      <w:r>
        <w:rPr/>
        <w:t>增长，使公司面临一定的管理风险。</w:t>
      </w:r>
    </w:p>
    <w:p>
      <w:pPr>
        <w:pStyle w:val="Heading4"/>
        <w:spacing w:line="240" w:lineRule="auto" w:before="55"/>
        <w:ind w:left="514" w:right="1032"/>
        <w:jc w:val="left"/>
        <w:rPr>
          <w:b w:val="0"/>
          <w:bCs w:val="0"/>
        </w:rPr>
      </w:pPr>
      <w:r>
        <w:rPr>
          <w:rFonts w:ascii="宋体" w:hAnsi="宋体" w:cs="宋体" w:eastAsia="宋体" w:hint="default"/>
        </w:rPr>
        <w:t>6</w:t>
      </w:r>
      <w:r>
        <w:rPr/>
        <w:t>、业务转型升级及开拓新兴市场不达预期的风险</w:t>
      </w:r>
      <w:r>
        <w:rPr>
          <w:b w:val="0"/>
          <w:bCs w:val="0"/>
        </w:rPr>
      </w:r>
    </w:p>
    <w:p>
      <w:pPr>
        <w:pStyle w:val="BodyText"/>
        <w:spacing w:line="316" w:lineRule="auto" w:before="86"/>
        <w:ind w:right="1132" w:firstLine="360"/>
        <w:jc w:val="both"/>
      </w:pPr>
      <w:r>
        <w:rPr>
          <w:rFonts w:ascii="宋体" w:hAnsi="宋体" w:cs="宋体" w:eastAsia="宋体" w:hint="default"/>
          <w:spacing w:val="-2"/>
        </w:rPr>
        <w:t>2019</w:t>
      </w:r>
      <w:r>
        <w:rPr>
          <w:spacing w:val="-2"/>
        </w:rPr>
        <w:t>年，公司将积极致力于传统装饰主业转型升级，并积极开拓既有房屋存量市场、新能源业务以及海外业务等新兴市</w:t>
      </w:r>
      <w:r>
        <w:rPr/>
        <w:t> </w:t>
      </w:r>
      <w:r>
        <w:rPr>
          <w:spacing w:val="-2"/>
        </w:rPr>
        <w:t>场，在此过程中将不可避免的遇到人才瓶颈、技术瓶颈、管理瓶颈等困难。如业务转型升级及开拓新兴市场不达预期，会对</w:t>
      </w:r>
      <w:r>
        <w:rPr>
          <w:spacing w:val="-66"/>
        </w:rPr>
        <w:t> </w:t>
      </w:r>
      <w:r>
        <w:rPr>
          <w:spacing w:val="-66"/>
        </w:rPr>
      </w:r>
      <w:r>
        <w:rPr/>
        <w:t>公司短期业绩产生较大影响。</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日投资者关系活动记 录表</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日投资者关系活动记</w:t>
            </w:r>
          </w:p>
        </w:tc>
      </w:tr>
    </w:tbl>
    <w:p>
      <w:pPr>
        <w:spacing w:after="0" w:line="240" w:lineRule="auto"/>
        <w:jc w:val="center"/>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日投资者关系活动记 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 录表</w:t>
            </w:r>
          </w:p>
        </w:tc>
      </w:tr>
    </w:tbl>
    <w:p>
      <w:pPr>
        <w:spacing w:after="0" w:line="30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right="3221"/>
        <w:jc w:val="center"/>
        <w:rPr>
          <w:b w:val="0"/>
          <w:bCs w:val="0"/>
        </w:rPr>
      </w:pPr>
      <w:bookmarkStart w:name="第五节 重要事项"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报告期内普通股利润分配政策，特别是现金分红政策的制定、执行或调整情况</w:t>
      </w:r>
    </w:p>
    <w:p>
      <w:pPr>
        <w:pStyle w:val="BodyText"/>
        <w:spacing w:line="357" w:lineRule="auto" w:before="117"/>
        <w:ind w:left="514" w:right="1032" w:hanging="360"/>
        <w:jc w:val="left"/>
      </w:pPr>
      <w:r>
        <w:rPr/>
        <w:t>√ 适用 □ 不适用 </w:t>
      </w:r>
      <w:r>
        <w:rPr>
          <w:spacing w:val="-2"/>
        </w:rPr>
        <w:t>根据中国证监会《关于进一步落实上市公司现金分红有关事项的通知》和深圳证监局《关于认真贯彻落实（关于进一步</w:t>
      </w:r>
    </w:p>
    <w:p>
      <w:pPr>
        <w:pStyle w:val="BodyText"/>
        <w:spacing w:line="224" w:lineRule="exact"/>
        <w:ind w:right="0"/>
        <w:jc w:val="left"/>
      </w:pPr>
      <w:r>
        <w:rPr/>
        <w:t>落实上市公司现金分红有关事项的通知</w:t>
      </w:r>
      <w:r>
        <w:rPr>
          <w:spacing w:val="-13"/>
        </w:rPr>
        <w:t>）</w:t>
      </w:r>
      <w:r>
        <w:rPr/>
        <w:t>有关要求的通知</w:t>
      </w:r>
      <w:r>
        <w:rPr>
          <w:spacing w:val="-103"/>
        </w:rPr>
        <w:t>》</w:t>
      </w:r>
      <w:r>
        <w:rPr/>
        <w:t>（深证局公司</w:t>
      </w:r>
      <w:r>
        <w:rPr>
          <w:spacing w:val="-13"/>
        </w:rPr>
        <w:t>字</w:t>
      </w:r>
      <w:r>
        <w:rPr/>
        <w:t>【</w:t>
      </w:r>
      <w:r>
        <w:rPr>
          <w:rFonts w:ascii="宋体" w:hAnsi="宋体" w:cs="宋体" w:eastAsia="宋体" w:hint="default"/>
        </w:rPr>
        <w:t>2012</w:t>
      </w:r>
      <w:r>
        <w:rPr>
          <w:spacing w:val="-12"/>
        </w:rPr>
        <w:t>】</w:t>
      </w:r>
      <w:r>
        <w:rPr>
          <w:rFonts w:ascii="宋体" w:hAnsi="宋体" w:cs="宋体" w:eastAsia="宋体" w:hint="default"/>
        </w:rPr>
        <w:t>43</w:t>
      </w:r>
      <w:r>
        <w:rPr/>
        <w:t>号</w:t>
      </w:r>
      <w:r>
        <w:rPr>
          <w:spacing w:val="-103"/>
        </w:rPr>
        <w:t>）</w:t>
      </w:r>
      <w:r>
        <w:rPr/>
        <w:t>（以下简</w:t>
      </w:r>
      <w:r>
        <w:rPr>
          <w:spacing w:val="-12"/>
        </w:rPr>
        <w:t>称</w:t>
      </w:r>
      <w:r>
        <w:rPr/>
        <w:t>“通知</w:t>
      </w:r>
      <w:r>
        <w:rPr>
          <w:spacing w:val="-90"/>
        </w:rPr>
        <w:t>”</w:t>
      </w:r>
      <w:r>
        <w:rPr>
          <w:spacing w:val="-13"/>
        </w:rPr>
        <w:t>）</w:t>
      </w:r>
      <w:r>
        <w:rPr/>
        <w:t>文件的要</w:t>
      </w:r>
      <w:r>
        <w:rPr>
          <w:spacing w:val="1"/>
        </w:rPr>
        <w:t>求</w:t>
      </w:r>
      <w:r>
        <w:rPr/>
        <w:t>，</w:t>
      </w:r>
    </w:p>
    <w:p>
      <w:pPr>
        <w:pStyle w:val="BodyText"/>
        <w:spacing w:line="316" w:lineRule="auto" w:before="76"/>
        <w:ind w:right="1032"/>
        <w:jc w:val="left"/>
      </w:pPr>
      <w:r>
        <w:rPr>
          <w:spacing w:val="-2"/>
        </w:rPr>
        <w:t>公司对利润分配政策等进行了专项研究论证，经公司董事会、监事会、股东大会审议通过，明确了实施现金分红的条件和分</w:t>
      </w:r>
      <w:r>
        <w:rPr>
          <w:spacing w:val="-66"/>
        </w:rPr>
        <w:t> </w:t>
      </w:r>
      <w:r>
        <w:rPr>
          <w:spacing w:val="-66"/>
        </w:rPr>
      </w:r>
      <w:r>
        <w:rPr>
          <w:spacing w:val="-5"/>
        </w:rPr>
        <w:t>配比例。公司上市后，以现金方式分配的利润均超过当年实现的可供分配利润的</w:t>
      </w:r>
      <w:r>
        <w:rPr>
          <w:rFonts w:ascii="宋体" w:hAnsi="宋体" w:cs="宋体" w:eastAsia="宋体" w:hint="default"/>
          <w:spacing w:val="-5"/>
        </w:rPr>
        <w:t>10%</w:t>
      </w:r>
      <w:r>
        <w:rPr>
          <w:spacing w:val="-5"/>
        </w:rPr>
        <w:t>，公司的现金分红方案符合《公司章程》，</w:t>
      </w:r>
      <w:r>
        <w:rPr>
          <w:spacing w:val="-71"/>
        </w:rPr>
        <w:t> </w:t>
      </w:r>
      <w:r>
        <w:rPr>
          <w:spacing w:val="-71"/>
        </w:rPr>
      </w:r>
      <w:r>
        <w:rPr/>
        <w:t>中国证监会、深交所相关规定。</w:t>
      </w:r>
    </w:p>
    <w:p>
      <w:pPr>
        <w:pStyle w:val="BodyText"/>
        <w:spacing w:line="316" w:lineRule="auto" w:before="19"/>
        <w:ind w:right="1122" w:firstLine="360"/>
        <w:jc w:val="left"/>
      </w:pPr>
      <w:r>
        <w:rPr>
          <w:rFonts w:ascii="宋体" w:hAnsi="宋体" w:cs="宋体" w:eastAsia="宋体" w:hint="default"/>
        </w:rPr>
        <w:t>2018</w:t>
      </w:r>
      <w:r>
        <w:rPr/>
        <w:t>年制定的利润分配预案，以</w:t>
      </w:r>
      <w:r>
        <w:rPr>
          <w:rFonts w:ascii="宋体" w:hAnsi="宋体" w:cs="宋体" w:eastAsia="宋体" w:hint="default"/>
        </w:rPr>
        <w:t>2018</w:t>
      </w:r>
      <w:r>
        <w:rPr/>
        <w:t>年度经审计的可供分配利润向全体股东派发现金股利（含税）</w:t>
      </w:r>
      <w:r>
        <w:rPr>
          <w:rFonts w:ascii="宋体" w:hAnsi="宋体" w:cs="宋体" w:eastAsia="宋体" w:hint="default"/>
        </w:rPr>
        <w:t>1,800</w:t>
      </w:r>
      <w:r>
        <w:rPr/>
        <w:t>万元，即每</w:t>
      </w:r>
      <w:r>
        <w:rPr>
          <w:rFonts w:ascii="宋体" w:hAnsi="宋体" w:cs="宋体" w:eastAsia="宋体" w:hint="default"/>
        </w:rPr>
        <w:t>10 </w:t>
      </w:r>
      <w:r>
        <w:rPr/>
        <w:t>股派发现金（含税）</w:t>
      </w:r>
      <w:r>
        <w:rPr>
          <w:rFonts w:ascii="宋体" w:hAnsi="宋体" w:cs="宋体" w:eastAsia="宋体" w:hint="default"/>
        </w:rPr>
        <w:t>0.30</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现金分红政策没有进行调整或变更</w:t>
            </w:r>
          </w:p>
        </w:tc>
      </w:tr>
    </w:tbl>
    <w:p>
      <w:pPr>
        <w:pStyle w:val="BodyText"/>
        <w:spacing w:line="324" w:lineRule="auto" w:before="51"/>
        <w:ind w:right="112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宋体" w:hAnsi="宋体" w:cs="宋体" w:eastAsia="宋体" w:hint="default"/>
          <w:spacing w:val="-2"/>
        </w:rPr>
        <w:t>2016</w:t>
      </w:r>
      <w:r>
        <w:rPr>
          <w:spacing w:val="-2"/>
        </w:rPr>
        <w:t>年，公司以</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300,000,000</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2</w:t>
      </w:r>
      <w:r>
        <w:rPr>
          <w:spacing w:val="-2"/>
        </w:rPr>
        <w:t>元（含税），不送红股，</w:t>
      </w:r>
      <w:r>
        <w:rPr>
          <w:spacing w:val="-46"/>
        </w:rPr>
        <w:t> </w:t>
      </w:r>
      <w:r>
        <w:rPr>
          <w:spacing w:val="-46"/>
        </w:rPr>
      </w:r>
      <w:r>
        <w:rPr/>
        <w:t>以资本公积金每</w:t>
      </w:r>
      <w:r>
        <w:rPr>
          <w:rFonts w:ascii="宋体" w:hAnsi="宋体" w:cs="宋体" w:eastAsia="宋体" w:hint="default"/>
        </w:rPr>
        <w:t>10</w:t>
      </w:r>
      <w:r>
        <w:rPr/>
        <w:t>股转增</w:t>
      </w:r>
      <w:r>
        <w:rPr>
          <w:rFonts w:ascii="宋体" w:hAnsi="宋体" w:cs="宋体" w:eastAsia="宋体" w:hint="default"/>
        </w:rPr>
        <w:t>10</w:t>
      </w:r>
      <w:r>
        <w:rPr/>
        <w:t>股。 </w:t>
      </w:r>
      <w:r>
        <w:rPr>
          <w:rFonts w:ascii="宋体" w:hAnsi="宋体" w:cs="宋体" w:eastAsia="宋体" w:hint="default"/>
        </w:rPr>
        <w:t>2017</w:t>
      </w:r>
      <w:r>
        <w:rPr/>
        <w:t>年，公司以截至</w:t>
      </w:r>
      <w:r>
        <w:rPr>
          <w:rFonts w:ascii="宋体" w:hAnsi="宋体" w:cs="宋体" w:eastAsia="宋体" w:hint="default"/>
        </w:rPr>
        <w:t>2017</w:t>
      </w:r>
      <w:r>
        <w:rPr/>
        <w:t>年度经审计的可供分配利润向全体股东派发现金股利（含税）</w:t>
      </w:r>
      <w:r>
        <w:rPr>
          <w:rFonts w:ascii="宋体" w:hAnsi="宋体" w:cs="宋体" w:eastAsia="宋体" w:hint="default"/>
        </w:rPr>
        <w:t>3,000</w:t>
      </w:r>
      <w:r>
        <w:rPr/>
        <w:t>万元，即每</w:t>
      </w:r>
      <w:r>
        <w:rPr>
          <w:rFonts w:ascii="宋体" w:hAnsi="宋体" w:cs="宋体" w:eastAsia="宋体" w:hint="default"/>
        </w:rPr>
        <w:t>10</w:t>
      </w:r>
      <w:r>
        <w:rPr/>
        <w:t>股派发现金（含 税）</w:t>
      </w:r>
      <w:r>
        <w:rPr>
          <w:rFonts w:ascii="宋体" w:hAnsi="宋体" w:cs="宋体" w:eastAsia="宋体" w:hint="default"/>
        </w:rPr>
        <w:t>0.5</w:t>
      </w:r>
      <w:r>
        <w:rPr/>
        <w:t>元。</w:t>
      </w:r>
    </w:p>
    <w:p>
      <w:pPr>
        <w:pStyle w:val="BodyText"/>
        <w:spacing w:line="316" w:lineRule="auto" w:before="107"/>
        <w:ind w:right="1122"/>
        <w:jc w:val="left"/>
      </w:pPr>
      <w:r>
        <w:rPr>
          <w:rFonts w:ascii="宋体" w:hAnsi="宋体" w:cs="宋体" w:eastAsia="宋体" w:hint="default"/>
        </w:rPr>
        <w:t>2018</w:t>
      </w:r>
      <w:r>
        <w:rPr/>
        <w:t>年，公司以截至</w:t>
      </w:r>
      <w:r>
        <w:rPr>
          <w:rFonts w:ascii="宋体" w:hAnsi="宋体" w:cs="宋体" w:eastAsia="宋体" w:hint="default"/>
        </w:rPr>
        <w:t>2018</w:t>
      </w:r>
      <w:r>
        <w:rPr/>
        <w:t>年度经审计的可供分配利润向全体股东派发现金股利（含税）</w:t>
      </w:r>
      <w:r>
        <w:rPr>
          <w:rFonts w:ascii="宋体" w:hAnsi="宋体" w:cs="宋体" w:eastAsia="宋体" w:hint="default"/>
        </w:rPr>
        <w:t>1,800</w:t>
      </w:r>
      <w:r>
        <w:rPr/>
        <w:t>万元，即每</w:t>
      </w:r>
      <w:r>
        <w:rPr>
          <w:rFonts w:ascii="宋体" w:hAnsi="宋体" w:cs="宋体" w:eastAsia="宋体" w:hint="default"/>
        </w:rPr>
        <w:t>10</w:t>
      </w:r>
      <w:r>
        <w:rPr/>
        <w:t>股派发现金（含 税）</w:t>
      </w:r>
      <w:r>
        <w:rPr>
          <w:rFonts w:ascii="宋体" w:hAnsi="宋体" w:cs="宋体" w:eastAsia="宋体" w:hint="default"/>
        </w:rPr>
        <w:t>0.30</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right="1032"/>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33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43" w:right="143"/>
              <w:jc w:val="both"/>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42" w:right="142"/>
              <w:jc w:val="both"/>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42" w:right="140"/>
              <w:jc w:val="both"/>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w:t>
            </w:r>
          </w:p>
        </w:tc>
      </w:tr>
    </w:tbl>
    <w:p>
      <w:pPr>
        <w:spacing w:after="0" w:line="316" w:lineRule="auto"/>
        <w:jc w:val="both"/>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29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43" w:right="143"/>
              <w:jc w:val="center"/>
              <w:rPr>
                <w:rFonts w:ascii="宋体" w:hAnsi="宋体" w:cs="宋体" w:eastAsia="宋体" w:hint="default"/>
                <w:sz w:val="18"/>
                <w:szCs w:val="18"/>
              </w:rPr>
            </w:pPr>
            <w:r>
              <w:rPr>
                <w:rFonts w:ascii="宋体" w:hAnsi="宋体" w:cs="宋体" w:eastAsia="宋体" w:hint="default"/>
                <w:sz w:val="18"/>
                <w:szCs w:val="18"/>
              </w:rPr>
              <w:t>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42" w:right="142"/>
              <w:jc w:val="center"/>
              <w:rPr>
                <w:rFonts w:ascii="宋体" w:hAnsi="宋体" w:cs="宋体" w:eastAsia="宋体" w:hint="default"/>
                <w:sz w:val="18"/>
                <w:szCs w:val="18"/>
              </w:rPr>
            </w:pPr>
            <w:r>
              <w:rPr>
                <w:rFonts w:ascii="宋体" w:hAnsi="宋体" w:cs="宋体" w:eastAsia="宋体" w:hint="default"/>
                <w:sz w:val="18"/>
                <w:szCs w:val="18"/>
              </w:rPr>
              <w:t>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42" w:right="140"/>
              <w:jc w:val="center"/>
              <w:rPr>
                <w:rFonts w:ascii="宋体" w:hAnsi="宋体" w:cs="宋体" w:eastAsia="宋体" w:hint="default"/>
                <w:sz w:val="18"/>
                <w:szCs w:val="18"/>
              </w:rPr>
            </w:pPr>
            <w:r>
              <w:rPr>
                <w:rFonts w:ascii="宋体" w:hAnsi="宋体" w:cs="宋体" w:eastAsia="宋体" w:hint="default"/>
                <w:sz w:val="18"/>
                <w:szCs w:val="18"/>
              </w:rPr>
              <w:t>属于上市公 司普通股股 东的净利润 的比率</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167,090,740.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10.77%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160,749,979.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18.66%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156,183,203.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38.42%</w:t>
            </w:r>
          </w:p>
        </w:tc>
      </w:tr>
    </w:tbl>
    <w:p>
      <w:pPr>
        <w:pStyle w:val="BodyText"/>
        <w:spacing w:line="240" w:lineRule="auto" w:before="51"/>
        <w:ind w:right="1032"/>
        <w:jc w:val="left"/>
      </w:pPr>
      <w:r>
        <w:rPr/>
        <w:t>公司报告期内盈利且母公司可供普通股股东分配利润为正但未提出普通股现金红利分配预案</w:t>
      </w:r>
    </w:p>
    <w:p>
      <w:pPr>
        <w:pStyle w:val="BodyText"/>
        <w:spacing w:line="240" w:lineRule="auto" w:before="117"/>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二、本报告期利润分配及资本公积金转增股本预案情况" w:id="61"/>
      <w:bookmarkEnd w:id="61"/>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600,000,000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以其他方式（如回购股份）现金分红金额（元）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18,000,000.00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784,063,434.21</w:t>
            </w:r>
          </w:p>
        </w:tc>
      </w:tr>
      <w:tr>
        <w:trPr>
          <w:trHeight w:val="71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3"/>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年度经审计的可供分配利润向全体股东派发现金股利（含税）</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万元，即每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 金（含税）</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元。不送红股，不以资本公积金转增股本。</w:t>
            </w:r>
          </w:p>
        </w:tc>
      </w:tr>
    </w:tbl>
    <w:p>
      <w:pPr>
        <w:pStyle w:val="BodyText"/>
        <w:spacing w:line="240" w:lineRule="auto" w:before="51"/>
        <w:ind w:right="1032"/>
        <w:jc w:val="left"/>
      </w:pPr>
      <w:r>
        <w:rPr/>
        <w:t>。</w:t>
      </w:r>
    </w:p>
    <w:p>
      <w:pPr>
        <w:spacing w:line="240" w:lineRule="auto" w:before="1"/>
        <w:rPr>
          <w:rFonts w:ascii="宋体" w:hAnsi="宋体" w:cs="宋体" w:eastAsia="宋体" w:hint="default"/>
          <w:sz w:val="25"/>
          <w:szCs w:val="25"/>
        </w:rPr>
      </w:pPr>
    </w:p>
    <w:p>
      <w:pPr>
        <w:pStyle w:val="Heading2"/>
        <w:spacing w:line="240" w:lineRule="auto"/>
        <w:ind w:right="1032"/>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1032"/>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20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11"/>
              <w:jc w:val="both"/>
              <w:rPr>
                <w:rFonts w:ascii="宋体" w:hAnsi="宋体" w:cs="宋体" w:eastAsia="宋体" w:hint="default"/>
                <w:sz w:val="18"/>
                <w:szCs w:val="18"/>
              </w:rPr>
            </w:pPr>
            <w:r>
              <w:rPr>
                <w:rFonts w:ascii="宋体" w:hAnsi="宋体" w:cs="宋体" w:eastAsia="宋体" w:hint="default"/>
                <w:sz w:val="18"/>
                <w:szCs w:val="18"/>
              </w:rPr>
              <w:t>深圳市中装 建设集团股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10"/>
              <w:jc w:val="both"/>
              <w:rPr>
                <w:rFonts w:ascii="宋体" w:hAnsi="宋体" w:cs="宋体" w:eastAsia="宋体" w:hint="default"/>
                <w:sz w:val="18"/>
                <w:szCs w:val="18"/>
              </w:rPr>
            </w:pPr>
            <w:r>
              <w:rPr>
                <w:rFonts w:ascii="宋体" w:hAnsi="宋体" w:cs="宋体" w:eastAsia="宋体" w:hint="default"/>
                <w:sz w:val="18"/>
                <w:szCs w:val="18"/>
              </w:rPr>
              <w:t>股份回购、 赔偿损失承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11"/>
                <w:sz w:val="18"/>
                <w:szCs w:val="18"/>
              </w:rPr>
              <w:t>公司承诺：</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如本公司首 次公开发行 股票并上市 招股说明书 中有虚假记 载、误导性 陈述或者重 大遗漏，对 判断本公司 是否符合法 律规定的发 行条件构成 重大、实质 影响的，并 已由人民法 院作出相关 判决的，本 公司将依法 回购首次公 开发行的全 部新股，回 购价格为首 次公开发行 股票时的发 行价格（如 遇除权、除 息事项，则 上述股票回 购价格的计 算方法按照 证券交易所 的有关规定 作除权除息 处理，下 </w:t>
            </w:r>
            <w:r>
              <w:rPr>
                <w:rFonts w:ascii="宋体" w:hAnsi="宋体" w:cs="宋体" w:eastAsia="宋体" w:hint="default"/>
                <w:spacing w:val="-29"/>
                <w:sz w:val="18"/>
                <w:szCs w:val="18"/>
              </w:rPr>
              <w:t>同）。如本公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司首次公开 发行股票并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上市招股说 明书中有虚 假记载、误 导性陈述或 者重大遗 漏，致使投 资者在证券 交易中遭受 损失，并已 由人民法院 作出相关判 决的，本公 司将依法赔 偿投资者损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z w:val="18"/>
                <w:szCs w:val="18"/>
              </w:rPr>
              <w:t>深圳市中装 建设集团股 份有限公 司、庄重、 庄展诺、庄 小红、庄超 </w:t>
            </w:r>
            <w:r>
              <w:rPr>
                <w:rFonts w:ascii="宋体" w:hAnsi="宋体" w:cs="宋体" w:eastAsia="宋体" w:hint="default"/>
                <w:spacing w:val="-14"/>
                <w:sz w:val="18"/>
                <w:szCs w:val="18"/>
              </w:rPr>
              <w:t>喜、赵海峰、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何斌、廖伟 </w:t>
            </w:r>
            <w:r>
              <w:rPr>
                <w:rFonts w:ascii="宋体" w:hAnsi="宋体" w:cs="宋体" w:eastAsia="宋体" w:hint="default"/>
                <w:spacing w:val="-14"/>
                <w:sz w:val="18"/>
                <w:szCs w:val="18"/>
              </w:rPr>
              <w:t>潭、于桂添、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杨战、何玉 </w:t>
            </w:r>
            <w:r>
              <w:rPr>
                <w:rFonts w:ascii="宋体" w:hAnsi="宋体" w:cs="宋体" w:eastAsia="宋体" w:hint="default"/>
                <w:spacing w:val="-14"/>
                <w:sz w:val="18"/>
                <w:szCs w:val="18"/>
              </w:rPr>
              <w:t>辉、张水霞、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pacing w:val="-11"/>
                <w:sz w:val="18"/>
                <w:szCs w:val="18"/>
              </w:rPr>
              <w:t>公司承诺：</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如果本公司 首次公开发 行股票并上 市招股说明 书中有虚假 记载、误导 性陈述或者 重大遗漏， 对判断发行 人是否符合 法律规定的 发行条件构 成重大、实 质影响的， 并已由人民 法院作出相 关判决的， 本人将依法 购回已转让 的原限售股 份（即本人 在中装建设 首次公开发 行新股时所 公开发售的 </w:t>
            </w:r>
            <w:r>
              <w:rPr>
                <w:rFonts w:ascii="宋体" w:hAnsi="宋体" w:cs="宋体" w:eastAsia="宋体" w:hint="default"/>
                <w:spacing w:val="-29"/>
                <w:sz w:val="18"/>
                <w:szCs w:val="18"/>
              </w:rPr>
              <w:t>股份），购回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价格为中装 建设首次公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格。如果本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并上市招股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说明书中有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漏，致使投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损失，并已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由人民法院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作出相关判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决的，本人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失。本人严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若本人违反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本人将在发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行人股东大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具体原因并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向发行人股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东和社会公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众投资者道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歉，并在违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反相关承诺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内，暂停在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发行人处领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取薪酬（或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津贴）及股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东分红，直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至按承诺采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取相应的回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购或赔偿措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施并实施完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毕时为止。</w:t>
            </w:r>
            <w:r>
              <w:rPr>
                <w:rFonts w:ascii="Times New Roman" w:hAnsi="Times New Roman" w:cs="Times New Roman" w:eastAsia="Times New Roman" w:hint="default"/>
                <w:spacing w:val="-11"/>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公司全体董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员承诺：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如本公司首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股票并上市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并已由人民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法院作出相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关判决的，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损失。本人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严格履行上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容，如有违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反，本人将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东大会上公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行的具体原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因并向发行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者道歉，并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在违反承诺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内，暂停在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发行人处领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取薪酬（如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0"/>
                <w:sz w:val="18"/>
                <w:szCs w:val="18"/>
              </w:rPr>
              <w:t>）</w:t>
            </w:r>
            <w:r>
              <w:rPr>
                <w:rFonts w:ascii="宋体" w:hAnsi="宋体" w:cs="宋体" w:eastAsia="宋体" w:hint="default"/>
                <w:sz w:val="18"/>
                <w:szCs w:val="18"/>
              </w:rPr>
              <w:t>、津贴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股东分红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both"/>
              <w:rPr>
                <w:rFonts w:ascii="Times New Roman" w:hAnsi="Times New Roman" w:cs="Times New Roman" w:eastAsia="Times New Roman" w:hint="default"/>
                <w:sz w:val="18"/>
                <w:szCs w:val="18"/>
              </w:rPr>
            </w:pPr>
            <w:r>
              <w:rPr>
                <w:rFonts w:ascii="宋体" w:hAnsi="宋体" w:cs="宋体" w:eastAsia="宋体" w:hint="default"/>
                <w:spacing w:val="-29"/>
                <w:sz w:val="18"/>
                <w:szCs w:val="18"/>
              </w:rPr>
              <w:t>（如有），直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至按承诺采 取相应的赔 偿措施并实 施完毕时为 止。</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庄重、庄小 红、庄展诺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103" w:right="110"/>
              <w:jc w:val="both"/>
              <w:rPr>
                <w:rFonts w:ascii="宋体" w:hAnsi="宋体" w:cs="宋体" w:eastAsia="宋体" w:hint="default"/>
                <w:sz w:val="18"/>
                <w:szCs w:val="18"/>
              </w:rPr>
            </w:pPr>
            <w:r>
              <w:rPr>
                <w:rFonts w:ascii="宋体" w:hAnsi="宋体" w:cs="宋体" w:eastAsia="宋体" w:hint="default"/>
                <w:sz w:val="18"/>
                <w:szCs w:val="18"/>
              </w:rPr>
              <w:t>补缴社会保 险或住房公 积金承诺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公司控股股 东庄小红及 实际控制人 庄重、庄小 红和庄展诺 </w:t>
            </w:r>
            <w:r>
              <w:rPr>
                <w:rFonts w:ascii="宋体" w:hAnsi="宋体" w:cs="宋体" w:eastAsia="宋体" w:hint="default"/>
                <w:spacing w:val="-11"/>
                <w:sz w:val="18"/>
                <w:szCs w:val="18"/>
              </w:rPr>
              <w:t>承诺：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如应</w:t>
            </w:r>
            <w:r>
              <w:rPr>
                <w:rFonts w:ascii="宋体" w:hAnsi="宋体" w:cs="宋体" w:eastAsia="宋体" w:hint="default"/>
                <w:sz w:val="18"/>
                <w:szCs w:val="18"/>
              </w:rPr>
              <w:t> 有权部门要 求或根据其 决定，中装 建设或其子 公司需要为 其员工补缴 社保或住房 公积金，或 者中装建设 或其子公司 因未为员工 缴纳住房公 积金而受到 任何罚款或 其他损失， 本人愿意在 无需中装建 设或其子公 司支付任何 对价的情况 下承担所有 相关金钱赔 付义务和责 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z w:val="18"/>
                <w:szCs w:val="18"/>
              </w:rPr>
              <w:t>庄重、庄小 </w:t>
            </w:r>
            <w:r>
              <w:rPr>
                <w:rFonts w:ascii="宋体" w:hAnsi="宋体" w:cs="宋体" w:eastAsia="宋体" w:hint="default"/>
                <w:spacing w:val="-14"/>
                <w:sz w:val="18"/>
                <w:szCs w:val="18"/>
              </w:rPr>
              <w:t>红、庄展诺、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深圳市中装 建设集团股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实际控制人 庄重、庄小 红、庄展诺 承诺：自中 装建设股票 在证券交易 所上市交易 之日起三十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六个月内，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中装建设的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要求发行人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持有的该公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司股份。如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价（如遇除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权、除息事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项，则上述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的计算方法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按照证券交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易所的有关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规定作除权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除息处理，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限自动延长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份锁定期满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所持中装建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转让价格不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
              <w:jc w:val="left"/>
              <w:rPr>
                <w:rFonts w:ascii="宋体" w:hAnsi="宋体" w:cs="宋体" w:eastAsia="宋体" w:hint="default"/>
                <w:sz w:val="18"/>
                <w:szCs w:val="18"/>
              </w:rPr>
            </w:pPr>
            <w:r>
              <w:rPr>
                <w:rFonts w:ascii="宋体" w:hAnsi="宋体" w:cs="宋体" w:eastAsia="宋体" w:hint="default"/>
                <w:sz w:val="18"/>
                <w:szCs w:val="18"/>
              </w:rPr>
              <w:t>（如遇除 权、除息事 项，则上述 股票转让价 格的计算方 法按照证券 交易所的有 关规定作除 权除息处 </w:t>
            </w:r>
            <w:r>
              <w:rPr>
                <w:rFonts w:ascii="宋体" w:hAnsi="宋体" w:cs="宋体" w:eastAsia="宋体" w:hint="default"/>
                <w:spacing w:val="-15"/>
                <w:sz w:val="18"/>
                <w:szCs w:val="18"/>
              </w:rPr>
              <w:t>理，下同）。</w:t>
            </w:r>
            <w:r>
              <w:rPr>
                <w:rFonts w:ascii="宋体" w:hAnsi="宋体" w:cs="宋体" w:eastAsia="宋体" w:hint="default"/>
                <w:sz w:val="18"/>
                <w:szCs w:val="18"/>
              </w:rPr>
              <w:t> 本人在转让 所持中装建 设股票时， 将在减持前</w:t>
            </w:r>
          </w:p>
          <w:p>
            <w:pPr>
              <w:pStyle w:val="TableParagraph"/>
              <w:spacing w:line="309" w:lineRule="auto" w:before="19"/>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通过中装建 设公告。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发行人股东 邓会生承 诺：自中装 建设股票在 证券交易所 上市交易之 日起三十六 个月内，不 转让或者委 托他人管理 本人所持中 装建设的股 份，也不要 求发行人回 购本人所持 有的该公司 股份。发行 人上市前本 人所持有的 股票在锁定 期满后两年 内转让的， 转让价格不 低于发行 价；如发行 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盘价均低于 发行价，或 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 盘价低于发 行价，本人 持有发行人 股票的锁定 期限自动延 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111"/>
              <w:jc w:val="left"/>
              <w:rPr>
                <w:rFonts w:ascii="宋体" w:hAnsi="宋体" w:cs="宋体" w:eastAsia="宋体" w:hint="default"/>
                <w:sz w:val="18"/>
                <w:szCs w:val="18"/>
              </w:rPr>
            </w:pPr>
            <w:r>
              <w:rPr>
                <w:rFonts w:ascii="宋体" w:hAnsi="宋体" w:cs="宋体" w:eastAsia="宋体" w:hint="default"/>
                <w:sz w:val="18"/>
                <w:szCs w:val="18"/>
              </w:rPr>
              <w:t>陈一、鼎润 天成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发行人股东 陈一、鼎润 </w:t>
            </w:r>
            <w:r>
              <w:rPr>
                <w:rFonts w:ascii="宋体" w:hAnsi="宋体" w:cs="宋体" w:eastAsia="宋体" w:hint="default"/>
                <w:spacing w:val="-11"/>
                <w:sz w:val="18"/>
                <w:szCs w:val="18"/>
              </w:rPr>
              <w:t>天成承诺：</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自中装建设 股票在证券 交易所上市 交易之日起 十二个月 内，不转让 或者委托他 人管理本人</w:t>
            </w:r>
          </w:p>
          <w:p>
            <w:pPr>
              <w:pStyle w:val="TableParagraph"/>
              <w:spacing w:line="316" w:lineRule="auto" w:before="19"/>
              <w:ind w:left="103" w:right="113"/>
              <w:jc w:val="both"/>
              <w:rPr>
                <w:rFonts w:ascii="宋体" w:hAnsi="宋体" w:cs="宋体" w:eastAsia="宋体" w:hint="default"/>
                <w:sz w:val="18"/>
                <w:szCs w:val="18"/>
              </w:rPr>
            </w:pPr>
            <w:r>
              <w:rPr>
                <w:rFonts w:ascii="宋体" w:hAnsi="宋体" w:cs="宋体" w:eastAsia="宋体" w:hint="default"/>
                <w:sz w:val="18"/>
                <w:szCs w:val="18"/>
              </w:rPr>
              <w:t>（本企业） 所持中装建 设股份，也 不要求发行 人回购本人</w:t>
            </w:r>
          </w:p>
          <w:p>
            <w:pPr>
              <w:pStyle w:val="TableParagraph"/>
              <w:spacing w:line="316" w:lineRule="auto" w:before="19"/>
              <w:ind w:left="103" w:right="12"/>
              <w:jc w:val="left"/>
              <w:rPr>
                <w:rFonts w:ascii="宋体" w:hAnsi="宋体" w:cs="宋体" w:eastAsia="宋体" w:hint="default"/>
                <w:sz w:val="18"/>
                <w:szCs w:val="18"/>
              </w:rPr>
            </w:pPr>
            <w:r>
              <w:rPr>
                <w:rFonts w:ascii="宋体" w:hAnsi="宋体" w:cs="宋体" w:eastAsia="宋体" w:hint="default"/>
                <w:sz w:val="18"/>
                <w:szCs w:val="18"/>
              </w:rPr>
              <w:t>（本企业） 所持有的该 公司股份。 股份锁定期 满后两年 </w:t>
            </w:r>
            <w:r>
              <w:rPr>
                <w:rFonts w:ascii="宋体" w:hAnsi="宋体" w:cs="宋体" w:eastAsia="宋体" w:hint="default"/>
                <w:spacing w:val="-29"/>
                <w:sz w:val="18"/>
                <w:szCs w:val="18"/>
              </w:rPr>
              <w:t>内，本人（本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企业）转让 的股份不超 过上市时本 </w:t>
            </w:r>
            <w:r>
              <w:rPr>
                <w:rFonts w:ascii="宋体" w:hAnsi="宋体" w:cs="宋体" w:eastAsia="宋体" w:hint="default"/>
                <w:spacing w:val="-14"/>
                <w:sz w:val="18"/>
                <w:szCs w:val="18"/>
              </w:rPr>
              <w:t>人（本企业）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所持中装建 设股票数量 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，转</w:t>
            </w:r>
            <w:r>
              <w:rPr>
                <w:rFonts w:ascii="宋体" w:hAnsi="宋体" w:cs="宋体" w:eastAsia="宋体" w:hint="default"/>
                <w:spacing w:val="-5"/>
                <w:sz w:val="18"/>
                <w:szCs w:val="18"/>
              </w:rPr>
              <w:t> </w:t>
            </w:r>
            <w:r>
              <w:rPr>
                <w:rFonts w:ascii="宋体" w:hAnsi="宋体" w:cs="宋体" w:eastAsia="宋体" w:hint="default"/>
                <w:sz w:val="18"/>
                <w:szCs w:val="18"/>
              </w:rPr>
              <w:t>让价格为届</w:t>
            </w:r>
            <w:r>
              <w:rPr>
                <w:rFonts w:ascii="宋体" w:hAnsi="宋体" w:cs="宋体" w:eastAsia="宋体" w:hint="default"/>
                <w:sz w:val="18"/>
                <w:szCs w:val="18"/>
              </w:rPr>
              <w:t> 时市场价 </w:t>
            </w:r>
            <w:r>
              <w:rPr>
                <w:rFonts w:ascii="宋体" w:hAnsi="宋体" w:cs="宋体" w:eastAsia="宋体" w:hint="default"/>
                <w:spacing w:val="-29"/>
                <w:sz w:val="18"/>
                <w:szCs w:val="18"/>
              </w:rPr>
              <w:t>格。本人（本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103" w:right="275"/>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企业）在转 让所持中装 建设股票 时，将在减 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易日通过中 装建设公 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111"/>
              <w:jc w:val="left"/>
              <w:rPr>
                <w:rFonts w:ascii="宋体" w:hAnsi="宋体" w:cs="宋体" w:eastAsia="宋体" w:hint="default"/>
                <w:sz w:val="18"/>
                <w:szCs w:val="18"/>
              </w:rPr>
            </w:pPr>
            <w:r>
              <w:rPr>
                <w:rFonts w:ascii="宋体" w:hAnsi="宋体" w:cs="宋体" w:eastAsia="宋体" w:hint="default"/>
                <w:sz w:val="18"/>
                <w:szCs w:val="18"/>
              </w:rPr>
              <w:t>庄小红、庄 展诺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7"/>
              <w:jc w:val="left"/>
              <w:rPr>
                <w:rFonts w:ascii="宋体" w:hAnsi="宋体" w:cs="宋体" w:eastAsia="宋体" w:hint="default"/>
                <w:sz w:val="18"/>
                <w:szCs w:val="18"/>
              </w:rPr>
            </w:pPr>
            <w:r>
              <w:rPr>
                <w:rFonts w:ascii="宋体" w:hAnsi="宋体" w:cs="宋体" w:eastAsia="宋体" w:hint="default"/>
                <w:sz w:val="18"/>
                <w:szCs w:val="18"/>
              </w:rPr>
              <w:t>股东庄小红 和庄展诺承 </w:t>
            </w:r>
            <w:r>
              <w:rPr>
                <w:rFonts w:ascii="宋体" w:hAnsi="宋体" w:cs="宋体" w:eastAsia="宋体" w:hint="default"/>
                <w:spacing w:val="-11"/>
                <w:sz w:val="18"/>
                <w:szCs w:val="18"/>
              </w:rPr>
              <w:t>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本人作</w:t>
            </w:r>
            <w:r>
              <w:rPr>
                <w:rFonts w:ascii="宋体" w:hAnsi="宋体" w:cs="宋体" w:eastAsia="宋体" w:hint="default"/>
                <w:sz w:val="18"/>
                <w:szCs w:val="18"/>
              </w:rPr>
              <w:t> 为持有中装 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上股份的股 东，在股份 锁定期满 后，可根据 需要以集中 竞价交易、 大宗交易、 协议转让或 其他合法的 方式转让所 持中装建设 的部分股 票。其中， 锁定期满后 两年内转让 的股份不超 过上市时本 人所持中装 建设股票数 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且转让价格 不低于发行 价（如遇除 权、除息事 项，则上述 股票转让价 格的计算方 法按照证券 交易所的有 关规定作除 权除息处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理，下同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本人在转让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所持中装建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设股票时，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通过中装建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设公告。本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人将忠实履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行承诺，且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保证不会因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离职等原因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不遵守上述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人未能履行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则因未履行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上述承诺而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获得的收入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有，本人还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东大会上公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行的具体原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因并向发行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人股东和社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者道歉。如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果因未履行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他投资者造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本人自违约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之日起将应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红及薪酬由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中装建设直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接用于执行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未履行的承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诺或用于赔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偿因本人未 履行承诺而 给上市公司 或投资者带 来的损失， 直至本人履 行承诺或依 法弥补完上 市公司、投 资者的损失 为止。</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11"/>
              <w:jc w:val="left"/>
              <w:rPr>
                <w:rFonts w:ascii="宋体" w:hAnsi="宋体" w:cs="宋体" w:eastAsia="宋体" w:hint="default"/>
                <w:sz w:val="18"/>
                <w:szCs w:val="18"/>
              </w:rPr>
            </w:pPr>
            <w:r>
              <w:rPr>
                <w:rFonts w:ascii="宋体" w:hAnsi="宋体" w:cs="宋体" w:eastAsia="宋体" w:hint="default"/>
                <w:sz w:val="18"/>
                <w:szCs w:val="18"/>
              </w:rPr>
              <w:t>陈一、鼎润 天成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股东陈一和 鼎润天成承 诺：</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（本企业） 作为持有中 装建设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 股东，在股 份锁定期满 后，可根据 需要以集中 竞价交易、 大宗交易、 协议转让或 其他合法的 方式转让所 持中装建设 的部分股 票。其中， 股份锁定期 满后两年 </w:t>
            </w:r>
            <w:r>
              <w:rPr>
                <w:rFonts w:ascii="宋体" w:hAnsi="宋体" w:cs="宋体" w:eastAsia="宋体" w:hint="default"/>
                <w:spacing w:val="-29"/>
                <w:sz w:val="18"/>
                <w:szCs w:val="18"/>
              </w:rPr>
              <w:t>内，本人（本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企业）转让 的股份数不 超过期满前 直接持有的 股份数的 </w:t>
            </w:r>
            <w:r>
              <w:rPr>
                <w:rFonts w:ascii="Times New Roman" w:hAnsi="Times New Roman" w:cs="Times New Roman" w:eastAsia="Times New Roman" w:hint="default"/>
                <w:sz w:val="18"/>
                <w:szCs w:val="18"/>
              </w:rPr>
              <w:t>50%</w:t>
            </w:r>
            <w:r>
              <w:rPr>
                <w:rFonts w:ascii="宋体" w:hAnsi="宋体" w:cs="宋体" w:eastAsia="宋体" w:hint="default"/>
                <w:sz w:val="18"/>
                <w:szCs w:val="18"/>
              </w:rPr>
              <w:t>，转让 价格为届时 市场价格。 本人（本企 业）在转让 所持中装建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275"/>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设股票时，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通过中装建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设公告。本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1"/>
                <w:sz w:val="18"/>
                <w:szCs w:val="18"/>
              </w:rPr>
              <w:t>人</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将忠实履行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1"/>
                <w:sz w:val="18"/>
                <w:szCs w:val="18"/>
              </w:rPr>
              <w:t>人</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未能履行上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述承诺而获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得的收入归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业）还将在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会上公开说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具体原因并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向发行人股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东和社会公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众投资者道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歉。如果因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或者其他投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自违约之日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起将应得的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现金分红由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中装建设直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接用于执行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未履行的承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诺或用于赔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偿因本人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未履行承诺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而给上市公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司或投资者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带来的损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失，直至本 </w:t>
            </w:r>
            <w:r>
              <w:rPr>
                <w:rFonts w:ascii="宋体" w:hAnsi="宋体" w:cs="宋体" w:eastAsia="宋体" w:hint="default"/>
                <w:spacing w:val="-14"/>
                <w:sz w:val="18"/>
                <w:szCs w:val="18"/>
              </w:rPr>
              <w:t>人（本企业）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履行承诺或 依法弥补完 上市公司、 投资者的损 失为止。</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3" w:right="11"/>
              <w:jc w:val="left"/>
              <w:rPr>
                <w:rFonts w:ascii="宋体" w:hAnsi="宋体" w:cs="宋体" w:eastAsia="宋体" w:hint="default"/>
                <w:sz w:val="18"/>
                <w:szCs w:val="18"/>
              </w:rPr>
            </w:pPr>
            <w:r>
              <w:rPr>
                <w:rFonts w:ascii="宋体" w:hAnsi="宋体" w:cs="宋体" w:eastAsia="宋体" w:hint="default"/>
                <w:sz w:val="18"/>
                <w:szCs w:val="18"/>
              </w:rPr>
              <w:t>庄重、庄小 </w:t>
            </w:r>
            <w:r>
              <w:rPr>
                <w:rFonts w:ascii="宋体" w:hAnsi="宋体" w:cs="宋体" w:eastAsia="宋体" w:hint="default"/>
                <w:spacing w:val="-14"/>
                <w:sz w:val="18"/>
                <w:szCs w:val="18"/>
              </w:rPr>
              <w:t>红、庄展诺、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赵海峰、于 </w:t>
            </w:r>
            <w:r>
              <w:rPr>
                <w:rFonts w:ascii="宋体" w:hAnsi="宋体" w:cs="宋体" w:eastAsia="宋体" w:hint="default"/>
                <w:spacing w:val="-14"/>
                <w:sz w:val="18"/>
                <w:szCs w:val="18"/>
              </w:rPr>
              <w:t>桂添、何斌、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庄超喜、廖 伟潭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0"/>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（一）启动 和停止股价 稳定措施的 条件：本公 司上市后三 年内，当公 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低于每股净 资产（指公 司上一年度 末经审计的 每股净资 产，下同） 时，应当在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 董事会、</w:t>
            </w:r>
            <w:r>
              <w:rPr>
                <w:rFonts w:ascii="Times New Roman" w:hAnsi="Times New Roman" w:cs="Times New Roman" w:eastAsia="Times New Roman" w:hint="default"/>
                <w:sz w:val="18"/>
                <w:szCs w:val="18"/>
              </w:rPr>
              <w:t>25 </w:t>
            </w:r>
            <w:r>
              <w:rPr>
                <w:rFonts w:ascii="宋体" w:hAnsi="宋体" w:cs="宋体" w:eastAsia="宋体" w:hint="default"/>
                <w:sz w:val="18"/>
                <w:szCs w:val="18"/>
              </w:rPr>
              <w:t>日内召开股 东大会，审 议稳定股价 具体方案， 明确该等具 体方案的实 施期间，并 在股东大会 审议通过该 等方案后的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内启动稳定 股价具体方 案的实施。 在股价稳定 措施的实施 期间内，如 公司股票连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易日收盘价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停止实施股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130"/>
                <w:sz w:val="18"/>
                <w:szCs w:val="18"/>
              </w:rPr>
              <w:t>。</w:t>
            </w:r>
            <w:r>
              <w:rPr>
                <w:rFonts w:ascii="宋体" w:hAnsi="宋体" w:cs="宋体" w:eastAsia="宋体" w:hint="default"/>
                <w:sz w:val="18"/>
                <w:szCs w:val="18"/>
              </w:rPr>
              <w:t>（二</w:t>
            </w:r>
            <w:r>
              <w:rPr>
                <w:rFonts w:ascii="宋体" w:hAnsi="宋体" w:cs="宋体" w:eastAsia="宋体" w:hint="default"/>
                <w:spacing w:val="-40"/>
                <w:sz w:val="18"/>
                <w:szCs w:val="18"/>
              </w:rPr>
              <w:t>）</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定股价的具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在不影响公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司正常生产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下，经董事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会审议同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意，通过交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易所集中竞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价交易方式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或证券监督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管理部门认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式回购公司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每十二个月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内回购资金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不超过上一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经审计的净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于自有资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金、银行贷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款等方式</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回购价格不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资产；</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符合股票交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按照公司关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具体方案中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确定的增持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方案和期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间，公司控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际控制人以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不超过等值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措施启动条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件成就当天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其控制或直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接持有的股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票市值的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且不低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元的自有资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金在二级市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场增持流通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股股份，其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不高于每股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在符合股票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下，按照公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司关于稳定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股价具体方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案中确定的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增持方案和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员通过交易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交易方式增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票。增持价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格不高于每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购买所增持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股票的总金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额不低于其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上年度从公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司获取的税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后薪酬及津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贴的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施启动时，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控股股东和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增持股票为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第一顺位，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票为第二顺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w:t>
            </w:r>
            <w:r>
              <w:rPr>
                <w:rFonts w:ascii="宋体" w:hAnsi="宋体" w:cs="宋体" w:eastAsia="宋体" w:hint="default"/>
                <w:spacing w:val="-86"/>
                <w:sz w:val="18"/>
                <w:szCs w:val="18"/>
              </w:rPr>
              <w:t>，</w:t>
            </w:r>
            <w:r>
              <w:rPr>
                <w:rFonts w:ascii="宋体" w:hAnsi="宋体" w:cs="宋体" w:eastAsia="宋体" w:hint="default"/>
                <w:sz w:val="18"/>
                <w:szCs w:val="18"/>
              </w:rPr>
              <w:t>董</w:t>
            </w:r>
            <w:r>
              <w:rPr>
                <w:rFonts w:ascii="宋体" w:hAnsi="宋体" w:cs="宋体" w:eastAsia="宋体" w:hint="default"/>
                <w:spacing w:val="-86"/>
                <w:sz w:val="18"/>
                <w:szCs w:val="18"/>
              </w:rPr>
              <w:t>事</w:t>
            </w:r>
            <w:r>
              <w:rPr>
                <w:rFonts w:ascii="宋体" w:hAnsi="宋体" w:cs="宋体" w:eastAsia="宋体" w:hint="default"/>
                <w:sz w:val="18"/>
                <w:szCs w:val="18"/>
              </w:rPr>
              <w:t>（独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持股票为第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三顺位。控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际控制人增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持到承诺的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最大金额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价仍未达到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停止股价稳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定方案条件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司实施回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购；公司增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持到最大回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购资金后，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公司股价仍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未达到停止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股价稳定方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的，则由董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承担增持义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130"/>
                <w:sz w:val="18"/>
                <w:szCs w:val="18"/>
              </w:rPr>
              <w:t>。</w:t>
            </w:r>
            <w:r>
              <w:rPr>
                <w:rFonts w:ascii="宋体" w:hAnsi="宋体" w:cs="宋体" w:eastAsia="宋体" w:hint="default"/>
                <w:sz w:val="18"/>
                <w:szCs w:val="18"/>
              </w:rPr>
              <w:t>（三</w:t>
            </w:r>
            <w:r>
              <w:rPr>
                <w:rFonts w:ascii="宋体" w:hAnsi="宋体" w:cs="宋体" w:eastAsia="宋体" w:hint="default"/>
                <w:spacing w:val="-40"/>
                <w:sz w:val="18"/>
                <w:szCs w:val="18"/>
              </w:rPr>
              <w:t>）</w:t>
            </w:r>
            <w:r>
              <w:rPr>
                <w:rFonts w:ascii="宋体" w:hAnsi="宋体" w:cs="宋体" w:eastAsia="宋体" w:hint="default"/>
                <w:sz w:val="18"/>
                <w:szCs w:val="18"/>
              </w:rPr>
              <w:t>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在公司股东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大会上公开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说明未采取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价措施的具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体原因并向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公司有权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责令控股股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东在限期内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票义务，控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股股东仍不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以其最低增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持金额减去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其实际增持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（如有）向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金补偿。控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支付现金补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有权扣减其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应向控股股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东支付的分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红；</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股东多次违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反上述规定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的，现金补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偿金额累计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有权责令董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在限期内履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义务，董事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应以其最低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增持金额减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去其实际增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持股票金额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（如有）向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金补偿。董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拒不支付现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公司有权扣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减其应向董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支付的薪酬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或分红（如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pacing w:val="-81"/>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拒不履行本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预案规定的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股票增持义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务情节严重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东或董事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81"/>
                <w:sz w:val="18"/>
                <w:szCs w:val="18"/>
              </w:rPr>
              <w:t>、</w:t>
            </w:r>
            <w:r>
              <w:rPr>
                <w:rFonts w:ascii="宋体" w:hAnsi="宋体" w:cs="宋体" w:eastAsia="宋体" w:hint="default"/>
                <w:sz w:val="18"/>
                <w:szCs w:val="18"/>
              </w:rPr>
              <w:t>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半数以上的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权提请股东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大会更换相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关董事，公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司董事会有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权解聘相关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130"/>
                <w:sz w:val="18"/>
                <w:szCs w:val="18"/>
              </w:rPr>
              <w:t>。</w:t>
            </w:r>
            <w:r>
              <w:rPr>
                <w:rFonts w:ascii="宋体" w:hAnsi="宋体" w:cs="宋体" w:eastAsia="宋体" w:hint="default"/>
                <w:sz w:val="18"/>
                <w:szCs w:val="18"/>
              </w:rPr>
              <w:t>（四</w:t>
            </w:r>
            <w:r>
              <w:rPr>
                <w:rFonts w:ascii="宋体" w:hAnsi="宋体" w:cs="宋体" w:eastAsia="宋体" w:hint="default"/>
                <w:spacing w:val="-40"/>
                <w:sz w:val="18"/>
                <w:szCs w:val="18"/>
              </w:rPr>
              <w:t>）</w:t>
            </w:r>
            <w:r>
              <w:rPr>
                <w:rFonts w:ascii="宋体" w:hAnsi="宋体" w:cs="宋体" w:eastAsia="宋体" w:hint="default"/>
                <w:sz w:val="18"/>
                <w:szCs w:val="18"/>
              </w:rPr>
              <w:t>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律程序：本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稳定股价预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案经公司股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东大会审议 通过，自公 司完成首次 公开发行股 票并上市之 日起生效。 如因法律、 法规修订或 政策变动等 情形导致本 预案与相关 规定不符， 公司董事会 应对本预案 进行调整， 并需经出席 股东大会的 股东所持表 决权三分之 二以上同意 通过。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庄重、庄小 红、庄展诺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关于同行业 竞争、关联 交易的承诺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公司控股股 东庄小红、 庄展诺、实 际控制人庄 重关于避免 同业竞争的 </w:t>
            </w:r>
            <w:r>
              <w:rPr>
                <w:rFonts w:ascii="宋体" w:hAnsi="宋体" w:cs="宋体" w:eastAsia="宋体" w:hint="default"/>
                <w:spacing w:val="-10"/>
                <w:sz w:val="18"/>
                <w:szCs w:val="18"/>
              </w:rPr>
              <w:t>承诺：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截至本承诺 函签署之 日，本人及 本人控制的 其他公司均 未生产、开 发任何与中 装建设及其 下属子公司 生产的产品 构成竞争或 可能构成竞 争的产品， 未直接或间 接经营任何 与中装建设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及其下属子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务，也未参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与投资任何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与中装建设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及其下属子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公司生产的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产品或经营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将不生产、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中装建设及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司生产的产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或间接经营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任何与中装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建设及其下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属子公司经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的业务，也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不参与投资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任何与中装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建设及其下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属子公司生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构成竞争或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他公司进一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步拓展产品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和业务范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围，本人及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不与中装建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设及其下属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子公司拓展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争；若与中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装建设及其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拓展后产品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或业务产生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司将以停止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生产或经营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务或产品的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业务纳入到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中装建设经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或者将相竞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争的业务转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关系的第三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方的方式避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公司与中装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建设存在关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联关系期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承诺。如上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述承诺被证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明是不真实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或未被遵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守，本人将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向中装建设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赔偿一切直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接和间接损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失，并承担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相应的法律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责任。</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庄小红、庄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展诺、实际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控制人庄重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关于规范和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减少与深圳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市中装建设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地位促使中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装建设股东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大会或董事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会做出侵犯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东合法权益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的决议；在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与中装建设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发生关联交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易时，将按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照公平合理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和正常的商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业交易条件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会要求或接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9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受中装建设 给予比在任 何一项市场 公平交易中 第三者更优 惠的条件， 并善意、严 格的履行与 中装建设签 订的各种关 联交易协 议，不会向 中装建设谋 求任何超出 上述规定以 外的利益或 </w:t>
            </w:r>
            <w:r>
              <w:rPr>
                <w:rFonts w:ascii="宋体" w:hAnsi="宋体" w:cs="宋体" w:eastAsia="宋体" w:hint="default"/>
                <w:spacing w:val="-15"/>
                <w:sz w:val="18"/>
                <w:szCs w:val="18"/>
              </w:rPr>
              <w:t>收益。（</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 在本人及本 人控制的其 他公司与中 装建设存在 关联关系期 间，本承诺 函为有效之 承诺。如上 述承诺被证 明是不真实 或未被遵 守，本人将 向中装建设 赔偿一切直 接和间接损 失，并承担 相应的法律 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8"/>
        <w:rPr>
          <w:rFonts w:ascii="Times New Roman" w:hAnsi="Times New Roman" w:cs="Times New Roman" w:eastAsia="Times New Roman" w:hint="default"/>
          <w:sz w:val="24"/>
          <w:szCs w:val="24"/>
        </w:rPr>
      </w:pPr>
    </w:p>
    <w:p>
      <w:pPr>
        <w:pStyle w:val="Heading3"/>
        <w:spacing w:line="259" w:lineRule="auto" w:before="35"/>
        <w:ind w:right="1032"/>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32"/>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1375"/>
        <w:jc w:val="left"/>
        <w:rPr>
          <w:b w:val="0"/>
          <w:bCs w:val="0"/>
        </w:rPr>
      </w:pPr>
      <w:bookmarkStart w:name="五、董事会、监事会、独立董事（如有）对会计师事务所本报告期“非标准审计报告”的说" w:id="66"/>
      <w:bookmarkEnd w:id="66"/>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74" w:right="1126" w:hanging="420"/>
        <w:jc w:val="left"/>
      </w:pPr>
      <w:r>
        <w:rPr/>
        <w:t>√ 适用 □ 不适用 </w:t>
      </w: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15</w:t>
      </w:r>
      <w:r>
        <w:rPr>
          <w:spacing w:val="-4"/>
        </w:rPr>
        <w:t>日，财政部发布《关于修订印发</w:t>
      </w:r>
      <w:r>
        <w:rPr>
          <w:rFonts w:ascii="宋体" w:hAnsi="宋体" w:cs="宋体" w:eastAsia="宋体" w:hint="default"/>
          <w:spacing w:val="-4"/>
        </w:rPr>
        <w:t>2018</w:t>
      </w:r>
      <w:r>
        <w:rPr>
          <w:spacing w:val="-4"/>
        </w:rPr>
        <w:t>年度一般企业财务报表格式的通知》（财会〔</w:t>
      </w:r>
      <w:r>
        <w:rPr>
          <w:rFonts w:ascii="宋体" w:hAnsi="宋体" w:cs="宋体" w:eastAsia="宋体" w:hint="default"/>
          <w:spacing w:val="-4"/>
        </w:rPr>
        <w:t>2018</w:t>
      </w:r>
      <w:r>
        <w:rPr>
          <w:spacing w:val="-4"/>
        </w:rPr>
        <w:t>〕</w:t>
      </w:r>
      <w:r>
        <w:rPr>
          <w:rFonts w:ascii="宋体" w:hAnsi="宋体" w:cs="宋体" w:eastAsia="宋体" w:hint="default"/>
          <w:spacing w:val="-4"/>
        </w:rPr>
        <w:t>15</w:t>
      </w:r>
      <w:r>
        <w:rPr>
          <w:spacing w:val="-4"/>
        </w:rPr>
        <w:t>号），对一般企</w:t>
      </w:r>
    </w:p>
    <w:p>
      <w:pPr>
        <w:pStyle w:val="BodyText"/>
        <w:spacing w:line="224" w:lineRule="exact"/>
        <w:ind w:right="1032"/>
        <w:jc w:val="left"/>
      </w:pPr>
      <w:r>
        <w:rPr/>
        <w:t>业财务报表格式进行了修订，适用于</w:t>
      </w:r>
      <w:r>
        <w:rPr>
          <w:rFonts w:ascii="宋体" w:hAnsi="宋体" w:cs="宋体" w:eastAsia="宋体" w:hint="default"/>
        </w:rPr>
        <w:t>2018</w:t>
      </w:r>
      <w:r>
        <w:rPr/>
        <w:t>年度及以后期间的财务报表。</w:t>
      </w:r>
    </w:p>
    <w:p>
      <w:pPr>
        <w:spacing w:line="240" w:lineRule="auto" w:before="2"/>
        <w:rPr>
          <w:rFonts w:ascii="宋体" w:hAnsi="宋体" w:cs="宋体" w:eastAsia="宋体" w:hint="default"/>
          <w:sz w:val="25"/>
          <w:szCs w:val="25"/>
        </w:rPr>
      </w:pPr>
    </w:p>
    <w:p>
      <w:pPr>
        <w:pStyle w:val="Heading2"/>
        <w:spacing w:line="240" w:lineRule="auto"/>
        <w:ind w:right="1032"/>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612"/>
        <w:jc w:val="left"/>
      </w:pPr>
      <w:r>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962" w:hanging="360"/>
        <w:jc w:val="left"/>
      </w:pPr>
      <w:r>
        <w:rPr/>
        <w:t>√ 适用 □ 不适用 </w:t>
      </w:r>
      <w:r>
        <w:rPr>
          <w:rFonts w:ascii="宋体" w:hAnsi="宋体" w:cs="宋体" w:eastAsia="宋体" w:hint="default"/>
        </w:rPr>
        <w:t>1</w:t>
      </w:r>
      <w:r>
        <w:rPr/>
        <w:t>、本期增加孙公司的情况说明</w:t>
      </w:r>
    </w:p>
    <w:p>
      <w:pPr>
        <w:pStyle w:val="BodyText"/>
        <w:spacing w:line="316" w:lineRule="auto" w:before="108"/>
        <w:ind w:right="1122" w:firstLine="360"/>
        <w:jc w:val="left"/>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日，本公司通过子公司深圳市中装新能源科技有限公司投资设立控股孙公司深圳市中装希奥特能源科技有 </w:t>
      </w:r>
      <w:r>
        <w:rPr>
          <w:spacing w:val="-2"/>
        </w:rPr>
        <w:t>限公司（以下简称中装希奥特），注册资本</w:t>
      </w:r>
      <w:r>
        <w:rPr>
          <w:rFonts w:ascii="宋体" w:hAnsi="宋体" w:cs="宋体" w:eastAsia="宋体" w:hint="default"/>
          <w:spacing w:val="-2"/>
        </w:rPr>
        <w:t>1,000.00</w:t>
      </w:r>
      <w:r>
        <w:rPr>
          <w:spacing w:val="-2"/>
        </w:rPr>
        <w:t>万元。因此中装希奥特自</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日开始纳入合并范围。</w:t>
      </w:r>
    </w:p>
    <w:p>
      <w:pPr>
        <w:pStyle w:val="BodyText"/>
        <w:spacing w:line="432" w:lineRule="exact" w:before="3"/>
        <w:ind w:left="514" w:right="1032"/>
        <w:jc w:val="left"/>
      </w:pPr>
      <w:r>
        <w:rPr>
          <w:rFonts w:ascii="宋体" w:hAnsi="宋体" w:cs="宋体" w:eastAsia="宋体" w:hint="default"/>
        </w:rPr>
        <w:t>2</w:t>
      </w:r>
      <w:r>
        <w:rPr/>
        <w:t>、本期减少子公司的情况说明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日经第三届董事会第二次会议审议通过《关于注销全资子公司吉林省中装装饰工程有限公司的议案》</w:t>
      </w:r>
    </w:p>
    <w:p>
      <w:pPr>
        <w:pStyle w:val="BodyText"/>
        <w:spacing w:line="316" w:lineRule="auto" w:before="15"/>
        <w:ind w:right="1129"/>
        <w:jc w:val="both"/>
      </w:pPr>
      <w:r>
        <w:rPr>
          <w:spacing w:val="-2"/>
        </w:rPr>
        <w:t>和《关于注销控股子公司中装利丰建筑工程有限公司的议案》，同意注销吉林中装和中装利丰，并授权吉林中装和中装利丰</w:t>
      </w:r>
      <w:r>
        <w:rPr>
          <w:spacing w:val="-63"/>
        </w:rPr>
        <w:t> </w:t>
      </w:r>
      <w:r>
        <w:rPr>
          <w:spacing w:val="-63"/>
        </w:rPr>
      </w:r>
      <w:r>
        <w:rPr>
          <w:spacing w:val="-2"/>
        </w:rPr>
        <w:t>经营管理层负责办理清算、注销事宜，截至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日，吉林省中装装饰工程有限公司已经完成了清算并办理完成了工</w:t>
      </w:r>
      <w:r>
        <w:rPr>
          <w:spacing w:val="-58"/>
        </w:rPr>
        <w:t> </w:t>
      </w:r>
      <w:r>
        <w:rPr>
          <w:spacing w:val="-58"/>
        </w:rPr>
      </w:r>
      <w:r>
        <w:rPr/>
        <w:t>商、税务注销，仅银行注销手续在办理过程中。</w:t>
      </w:r>
    </w:p>
    <w:p>
      <w:pPr>
        <w:spacing w:line="240" w:lineRule="auto" w:before="10"/>
        <w:rPr>
          <w:rFonts w:ascii="宋体" w:hAnsi="宋体" w:cs="宋体" w:eastAsia="宋体" w:hint="default"/>
          <w:sz w:val="20"/>
          <w:szCs w:val="20"/>
        </w:rPr>
      </w:pPr>
    </w:p>
    <w:p>
      <w:pPr>
        <w:pStyle w:val="Heading2"/>
        <w:spacing w:line="240" w:lineRule="auto"/>
        <w:ind w:right="1032"/>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屈先富、唐亚波</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屈先富服务的连续年限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年，唐亚波服务的连续年限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51"/>
        <w:ind w:right="1032"/>
        <w:jc w:val="left"/>
      </w:pPr>
      <w:r>
        <w:rPr/>
        <w:t>当期是否改聘会计师事务所</w:t>
      </w:r>
    </w:p>
    <w:p>
      <w:pPr>
        <w:pStyle w:val="BodyText"/>
        <w:spacing w:line="357" w:lineRule="auto" w:before="117"/>
        <w:ind w:right="6252"/>
        <w:jc w:val="left"/>
      </w:pPr>
      <w:r>
        <w:rPr/>
        <w:t>□ 是 √ 否 聘请内部控制审计会计师事务所、财务顾问或保荐人情况</w:t>
      </w:r>
    </w:p>
    <w:p>
      <w:pPr>
        <w:pStyle w:val="BodyText"/>
        <w:spacing w:line="240" w:lineRule="auto" w:before="29"/>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本报告期公司无重大诉讼、仲裁事项。</w:t>
      </w:r>
    </w:p>
    <w:p>
      <w:pPr>
        <w:spacing w:line="240" w:lineRule="auto" w:before="5"/>
        <w:rPr>
          <w:rFonts w:ascii="宋体" w:hAnsi="宋体" w:cs="宋体" w:eastAsia="宋体" w:hint="default"/>
          <w:sz w:val="18"/>
          <w:szCs w:val="18"/>
        </w:rPr>
      </w:pPr>
    </w:p>
    <w:p>
      <w:pPr>
        <w:pStyle w:val="Heading2"/>
        <w:spacing w:line="240" w:lineRule="auto"/>
        <w:ind w:right="1032"/>
        <w:jc w:val="left"/>
        <w:rPr>
          <w:b w:val="0"/>
          <w:bCs w:val="0"/>
        </w:rPr>
      </w:pPr>
      <w:bookmarkStart w:name="十三、处罚及整改情况" w:id="74"/>
      <w:bookmarkEnd w:id="74"/>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872"/>
        <w:jc w:val="left"/>
      </w:pPr>
      <w:r>
        <w:rPr/>
        <w:t>□ 适用 √ 不适用 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 适用 √ 不适用 公司报告期未发生与日常经营相关的关联交易。</w:t>
      </w:r>
    </w:p>
    <w:p>
      <w:pPr>
        <w:spacing w:after="0" w:line="357" w:lineRule="auto"/>
        <w:jc w:val="left"/>
        <w:sectPr>
          <w:pgSz w:w="11910" w:h="16840"/>
          <w:pgMar w:header="917" w:footer="1019" w:top="1100" w:bottom="1200" w:left="98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15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托管情况" w:id="85"/>
      <w:bookmarkEnd w:id="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公司报告期不存在承包情况。</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租赁情况说明</w:t>
      </w:r>
    </w:p>
    <w:p>
      <w:pPr>
        <w:pStyle w:val="BodyText"/>
        <w:spacing w:line="316" w:lineRule="auto" w:before="26"/>
        <w:ind w:right="1122"/>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日，公司及其各分子公司、办事处总共租赁</w:t>
      </w:r>
      <w:r>
        <w:rPr>
          <w:rFonts w:ascii="宋体" w:hAnsi="宋体" w:cs="宋体" w:eastAsia="宋体" w:hint="default"/>
        </w:rPr>
        <w:t>33</w:t>
      </w:r>
      <w:r>
        <w:rPr/>
        <w:t>处房产用于办公，合计租赁面积</w:t>
      </w:r>
      <w:r>
        <w:rPr>
          <w:rFonts w:ascii="宋体" w:hAnsi="宋体" w:cs="宋体" w:eastAsia="宋体" w:hint="default"/>
        </w:rPr>
        <w:t>9168.45</w:t>
      </w:r>
      <w:r>
        <w:rPr/>
        <w:t>平方米，均在有效 租赁期限内。</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13"/>
        <w:rPr>
          <w:rFonts w:ascii="宋体" w:hAnsi="宋体" w:cs="宋体" w:eastAsia="宋体" w:hint="default"/>
          <w:sz w:val="22"/>
          <w:szCs w:val="22"/>
        </w:rPr>
      </w:pPr>
    </w:p>
    <w:p>
      <w:pPr>
        <w:pStyle w:val="BodyText"/>
        <w:spacing w:line="240" w:lineRule="auto" w:before="44"/>
        <w:ind w:right="1032"/>
        <w:jc w:val="left"/>
      </w:pPr>
      <w:r>
        <w:rPr/>
        <w:t>公司报告期不存在担保情况。</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委托理财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980" w:right="0"/>
        </w:sectPr>
      </w:pPr>
    </w:p>
    <w:p>
      <w:pPr>
        <w:pStyle w:val="BodyText"/>
        <w:spacing w:line="357"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100" w:bottom="120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32"/>
        <w:jc w:val="left"/>
      </w:pPr>
      <w:r>
        <w:rPr/>
        <w:t>单项金额重大或安全性较低、流动性较差、不保本的高风险委托理财具体情况</w:t>
      </w:r>
    </w:p>
    <w:p>
      <w:pPr>
        <w:pStyle w:val="BodyText"/>
        <w:spacing w:line="357" w:lineRule="auto" w:before="117"/>
        <w:ind w:right="5712"/>
        <w:jc w:val="left"/>
      </w:pPr>
      <w:r>
        <w:rPr/>
        <w:t>□ 适用 √ 不适用 委托理财出现预期无法收回本金或存在其他可能导致减值的情形</w:t>
      </w:r>
    </w:p>
    <w:p>
      <w:pPr>
        <w:pStyle w:val="BodyText"/>
        <w:spacing w:line="240" w:lineRule="auto" w:before="29"/>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2"/>
        <w:jc w:val="left"/>
      </w:pPr>
      <w:r>
        <w:rPr/>
        <w:t>□ 适用 √ 不适用 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十八、社会责任情况" w:id="93"/>
      <w:bookmarkEnd w:id="93"/>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履行社会责任情况" w:id="94"/>
      <w:bookmarkEnd w:id="94"/>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公司严格按照相关法律法规的要求，并根据自身的实际情况积极履行社会责任的工作，遵守社会公德、商业道德，促进</w:t>
      </w:r>
      <w:r>
        <w:rPr/>
        <w:t> 公司与全社会的协调、和谐发展。</w:t>
      </w:r>
    </w:p>
    <w:p>
      <w:pPr>
        <w:spacing w:line="357" w:lineRule="auto" w:before="56"/>
        <w:ind w:left="514" w:right="1032" w:hanging="95"/>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）注重投资者回报及权益保护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为进一步完善公司利润分配政策，积极有效地回报投资者，公司已根据中国证监会的相关规定及监管要求，细化了《公</w:t>
      </w:r>
    </w:p>
    <w:p>
      <w:pPr>
        <w:pStyle w:val="BodyText"/>
        <w:spacing w:line="224" w:lineRule="exact"/>
        <w:ind w:right="1032"/>
        <w:jc w:val="left"/>
      </w:pPr>
      <w:r>
        <w:rPr/>
        <w:t>司章程</w:t>
      </w:r>
      <w:r>
        <w:rPr>
          <w:spacing w:val="-13"/>
        </w:rPr>
        <w:t>》</w:t>
      </w:r>
      <w:r>
        <w:rPr/>
        <w:t>相关利润分配的条款</w:t>
      </w:r>
      <w:r>
        <w:rPr>
          <w:spacing w:val="-13"/>
        </w:rPr>
        <w:t>，</w:t>
      </w:r>
      <w:r>
        <w:rPr/>
        <w:t>董事会也制定</w:t>
      </w:r>
      <w:r>
        <w:rPr>
          <w:spacing w:val="-13"/>
        </w:rPr>
        <w:t>了</w:t>
      </w:r>
      <w:r>
        <w:rPr/>
        <w:t>《未来三</w:t>
      </w:r>
      <w:r>
        <w:rPr>
          <w:spacing w:val="-13"/>
        </w:rPr>
        <w:t>年</w:t>
      </w:r>
      <w:r>
        <w:rPr>
          <w:spacing w:val="1"/>
        </w:rPr>
        <w:t>（</w:t>
      </w:r>
      <w:r>
        <w:rPr>
          <w:rFonts w:ascii="宋体" w:hAnsi="宋体" w:cs="宋体" w:eastAsia="宋体" w:hint="default"/>
        </w:rPr>
        <w:t>2017-2019</w:t>
      </w:r>
      <w:r>
        <w:rPr>
          <w:spacing w:val="-13"/>
        </w:rPr>
        <w:t>）</w:t>
      </w:r>
      <w:r>
        <w:rPr/>
        <w:t>股东回报规划</w:t>
      </w:r>
      <w:r>
        <w:rPr>
          <w:spacing w:val="-90"/>
        </w:rPr>
        <w:t>》</w:t>
      </w:r>
      <w:r>
        <w:rPr>
          <w:spacing w:val="-13"/>
        </w:rPr>
        <w:t>。</w:t>
      </w:r>
      <w:r>
        <w:rPr/>
        <w:t>首次公开发行后</w:t>
      </w:r>
      <w:r>
        <w:rPr>
          <w:spacing w:val="-13"/>
        </w:rPr>
        <w:t>，</w:t>
      </w:r>
      <w:r>
        <w:rPr/>
        <w:t>公司将严</w:t>
      </w:r>
      <w:r>
        <w:rPr>
          <w:spacing w:val="1"/>
        </w:rPr>
        <w:t>格</w:t>
      </w:r>
      <w:r>
        <w:rPr/>
        <w:t>执</w:t>
      </w:r>
    </w:p>
    <w:p>
      <w:pPr>
        <w:pStyle w:val="BodyText"/>
        <w:spacing w:line="319" w:lineRule="auto" w:before="76"/>
        <w:ind w:right="1032"/>
        <w:jc w:val="left"/>
      </w:pPr>
      <w:r>
        <w:rPr>
          <w:spacing w:val="-2"/>
        </w:rPr>
        <w:t>行公司分红政策，在符合利润分配条件的情况下，积极对股东给予回报，降低首次公开发行对公司即期回报的摊薄，确保公</w:t>
      </w:r>
      <w:r>
        <w:rPr>
          <w:spacing w:val="-66"/>
        </w:rPr>
        <w:t> </w:t>
      </w:r>
      <w:r>
        <w:rPr>
          <w:spacing w:val="-66"/>
        </w:rPr>
      </w:r>
      <w:r>
        <w:rPr/>
        <w:t>司股东特别是中小股东的利益得到保护。</w:t>
      </w:r>
    </w:p>
    <w:p>
      <w:pPr>
        <w:spacing w:line="240" w:lineRule="auto" w:before="7"/>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现金分红（含税</w:t>
            </w:r>
            <w:r>
              <w:rPr>
                <w:rFonts w:ascii="宋体" w:hAnsi="宋体" w:cs="宋体" w:eastAsia="宋体" w:hint="default"/>
                <w:sz w:val="18"/>
                <w:szCs w:val="18"/>
              </w:rPr>
              <w:t>/</w:t>
            </w:r>
            <w:r>
              <w:rPr>
                <w:rFonts w:ascii="宋体" w:hAnsi="宋体" w:cs="宋体" w:eastAsia="宋体" w:hint="default"/>
                <w:sz w:val="18"/>
                <w:szCs w:val="18"/>
              </w:rPr>
              <w:t>万元）</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资本公积金转增股本（万元）</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sz w:val="18"/>
              </w:rPr>
              <w:t>2018</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sz w:val="18"/>
              </w:rPr>
              <w:t>1,800.00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2017</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3,000.00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2016</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sz w:val="18"/>
              </w:rPr>
              <w:t>6,000.00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sz w:val="18"/>
              </w:rPr>
              <w:t>30,000.00</w:t>
            </w:r>
          </w:p>
        </w:tc>
      </w:tr>
      <w:tr>
        <w:trPr>
          <w:trHeight w:val="42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sz w:val="18"/>
              </w:rPr>
              <w:t>10,800.00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sz w:val="18"/>
              </w:rPr>
              <w:t>30,000.00</w:t>
            </w:r>
          </w:p>
        </w:tc>
      </w:tr>
    </w:tbl>
    <w:p>
      <w:pPr>
        <w:pStyle w:val="BodyText"/>
        <w:spacing w:line="240" w:lineRule="auto" w:before="51"/>
        <w:ind w:left="514" w:right="1032"/>
        <w:jc w:val="left"/>
      </w:pPr>
      <w:r>
        <w:rPr/>
        <w:t>上市以来，公司累计现金分红金额达到</w:t>
      </w:r>
      <w:r>
        <w:rPr>
          <w:rFonts w:ascii="宋体" w:hAnsi="宋体" w:cs="宋体" w:eastAsia="宋体" w:hint="default"/>
        </w:rPr>
        <w:t>1.08</w:t>
      </w:r>
      <w:r>
        <w:rPr/>
        <w:t>亿，以资本公积金转增股本</w:t>
      </w:r>
      <w:r>
        <w:rPr>
          <w:rFonts w:ascii="宋体" w:hAnsi="宋体" w:cs="宋体" w:eastAsia="宋体" w:hint="default"/>
        </w:rPr>
        <w:t>3</w:t>
      </w:r>
      <w:r>
        <w:rPr/>
        <w:t>亿，共计回报股东</w:t>
      </w:r>
      <w:r>
        <w:rPr>
          <w:rFonts w:ascii="宋体" w:hAnsi="宋体" w:cs="宋体" w:eastAsia="宋体" w:hint="default"/>
        </w:rPr>
        <w:t>4.08</w:t>
      </w:r>
      <w:r>
        <w:rPr/>
        <w:t>亿元。</w:t>
      </w:r>
    </w:p>
    <w:p>
      <w:pPr>
        <w:pStyle w:val="BodyText"/>
        <w:spacing w:line="357" w:lineRule="auto" w:before="117"/>
        <w:ind w:left="514" w:right="1032" w:hanging="95"/>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）注重职工权益保护</w:t>
      </w:r>
      <w:r>
        <w:rPr>
          <w:rFonts w:ascii="宋体" w:hAnsi="宋体" w:cs="宋体" w:eastAsia="宋体" w:hint="default"/>
          <w:b/>
          <w:bCs/>
          <w:w w:val="99"/>
        </w:rPr>
        <w:t> </w:t>
      </w:r>
      <w:r>
        <w:rPr>
          <w:spacing w:val="-2"/>
        </w:rPr>
        <w:t>公司在高速发展的同时，始终注重职工权益的维护。公司严格按照《劳动法》等相关规定，建立合法的用工制度，为员</w:t>
      </w:r>
    </w:p>
    <w:p>
      <w:pPr>
        <w:pStyle w:val="BodyText"/>
        <w:spacing w:line="225" w:lineRule="exact"/>
        <w:ind w:right="1032"/>
        <w:jc w:val="left"/>
      </w:pPr>
      <w:r>
        <w:rPr>
          <w:spacing w:val="-4"/>
        </w:rPr>
        <w:t>工缴纳社会保险，员工享有国家规定的各项合法权益。公司重视人才培养，积极开展职工培训，实现职工与企业的共同成长。</w:t>
      </w:r>
    </w:p>
    <w:p>
      <w:pPr>
        <w:pStyle w:val="BodyText"/>
        <w:spacing w:line="357" w:lineRule="auto" w:before="116"/>
        <w:ind w:left="514" w:right="1032" w:hanging="95"/>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）环境保护</w:t>
      </w:r>
      <w:r>
        <w:rPr>
          <w:rFonts w:ascii="宋体" w:hAnsi="宋体" w:cs="宋体" w:eastAsia="宋体" w:hint="default"/>
          <w:b/>
          <w:bCs/>
          <w:w w:val="99"/>
        </w:rPr>
        <w:t> </w:t>
      </w:r>
      <w:r>
        <w:rPr>
          <w:spacing w:val="-2"/>
        </w:rPr>
        <w:t>公司所处的建筑装饰行业不属于重污染行业，对环境的影响主要体现在部分建筑材料的挥发性气体及建筑垃圾等。在生</w:t>
      </w:r>
    </w:p>
    <w:p>
      <w:pPr>
        <w:pStyle w:val="BodyText"/>
        <w:spacing w:line="224" w:lineRule="exact"/>
        <w:ind w:right="0"/>
        <w:jc w:val="left"/>
      </w:pPr>
      <w:r>
        <w:rPr>
          <w:spacing w:val="-3"/>
        </w:rPr>
        <w:t>产经营过程中，公司全面贯彻实施</w:t>
      </w:r>
      <w:r>
        <w:rPr>
          <w:rFonts w:ascii="宋体" w:hAnsi="宋体" w:cs="宋体" w:eastAsia="宋体" w:hint="default"/>
          <w:spacing w:val="-3"/>
        </w:rPr>
        <w:t>ISO14001</w:t>
      </w:r>
      <w:r>
        <w:rPr>
          <w:spacing w:val="-3"/>
        </w:rPr>
        <w:t>环境管理体系，制定了多项环境保护措施并严格执行从材料选择、施工过程控制、</w:t>
      </w:r>
    </w:p>
    <w:p>
      <w:pPr>
        <w:pStyle w:val="BodyText"/>
        <w:spacing w:line="240" w:lineRule="auto" w:before="77"/>
        <w:ind w:right="1032"/>
        <w:jc w:val="left"/>
      </w:pPr>
      <w:r>
        <w:rPr/>
        <w:t>施工后期清理等方面尽量避免对环境的污染。公司也同时定期组织员工参与社区举行的社区绿化、整理及环境保护活动。</w:t>
      </w:r>
    </w:p>
    <w:p>
      <w:pPr>
        <w:pStyle w:val="BodyText"/>
        <w:spacing w:line="316" w:lineRule="auto" w:before="115"/>
        <w:ind w:left="514" w:right="1032" w:firstLine="1"/>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）社会与公益事业方面</w:t>
      </w:r>
      <w:r>
        <w:rPr>
          <w:rFonts w:ascii="宋体" w:hAnsi="宋体" w:cs="宋体" w:eastAsia="宋体" w:hint="default"/>
          <w:b/>
          <w:bCs/>
          <w:w w:val="99"/>
        </w:rPr>
        <w:t> </w:t>
      </w:r>
      <w:r>
        <w:rPr>
          <w:spacing w:val="-2"/>
        </w:rPr>
        <w:t>公司成立至今，始终坚持诚信经营，依法纳税。在为地方经济发展做出积极贡献的同时，公司通过上项目、扩规模，创</w:t>
      </w:r>
    </w:p>
    <w:p>
      <w:pPr>
        <w:pStyle w:val="BodyText"/>
        <w:spacing w:line="316" w:lineRule="auto" w:before="19"/>
        <w:ind w:right="1032"/>
        <w:jc w:val="left"/>
      </w:pPr>
      <w:r>
        <w:rPr>
          <w:spacing w:val="-2"/>
        </w:rPr>
        <w:t>造了大量的就业机会，大大缓解了当地政府的就业压力，提高了当地人民的生活水平。公司积极参与各项爱心捐助、慈善捐</w:t>
      </w:r>
      <w:r>
        <w:rPr>
          <w:spacing w:val="-66"/>
        </w:rPr>
        <w:t> </w:t>
      </w:r>
      <w:r>
        <w:rPr>
          <w:spacing w:val="-66"/>
        </w:rPr>
      </w:r>
      <w:r>
        <w:rPr/>
        <w:t>款活动，扶贫济困，帮扶贫困村及弱势群体，每年还为当地的学校捐款捐物，以实际行动造福地方、回报社会。</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履行精准扶贫社会责任情况" w:id="95"/>
      <w:bookmarkEnd w:id="9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精准扶贫规划" w:id="96"/>
      <w:bookmarkEnd w:id="96"/>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2）年度精准扶贫概要" w:id="97"/>
      <w:bookmarkEnd w:id="97"/>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jc w:val="left"/>
      </w:pPr>
      <w:r>
        <w:rPr>
          <w:spacing w:val="-2"/>
        </w:rPr>
        <w:t>注：报告期内扶贫计划的总体完成情况、取得的效果等。如扶贫计划未完成的，应说明未按期完成的原因，以及后续改进措</w:t>
      </w:r>
      <w:r>
        <w:rPr>
          <w:spacing w:val="-66"/>
        </w:rPr>
        <w:t> </w:t>
      </w:r>
      <w:r>
        <w:rPr>
          <w:spacing w:val="-66"/>
        </w:rPr>
      </w:r>
      <w:r>
        <w:rPr/>
        <w:t>施。</w:t>
      </w:r>
    </w:p>
    <w:p>
      <w:pPr>
        <w:spacing w:line="240" w:lineRule="auto" w:before="4"/>
        <w:rPr>
          <w:rFonts w:ascii="宋体" w:hAnsi="宋体" w:cs="宋体" w:eastAsia="宋体" w:hint="default"/>
          <w:sz w:val="22"/>
          <w:szCs w:val="22"/>
        </w:rPr>
      </w:pPr>
    </w:p>
    <w:p>
      <w:pPr>
        <w:pStyle w:val="Heading3"/>
        <w:spacing w:line="240" w:lineRule="auto"/>
        <w:ind w:right="1032"/>
        <w:jc w:val="left"/>
        <w:rPr>
          <w:b w:val="0"/>
          <w:bCs w:val="0"/>
        </w:rPr>
      </w:pPr>
      <w:bookmarkStart w:name="（3）精准扶贫成效" w:id="98"/>
      <w:bookmarkEnd w:id="98"/>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产业发展脱贫项目个数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职业技能培训人数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帮助建档立卡贫困户实现就</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业人数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帮助搬迁户就业人数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183" w:val="left" w:leader="none"/>
              </w:tabs>
              <w:spacing w:line="302" w:lineRule="auto" w:before="51"/>
              <w:ind w:left="103" w:right="15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贫困地区医疗卫生资源投 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18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项目类型</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“三留守”人员投入金额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帮助“三留守”人员数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贫困残疾人投入金额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帮助贫困残疾人数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0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45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1032" w:firstLine="0"/>
        <w:jc w:val="left"/>
        <w:rPr>
          <w:rFonts w:ascii="宋体" w:hAnsi="宋体" w:cs="宋体" w:eastAsia="宋体" w:hint="default"/>
          <w:sz w:val="21"/>
          <w:szCs w:val="21"/>
        </w:rPr>
      </w:pPr>
      <w:bookmarkStart w:name="（4）后续精准扶贫计划"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注：根据公司长期经营战略与扶贫规划，披露下一年度开展精准扶贫工作的计划，以及保障计划实现的主要措施等。</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上市公司及其子公司不属于环境保护部门公布的重点排污单位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1032"/>
        <w:jc w:val="left"/>
      </w:pPr>
      <w:r>
        <w:rPr/>
        <w:t>注：重点排污单位之外的公司可以参照上述要求披露其环境信息，若不披露的，应当充分说明原因。</w:t>
      </w:r>
    </w:p>
    <w:p>
      <w:pPr>
        <w:spacing w:line="240" w:lineRule="auto" w:before="13"/>
        <w:rPr>
          <w:rFonts w:ascii="宋体" w:hAnsi="宋体" w:cs="宋体" w:eastAsia="宋体" w:hint="default"/>
          <w:sz w:val="24"/>
          <w:szCs w:val="24"/>
        </w:rPr>
      </w:pPr>
    </w:p>
    <w:p>
      <w:pPr>
        <w:pStyle w:val="Heading2"/>
        <w:spacing w:line="240" w:lineRule="auto"/>
        <w:ind w:right="1032"/>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152"/>
        <w:jc w:val="left"/>
      </w:pPr>
      <w:r>
        <w:rPr/>
        <w:t>□ 适用 √ 不适用 公司报告期不存在需要说明的其他重大事项。</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66" w:right="1032"/>
        <w:jc w:val="left"/>
        <w:rPr>
          <w:b w:val="0"/>
          <w:bCs w:val="0"/>
        </w:rPr>
      </w:pPr>
      <w:bookmarkStart w:name="第六节 股份变动及股东情况"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293,940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293,94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48.99%</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293,940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293,94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11,981,</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250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11,981,</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281,958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281,95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8,750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46.99%</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306,060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306,06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306,060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306,06</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51.01%</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1032"/>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32"/>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05"/>
        <w:gridCol w:w="1044"/>
        <w:gridCol w:w="152"/>
        <w:gridCol w:w="1195"/>
      </w:tblGrid>
      <w:tr>
        <w:trPr>
          <w:trHeight w:val="227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40,212</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1" w:right="22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37,510</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36"/>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33.07%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198,43</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9,650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198,43</w:t>
            </w:r>
          </w:p>
          <w:p>
            <w:pPr>
              <w:pStyle w:val="TableParagraph"/>
              <w:spacing w:line="240" w:lineRule="auto" w:before="105"/>
              <w:ind w:left="269" w:right="0"/>
              <w:jc w:val="left"/>
              <w:rPr>
                <w:rFonts w:ascii="Times New Roman" w:hAnsi="Times New Roman" w:cs="Times New Roman" w:eastAsia="Times New Roman" w:hint="default"/>
                <w:sz w:val="18"/>
                <w:szCs w:val="18"/>
              </w:rPr>
            </w:pPr>
            <w:r>
              <w:rPr>
                <w:rFonts w:ascii="Times New Roman"/>
                <w:sz w:val="18"/>
              </w:rPr>
              <w:t>9,650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149,700,000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12.17%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350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62,969,991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5.89%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35,354,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-19,141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35,354,</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27,280,000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南京鼎润天成 投资合伙企业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3.99%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23,962,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11,981,</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250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11,981,2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11,981,250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74"/>
              <w:jc w:val="left"/>
              <w:rPr>
                <w:rFonts w:ascii="宋体" w:hAnsi="宋体" w:cs="宋体" w:eastAsia="宋体" w:hint="default"/>
                <w:sz w:val="18"/>
                <w:szCs w:val="18"/>
              </w:rPr>
            </w:pPr>
            <w:r>
              <w:rPr>
                <w:rFonts w:ascii="宋体" w:hAnsi="宋体" w:cs="宋体" w:eastAsia="宋体" w:hint="default"/>
                <w:sz w:val="18"/>
                <w:szCs w:val="18"/>
              </w:rPr>
              <w:t>昆山中科昆开 创业投资有限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2.44%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14,618,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-2,256,</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14,618,</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900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10,509,</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750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10,509,</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750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上海融银股权 投资合伙企业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8,874,2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-125,80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8,874,2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福州中科福海 创业投资合伙 企业（有限合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8,379,4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-2,870,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8,379,4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-3,677,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吴睿智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6,952,5</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6,952,5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6,952,5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
              <w:jc w:val="left"/>
              <w:rPr>
                <w:rFonts w:ascii="宋体" w:hAnsi="宋体" w:cs="宋体" w:eastAsia="宋体" w:hint="default"/>
                <w:sz w:val="18"/>
                <w:szCs w:val="18"/>
              </w:rPr>
            </w:pPr>
            <w:r>
              <w:rPr>
                <w:rFonts w:ascii="宋体" w:hAnsi="宋体" w:cs="宋体" w:eastAsia="宋体" w:hint="default"/>
                <w:spacing w:val="-3"/>
                <w:sz w:val="18"/>
                <w:szCs w:val="18"/>
              </w:rPr>
              <w:t>庄小红与庄重系夫妻关系，庄展诺是庄小红与庄重的长子，邓会生系庄小红的妹夫，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属于一致行动人；昆山中科昆开创业投资有限公司和福州中科福海创业投资合伙企</w:t>
            </w:r>
            <w:r>
              <w:rPr>
                <w:rFonts w:ascii="宋体" w:hAnsi="宋体" w:cs="宋体" w:eastAsia="宋体" w:hint="default"/>
                <w:sz w:val="18"/>
                <w:szCs w:val="18"/>
              </w:rPr>
              <w:t> 业（有限合伙）属于一致行动人；除上述情况外，其他股东之间不存在关联关系， 亦不属于一致行动人。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35,354,000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35,354,000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14,618,900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14,618,900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南京鼎润天成投资合伙企业（有限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11,981,250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11,981,250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上海融银股权投资合伙企业（有限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8,874,200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8,874,200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福州中科福海创业投资合伙企业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8,379,400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8,379,400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吴睿智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6,952,500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6,952,500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盐城市中科盐发创业投资企业（有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5,707,500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钞越</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江西中嘉投资有限公司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4,905,000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6687"/>
      </w:tblGrid>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0"/>
              <w:jc w:val="both"/>
              <w:rPr>
                <w:rFonts w:ascii="宋体" w:hAnsi="宋体" w:cs="宋体" w:eastAsia="宋体" w:hint="default"/>
                <w:sz w:val="18"/>
                <w:szCs w:val="18"/>
              </w:rPr>
            </w:pPr>
            <w:r>
              <w:rPr>
                <w:rFonts w:ascii="宋体" w:hAnsi="宋体" w:cs="宋体" w:eastAsia="宋体" w:hint="default"/>
                <w:spacing w:val="-1"/>
                <w:sz w:val="18"/>
                <w:szCs w:val="18"/>
              </w:rPr>
              <w:t>昆山中科昆开创业投资有限公司、福州中科福海创业投资合伙企业（有限合伙）和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盐城市中科盐发创业投资企业（有限合伙）属于一致行动人；除上述情况外，其他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股东之间不存在关联关系，亦不属于一致行动人。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公司股东吴睿智通过普通证券账户持有公司股票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3,517,500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6,952,500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2"/>
        <w:jc w:val="left"/>
      </w:pPr>
      <w:r>
        <w:rPr/>
        <w:t>□ 是 √ 否</w:t>
      </w:r>
    </w:p>
    <w:p>
      <w:pPr>
        <w:pStyle w:val="BodyText"/>
        <w:spacing w:line="240" w:lineRule="auto" w:before="116"/>
        <w:ind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总裁办职员</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032"/>
        <w:jc w:val="left"/>
      </w:pPr>
      <w:r>
        <w:rPr/>
        <w:t>控股股东报告期内变更</w:t>
      </w:r>
    </w:p>
    <w:p>
      <w:pPr>
        <w:pStyle w:val="BodyText"/>
        <w:spacing w:line="357" w:lineRule="auto" w:before="117"/>
        <w:ind w:right="769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庄重现担任深圳市中装建设集团股份有限公司董事长；庄展诺现担任深圳市中装建设集团 </w:t>
            </w:r>
            <w:r>
              <w:rPr>
                <w:rFonts w:ascii="宋体" w:hAnsi="宋体" w:cs="宋体" w:eastAsia="宋体" w:hint="default"/>
                <w:spacing w:val="-4"/>
                <w:sz w:val="18"/>
                <w:szCs w:val="18"/>
              </w:rPr>
              <w:t>股份有限公司董事、总经理，庄小红现担任深圳市中装建设集团股份有限公司总裁办职员。</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65"/>
        <w:ind w:right="6792"/>
        <w:jc w:val="left"/>
      </w:pPr>
      <w:r>
        <w:rPr/>
        <w:t>公司报告期实际控制人未发生变更。 公司与实际控制人之间的产权及控制关系的方框图</w:t>
      </w:r>
    </w:p>
    <w:p>
      <w:pPr>
        <w:spacing w:after="0" w:line="36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40" w:lineRule="exact"/>
        <w:ind w:left="2562"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3076641" cy="129549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3076641" cy="1295495"/>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13"/>
        <w:rPr>
          <w:rFonts w:ascii="宋体" w:hAnsi="宋体" w:cs="宋体" w:eastAsia="宋体" w:hint="default"/>
          <w:sz w:val="17"/>
          <w:szCs w:val="17"/>
        </w:rPr>
      </w:pPr>
    </w:p>
    <w:p>
      <w:pPr>
        <w:pStyle w:val="BodyText"/>
        <w:spacing w:line="240" w:lineRule="auto" w:before="44"/>
        <w:ind w:right="1032"/>
        <w:jc w:val="left"/>
      </w:pPr>
      <w:r>
        <w:rPr/>
        <w:t>实际控制人通过信托或其他资产管理方式控制公司</w:t>
      </w:r>
    </w:p>
    <w:p>
      <w:pPr>
        <w:pStyle w:val="BodyText"/>
        <w:spacing w:line="240" w:lineRule="auto" w:before="116"/>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86" w:right="1032"/>
        <w:jc w:val="left"/>
        <w:rPr>
          <w:b w:val="0"/>
          <w:bCs w:val="0"/>
        </w:rPr>
      </w:pPr>
      <w:bookmarkStart w:name="第七节 优先股相关情况"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240" w:lineRule="auto"/>
        <w:ind w:left="1680" w:right="1032"/>
        <w:jc w:val="left"/>
        <w:rPr>
          <w:b w:val="0"/>
          <w:bCs w:val="0"/>
        </w:rPr>
      </w:pPr>
      <w:bookmarkStart w:name="第八节 董事、监事、高级管理人员和员工情况" w:id="118"/>
      <w:bookmarkEnd w:id="118"/>
      <w:r>
        <w:rPr>
          <w:b w:val="0"/>
          <w:bCs w:val="0"/>
        </w:rPr>
      </w:r>
      <w:r>
        <w:rPr/>
        <w:t>第八节</w:t>
      </w:r>
      <w:r>
        <w:rPr>
          <w:spacing w:val="-15"/>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董事、 常务副 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张水霞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陈群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廖伟潭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副总经 理、董 事会秘 书、财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熊谨慎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任顺标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Times New Roman" w:hAnsi="Times New Roman" w:cs="Times New Roman" w:eastAsia="Times New Roman" w:hint="default"/>
          <w:sz w:val="23"/>
          <w:szCs w:val="23"/>
        </w:rPr>
      </w:pPr>
    </w:p>
    <w:p>
      <w:pPr>
        <w:spacing w:before="26"/>
        <w:ind w:left="154" w:right="1032" w:firstLine="0"/>
        <w:jc w:val="left"/>
        <w:rPr>
          <w:rFonts w:ascii="宋体" w:hAnsi="宋体" w:cs="宋体" w:eastAsia="宋体" w:hint="default"/>
          <w:sz w:val="24"/>
          <w:szCs w:val="24"/>
        </w:rPr>
      </w:pPr>
      <w:bookmarkStart w:name="二、公司董事、监事、高级管理人员变动情况" w:id="120"/>
      <w:bookmarkEnd w:id="120"/>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年度股东大会聘任董事职务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年度股东大会聘任董事职务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年度股东大会聘任独立董事职务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年度股东大会聘任独立董事职务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第三届董事会第一次会议聘任副总经理职务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任顺标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熊谨慎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期满离任</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91" w:lineRule="auto"/>
        <w:ind w:left="576" w:right="3733" w:hanging="423"/>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rPr>
      </w:r>
    </w:p>
    <w:p>
      <w:pPr>
        <w:pStyle w:val="BodyText"/>
        <w:spacing w:line="316" w:lineRule="auto" w:before="35"/>
        <w:ind w:right="1131" w:firstLine="361"/>
        <w:jc w:val="both"/>
      </w:pPr>
      <w:r>
        <w:rPr>
          <w:rFonts w:ascii="宋体" w:hAnsi="宋体" w:cs="宋体" w:eastAsia="宋体" w:hint="default"/>
          <w:b/>
          <w:bCs/>
        </w:rPr>
        <w:t>庄重</w:t>
      </w:r>
      <w:r>
        <w:rPr/>
        <w:t>先生：中国国籍，</w:t>
      </w:r>
      <w:r>
        <w:rPr>
          <w:rFonts w:ascii="宋体" w:hAnsi="宋体" w:cs="宋体" w:eastAsia="宋体" w:hint="default"/>
        </w:rPr>
        <w:t>1962</w:t>
      </w:r>
      <w:r>
        <w:rPr/>
        <w:t>年出生，</w:t>
      </w:r>
      <w:r>
        <w:rPr>
          <w:rFonts w:ascii="宋体" w:hAnsi="宋体" w:cs="宋体" w:eastAsia="宋体" w:hint="default"/>
        </w:rPr>
        <w:t>EMBA</w:t>
      </w:r>
      <w:r>
        <w:rPr/>
        <w:t>在读，国家注册一级建造师。曾任职深圳市南利建筑装饰工程公司；</w:t>
      </w:r>
      <w:r>
        <w:rPr>
          <w:rFonts w:ascii="宋体" w:hAnsi="宋体" w:cs="宋体" w:eastAsia="宋体" w:hint="default"/>
        </w:rPr>
        <w:t>2001</w:t>
      </w:r>
      <w:r>
        <w:rPr/>
        <w:t>年</w:t>
      </w:r>
      <w:r>
        <w:rPr>
          <w:rFonts w:ascii="宋体" w:hAnsi="宋体" w:cs="宋体" w:eastAsia="宋体" w:hint="default"/>
        </w:rPr>
        <w:t>4 </w:t>
      </w:r>
      <w:r>
        <w:rPr>
          <w:spacing w:val="-2"/>
        </w:rPr>
        <w:t>月起担任中装有限执行董事、总经理；</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月起任本公司董事长、总经理；</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日辞去本公司总经理职务，现任</w:t>
      </w:r>
      <w:r>
        <w:rPr>
          <w:spacing w:val="-54"/>
        </w:rPr>
        <w:t> </w:t>
      </w:r>
      <w:r>
        <w:rPr>
          <w:spacing w:val="-54"/>
        </w:rPr>
      </w:r>
      <w:r>
        <w:rPr/>
        <w:t>本公司董事长。</w:t>
      </w:r>
    </w:p>
    <w:p>
      <w:pPr>
        <w:pStyle w:val="BodyText"/>
        <w:spacing w:line="316" w:lineRule="auto" w:before="91"/>
        <w:ind w:right="1032" w:firstLine="360"/>
        <w:jc w:val="left"/>
      </w:pPr>
      <w:r>
        <w:rPr/>
        <w:t>庄重先生是广东省建筑业协会理事、中国建筑装饰协会常务理事、第九届广东省企业联合会、企业家协会理事；</w:t>
      </w:r>
      <w:r>
        <w:rPr>
          <w:rFonts w:ascii="宋体" w:hAnsi="宋体" w:cs="宋体" w:eastAsia="宋体" w:hint="default"/>
        </w:rPr>
        <w:t>2005 </w:t>
      </w:r>
      <w:r>
        <w:rPr>
          <w:spacing w:val="-11"/>
        </w:rPr>
        <w:t>年至</w:t>
      </w:r>
      <w:r>
        <w:rPr>
          <w:rFonts w:ascii="宋体" w:hAnsi="宋体" w:cs="宋体" w:eastAsia="宋体" w:hint="default"/>
          <w:spacing w:val="-11"/>
        </w:rPr>
        <w:t>2015</w:t>
      </w:r>
      <w:r>
        <w:rPr>
          <w:spacing w:val="-11"/>
        </w:rPr>
        <w:t>年间，曾荣获“全国建筑装饰优秀项目经理”、“全国优秀建造师”、“广东省建筑装饰工程优秀建造师”、“全国建筑</w:t>
      </w:r>
      <w:r>
        <w:rPr>
          <w:spacing w:val="-65"/>
        </w:rPr>
        <w:t> </w:t>
      </w:r>
      <w:r>
        <w:rPr>
          <w:spacing w:val="-65"/>
        </w:rPr>
      </w:r>
      <w:r>
        <w:rPr>
          <w:spacing w:val="-2"/>
        </w:rPr>
        <w:t>装饰行业优秀企业家”、中国建筑装饰协会专家证书及“功勋人物”等称号；由其担任项目经理的项目曾获得“全国建筑工</w:t>
      </w:r>
      <w:r>
        <w:rPr>
          <w:spacing w:val="-72"/>
        </w:rPr>
        <w:t> </w:t>
      </w:r>
      <w:r>
        <w:rPr>
          <w:spacing w:val="-72"/>
        </w:rPr>
      </w:r>
      <w:r>
        <w:rPr>
          <w:spacing w:val="-8"/>
        </w:rPr>
        <w:t>程装饰奖”、“广东省优秀建筑装饰工程奖”等奖项。</w:t>
      </w:r>
    </w:p>
    <w:p>
      <w:pPr>
        <w:pStyle w:val="BodyText"/>
        <w:spacing w:line="316" w:lineRule="auto" w:before="91"/>
        <w:ind w:right="1135" w:firstLine="361"/>
        <w:jc w:val="both"/>
      </w:pPr>
      <w:r>
        <w:rPr>
          <w:rFonts w:ascii="宋体" w:hAnsi="宋体" w:cs="宋体" w:eastAsia="宋体" w:hint="default"/>
          <w:b/>
          <w:bCs/>
        </w:rPr>
        <w:t>庄展诺</w:t>
      </w:r>
      <w:r>
        <w:rPr/>
        <w:t>先生：中国国籍，</w:t>
      </w:r>
      <w:r>
        <w:rPr>
          <w:rFonts w:ascii="宋体" w:hAnsi="宋体" w:cs="宋体" w:eastAsia="宋体" w:hint="default"/>
        </w:rPr>
        <w:t>1986</w:t>
      </w:r>
      <w:r>
        <w:rPr/>
        <w:t>年出生，硕士研究生学历。</w:t>
      </w:r>
      <w:r>
        <w:rPr>
          <w:rFonts w:ascii="宋体" w:hAnsi="宋体" w:cs="宋体" w:eastAsia="宋体" w:hint="default"/>
        </w:rPr>
        <w:t>2010</w:t>
      </w:r>
      <w:r>
        <w:rPr/>
        <w:t>年</w:t>
      </w:r>
      <w:r>
        <w:rPr>
          <w:rFonts w:ascii="宋体" w:hAnsi="宋体" w:cs="宋体" w:eastAsia="宋体" w:hint="default"/>
        </w:rPr>
        <w:t>3</w:t>
      </w:r>
      <w:r>
        <w:rPr/>
        <w:t>月至</w:t>
      </w:r>
      <w:r>
        <w:rPr>
          <w:rFonts w:ascii="宋体" w:hAnsi="宋体" w:cs="宋体" w:eastAsia="宋体" w:hint="default"/>
        </w:rPr>
        <w:t>2011</w:t>
      </w:r>
      <w:r>
        <w:rPr/>
        <w:t>年</w:t>
      </w:r>
      <w:r>
        <w:rPr>
          <w:rFonts w:ascii="宋体" w:hAnsi="宋体" w:cs="宋体" w:eastAsia="宋体" w:hint="default"/>
        </w:rPr>
        <w:t>8</w:t>
      </w:r>
      <w:r>
        <w:rPr/>
        <w:t>月，任深圳润柏总经理助理；</w:t>
      </w:r>
      <w:r>
        <w:rPr>
          <w:rFonts w:ascii="宋体" w:hAnsi="宋体" w:cs="宋体" w:eastAsia="宋体" w:hint="default"/>
        </w:rPr>
        <w:t>2011</w:t>
      </w:r>
      <w:r>
        <w:rPr/>
        <w:t>年</w:t>
      </w:r>
      <w:r>
        <w:rPr>
          <w:rFonts w:ascii="宋体" w:hAnsi="宋体" w:cs="宋体" w:eastAsia="宋体" w:hint="default"/>
        </w:rPr>
        <w:t>9</w:t>
      </w:r>
      <w:r>
        <w:rPr/>
        <w:t>月 至</w:t>
      </w:r>
      <w:r>
        <w:rPr>
          <w:rFonts w:ascii="宋体" w:hAnsi="宋体" w:cs="宋体" w:eastAsia="宋体" w:hint="default"/>
        </w:rPr>
        <w:t>2012</w:t>
      </w:r>
      <w:r>
        <w:rPr/>
        <w:t>年</w:t>
      </w:r>
      <w:r>
        <w:rPr>
          <w:rFonts w:ascii="宋体" w:hAnsi="宋体" w:cs="宋体" w:eastAsia="宋体" w:hint="default"/>
        </w:rPr>
        <w:t>3</w:t>
      </w:r>
      <w:r>
        <w:rPr/>
        <w:t>月任中装园林总经理助理；自</w:t>
      </w:r>
      <w:r>
        <w:rPr>
          <w:rFonts w:ascii="宋体" w:hAnsi="宋体" w:cs="宋体" w:eastAsia="宋体" w:hint="default"/>
        </w:rPr>
        <w:t>2012</w:t>
      </w:r>
      <w:r>
        <w:rPr/>
        <w:t>年</w:t>
      </w:r>
      <w:r>
        <w:rPr>
          <w:rFonts w:ascii="宋体" w:hAnsi="宋体" w:cs="宋体" w:eastAsia="宋体" w:hint="default"/>
        </w:rPr>
        <w:t>4</w:t>
      </w:r>
      <w:r>
        <w:rPr/>
        <w:t>月起担任本公司董事兼总经理助理；</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20</w:t>
      </w:r>
      <w:r>
        <w:rPr/>
        <w:t>日起担任本公司董事兼总 经理。</w:t>
      </w:r>
      <w:r>
        <w:rPr>
          <w:rFonts w:ascii="宋体" w:hAnsi="宋体" w:cs="宋体" w:eastAsia="宋体" w:hint="default"/>
        </w:rPr>
        <w:t>2016</w:t>
      </w:r>
      <w:r>
        <w:rPr/>
        <w:t>年</w:t>
      </w:r>
      <w:r>
        <w:rPr>
          <w:rFonts w:ascii="宋体" w:hAnsi="宋体" w:cs="宋体" w:eastAsia="宋体" w:hint="default"/>
        </w:rPr>
        <w:t>1</w:t>
      </w:r>
      <w:r>
        <w:rPr/>
        <w:t>月至</w:t>
      </w:r>
      <w:r>
        <w:rPr>
          <w:rFonts w:ascii="宋体" w:hAnsi="宋体" w:cs="宋体" w:eastAsia="宋体" w:hint="default"/>
        </w:rPr>
        <w:t>2020</w:t>
      </w:r>
      <w:r>
        <w:rPr/>
        <w:t>年</w:t>
      </w:r>
      <w:r>
        <w:rPr>
          <w:rFonts w:ascii="宋体" w:hAnsi="宋体" w:cs="宋体" w:eastAsia="宋体" w:hint="default"/>
        </w:rPr>
        <w:t>1</w:t>
      </w:r>
      <w:r>
        <w:rPr/>
        <w:t>月任深圳市罗湖区青年企业家协会（第一届）常务副会长； </w:t>
      </w:r>
      <w:r>
        <w:rPr>
          <w:rFonts w:ascii="宋体" w:hAnsi="宋体" w:cs="宋体" w:eastAsia="宋体" w:hint="default"/>
        </w:rPr>
        <w:t>2016</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12</w:t>
      </w:r>
      <w:r>
        <w:rPr/>
        <w:t>月任广东省 青年企业家协会（第十届）副会长；</w:t>
      </w:r>
      <w:r>
        <w:rPr>
          <w:rFonts w:ascii="宋体" w:hAnsi="宋体" w:cs="宋体" w:eastAsia="宋体" w:hint="default"/>
        </w:rPr>
        <w:t>2016</w:t>
      </w:r>
      <w:r>
        <w:rPr/>
        <w:t>年</w:t>
      </w:r>
      <w:r>
        <w:rPr>
          <w:rFonts w:ascii="宋体" w:hAnsi="宋体" w:cs="宋体" w:eastAsia="宋体" w:hint="default"/>
        </w:rPr>
        <w:t>10</w:t>
      </w:r>
      <w:r>
        <w:rPr/>
        <w:t>月至</w:t>
      </w:r>
      <w:r>
        <w:rPr>
          <w:rFonts w:ascii="宋体" w:hAnsi="宋体" w:cs="宋体" w:eastAsia="宋体" w:hint="default"/>
        </w:rPr>
        <w:t>2019</w:t>
      </w:r>
      <w:r>
        <w:rPr/>
        <w:t>年</w:t>
      </w:r>
      <w:r>
        <w:rPr>
          <w:rFonts w:ascii="宋体" w:hAnsi="宋体" w:cs="宋体" w:eastAsia="宋体" w:hint="default"/>
        </w:rPr>
        <w:t>10</w:t>
      </w:r>
      <w:r>
        <w:rPr/>
        <w:t>月任深圳市罗湖区人大常委会（第七届）人大代表。</w:t>
      </w:r>
    </w:p>
    <w:p>
      <w:pPr>
        <w:spacing w:after="0" w:line="316" w:lineRule="auto"/>
        <w:jc w:val="both"/>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361"/>
        <w:jc w:val="both"/>
      </w:pPr>
      <w:r>
        <w:rPr>
          <w:rFonts w:ascii="宋体" w:hAnsi="宋体" w:cs="宋体" w:eastAsia="宋体" w:hint="default"/>
          <w:b/>
          <w:bCs/>
          <w:spacing w:val="-2"/>
        </w:rPr>
        <w:t>何斌</w:t>
      </w:r>
      <w:r>
        <w:rPr>
          <w:spacing w:val="-2"/>
        </w:rPr>
        <w:t>先生：中国国籍，</w:t>
      </w:r>
      <w:r>
        <w:rPr>
          <w:rFonts w:ascii="宋体" w:hAnsi="宋体" w:cs="宋体" w:eastAsia="宋体" w:hint="default"/>
          <w:spacing w:val="-2"/>
        </w:rPr>
        <w:t>1962</w:t>
      </w:r>
      <w:r>
        <w:rPr>
          <w:spacing w:val="-2"/>
        </w:rPr>
        <w:t>年出生，本科学历，高级工程师，国家注册一级建造师。曾任职于江西省机械施工公司、南</w:t>
      </w:r>
      <w:r>
        <w:rPr/>
        <w:t> </w:t>
      </w:r>
      <w:r>
        <w:rPr>
          <w:spacing w:val="-2"/>
        </w:rPr>
        <w:t>昌中侨（惠阳）房地产开发有限公司、深圳市福田区建设实业发展有限公司</w:t>
      </w:r>
      <w:r>
        <w:rPr>
          <w:rFonts w:ascii="宋体" w:hAnsi="宋体" w:cs="宋体" w:eastAsia="宋体" w:hint="default"/>
          <w:spacing w:val="-2"/>
        </w:rPr>
        <w:t>117</w:t>
      </w:r>
      <w:r>
        <w:rPr>
          <w:spacing w:val="-2"/>
        </w:rPr>
        <w:t>队；</w:t>
      </w:r>
      <w:r>
        <w:rPr>
          <w:rFonts w:ascii="宋体" w:hAnsi="宋体" w:cs="宋体" w:eastAsia="宋体" w:hint="default"/>
          <w:spacing w:val="-2"/>
        </w:rPr>
        <w:t>2005</w:t>
      </w:r>
      <w:r>
        <w:rPr>
          <w:spacing w:val="-2"/>
        </w:rPr>
        <w:t>年</w:t>
      </w:r>
      <w:r>
        <w:rPr>
          <w:rFonts w:ascii="宋体" w:hAnsi="宋体" w:cs="宋体" w:eastAsia="宋体" w:hint="default"/>
          <w:spacing w:val="-2"/>
        </w:rPr>
        <w:t>4</w:t>
      </w:r>
      <w:r>
        <w:rPr>
          <w:spacing w:val="-2"/>
        </w:rPr>
        <w:t>月起就职于中装有限，任副总经</w:t>
      </w:r>
      <w:r>
        <w:rPr>
          <w:spacing w:val="-58"/>
        </w:rPr>
        <w:t> </w:t>
      </w:r>
      <w:r>
        <w:rPr>
          <w:spacing w:val="-58"/>
        </w:rPr>
      </w:r>
      <w:r>
        <w:rPr/>
        <w:t>理、总工程师；自</w:t>
      </w:r>
      <w:r>
        <w:rPr>
          <w:rFonts w:ascii="宋体" w:hAnsi="宋体" w:cs="宋体" w:eastAsia="宋体" w:hint="default"/>
        </w:rPr>
        <w:t>2012</w:t>
      </w:r>
      <w:r>
        <w:rPr/>
        <w:t>年</w:t>
      </w:r>
      <w:r>
        <w:rPr>
          <w:rFonts w:ascii="宋体" w:hAnsi="宋体" w:cs="宋体" w:eastAsia="宋体" w:hint="default"/>
        </w:rPr>
        <w:t>4</w:t>
      </w:r>
      <w:r>
        <w:rPr/>
        <w:t>月起，任本公司常务副总经理。</w:t>
      </w:r>
    </w:p>
    <w:p>
      <w:pPr>
        <w:pStyle w:val="BodyText"/>
        <w:spacing w:line="319" w:lineRule="auto" w:before="91"/>
        <w:ind w:right="1032" w:firstLine="360"/>
        <w:jc w:val="left"/>
      </w:pPr>
      <w:r>
        <w:rPr>
          <w:spacing w:val="-2"/>
        </w:rPr>
        <w:t>何斌先生是中国建筑装饰协会专家，广东省建筑业协会工程质量技术管理专家，深圳市建筑工程系列专业技术资格第三</w:t>
      </w:r>
      <w:r>
        <w:rPr/>
        <w:t> </w:t>
      </w:r>
      <w:r>
        <w:rPr>
          <w:spacing w:val="-2"/>
        </w:rPr>
        <w:t>评审委员会（高级工程师职称）评委，深圳市装饰协会专家。曾多次荣获“全国建筑装饰优秀项目经理”“全国建筑装饰行</w:t>
      </w:r>
      <w:r>
        <w:rPr>
          <w:spacing w:val="-72"/>
        </w:rPr>
        <w:t> </w:t>
      </w:r>
      <w:r>
        <w:rPr>
          <w:spacing w:val="-72"/>
        </w:rPr>
      </w:r>
      <w:r>
        <w:rPr>
          <w:spacing w:val="-16"/>
        </w:rPr>
        <w:t>业科技示范工程科技创新奖”、“全国建筑装饰行业科技创新成果奖”、“全国优秀建造师”、“广东省建筑装饰工程优秀建造师”、</w:t>
      </w:r>
      <w:r>
        <w:rPr>
          <w:spacing w:val="-40"/>
        </w:rPr>
        <w:t> </w:t>
      </w:r>
      <w:r>
        <w:rPr>
          <w:spacing w:val="-40"/>
        </w:rPr>
      </w:r>
      <w:r>
        <w:rPr/>
        <w:t>“广东省优秀建筑装饰工程奖项目经理”等荣誉。</w:t>
      </w:r>
    </w:p>
    <w:p>
      <w:pPr>
        <w:pStyle w:val="BodyText"/>
        <w:spacing w:line="316" w:lineRule="auto" w:before="89"/>
        <w:ind w:right="1135" w:firstLine="361"/>
        <w:jc w:val="both"/>
      </w:pPr>
      <w:r>
        <w:rPr>
          <w:rFonts w:ascii="宋体" w:hAnsi="宋体" w:cs="宋体" w:eastAsia="宋体" w:hint="default"/>
          <w:b/>
          <w:bCs/>
        </w:rPr>
        <w:t>林伟健</w:t>
      </w:r>
      <w:r>
        <w:rPr/>
        <w:t>先生：中国国籍</w:t>
      </w:r>
      <w:r>
        <w:rPr>
          <w:rFonts w:ascii="宋体" w:hAnsi="宋体" w:cs="宋体" w:eastAsia="宋体" w:hint="default"/>
        </w:rPr>
        <w:t>,1957</w:t>
      </w:r>
      <w:r>
        <w:rPr/>
        <w:t>年出生</w:t>
      </w:r>
      <w:r>
        <w:rPr>
          <w:rFonts w:ascii="宋体" w:hAnsi="宋体" w:cs="宋体" w:eastAsia="宋体" w:hint="default"/>
        </w:rPr>
        <w:t>,</w:t>
      </w:r>
      <w:r>
        <w:rPr/>
        <w:t>硕士研究生学历</w:t>
      </w:r>
      <w:r>
        <w:rPr>
          <w:rFonts w:ascii="宋体" w:hAnsi="宋体" w:cs="宋体" w:eastAsia="宋体" w:hint="default"/>
        </w:rPr>
        <w:t>,</w:t>
      </w:r>
      <w:r>
        <w:rPr/>
        <w:t>教授。</w:t>
      </w:r>
      <w:r>
        <w:rPr>
          <w:rFonts w:ascii="宋体" w:hAnsi="宋体" w:cs="宋体" w:eastAsia="宋体" w:hint="default"/>
        </w:rPr>
        <w:t>1982</w:t>
      </w:r>
      <w:r>
        <w:rPr/>
        <w:t>年</w:t>
      </w:r>
      <w:r>
        <w:rPr>
          <w:rFonts w:ascii="宋体" w:hAnsi="宋体" w:cs="宋体" w:eastAsia="宋体" w:hint="default"/>
        </w:rPr>
        <w:t>7</w:t>
      </w:r>
      <w:r>
        <w:rPr/>
        <w:t>月</w:t>
      </w:r>
      <w:r>
        <w:rPr>
          <w:rFonts w:ascii="宋体" w:hAnsi="宋体" w:cs="宋体" w:eastAsia="宋体" w:hint="default"/>
        </w:rPr>
        <w:t>-2008</w:t>
      </w:r>
      <w:r>
        <w:rPr/>
        <w:t>年</w:t>
      </w:r>
      <w:r>
        <w:rPr>
          <w:rFonts w:ascii="宋体" w:hAnsi="宋体" w:cs="宋体" w:eastAsia="宋体" w:hint="default"/>
        </w:rPr>
        <w:t>10</w:t>
      </w:r>
      <w:r>
        <w:rPr/>
        <w:t>月</w:t>
      </w:r>
      <w:r>
        <w:rPr>
          <w:rFonts w:ascii="宋体" w:hAnsi="宋体" w:cs="宋体" w:eastAsia="宋体" w:hint="default"/>
        </w:rPr>
        <w:t>,</w:t>
      </w:r>
      <w:r>
        <w:rPr/>
        <w:t>在华南师范大学任教</w:t>
      </w:r>
      <w:r>
        <w:rPr>
          <w:rFonts w:ascii="宋体" w:hAnsi="宋体" w:cs="宋体" w:eastAsia="宋体" w:hint="default"/>
        </w:rPr>
        <w:t>,</w:t>
      </w:r>
      <w:r>
        <w:rPr/>
        <w:t>历任助教、 讲师、副教授、教授。</w:t>
      </w:r>
      <w:r>
        <w:rPr>
          <w:rFonts w:ascii="宋体" w:hAnsi="宋体" w:cs="宋体" w:eastAsia="宋体" w:hint="default"/>
        </w:rPr>
        <w:t>2008</w:t>
      </w:r>
      <w:r>
        <w:rPr/>
        <w:t>年</w:t>
      </w:r>
      <w:r>
        <w:rPr>
          <w:rFonts w:ascii="宋体" w:hAnsi="宋体" w:cs="宋体" w:eastAsia="宋体" w:hint="default"/>
        </w:rPr>
        <w:t>10</w:t>
      </w:r>
      <w:r>
        <w:rPr/>
        <w:t>月</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w:t>
      </w:r>
      <w:r>
        <w:rPr/>
        <w:t>在广东省社会主义学院任教授。</w:t>
      </w:r>
      <w:r>
        <w:rPr>
          <w:rFonts w:ascii="宋体" w:hAnsi="宋体" w:cs="宋体" w:eastAsia="宋体" w:hint="default"/>
        </w:rPr>
        <w:t>2015</w:t>
      </w:r>
      <w:r>
        <w:rPr/>
        <w:t>年</w:t>
      </w:r>
      <w:r>
        <w:rPr>
          <w:rFonts w:ascii="宋体" w:hAnsi="宋体" w:cs="宋体" w:eastAsia="宋体" w:hint="default"/>
        </w:rPr>
        <w:t>4</w:t>
      </w:r>
      <w:r>
        <w:rPr/>
        <w:t>月起</w:t>
      </w:r>
      <w:r>
        <w:rPr>
          <w:rFonts w:ascii="宋体" w:hAnsi="宋体" w:cs="宋体" w:eastAsia="宋体" w:hint="default"/>
        </w:rPr>
        <w:t>,</w:t>
      </w:r>
      <w:r>
        <w:rPr/>
        <w:t>在广州华立科技职业学院任教 授。</w:t>
      </w:r>
    </w:p>
    <w:p>
      <w:pPr>
        <w:pStyle w:val="BodyText"/>
        <w:spacing w:line="316" w:lineRule="auto" w:before="91"/>
        <w:ind w:right="1032" w:firstLine="361"/>
        <w:jc w:val="left"/>
      </w:pPr>
      <w:r>
        <w:rPr>
          <w:rFonts w:ascii="宋体" w:hAnsi="宋体" w:cs="宋体" w:eastAsia="宋体" w:hint="default"/>
          <w:b/>
          <w:bCs/>
          <w:spacing w:val="-4"/>
        </w:rPr>
        <w:t>高刚</w:t>
      </w:r>
      <w:r>
        <w:rPr>
          <w:spacing w:val="-4"/>
        </w:rPr>
        <w:t>先生：中国国籍</w:t>
      </w:r>
      <w:r>
        <w:rPr>
          <w:rFonts w:ascii="宋体" w:hAnsi="宋体" w:cs="宋体" w:eastAsia="宋体" w:hint="default"/>
          <w:spacing w:val="-4"/>
        </w:rPr>
        <w:t>,1963</w:t>
      </w:r>
      <w:r>
        <w:rPr>
          <w:spacing w:val="-4"/>
        </w:rPr>
        <w:t>年出生</w:t>
      </w:r>
      <w:r>
        <w:rPr>
          <w:rFonts w:ascii="宋体" w:hAnsi="宋体" w:cs="宋体" w:eastAsia="宋体" w:hint="default"/>
          <w:spacing w:val="-4"/>
        </w:rPr>
        <w:t>,</w:t>
      </w:r>
      <w:r>
        <w:rPr>
          <w:spacing w:val="-4"/>
        </w:rPr>
        <w:t>硕士学位</w:t>
      </w:r>
      <w:r>
        <w:rPr>
          <w:rFonts w:ascii="宋体" w:hAnsi="宋体" w:cs="宋体" w:eastAsia="宋体" w:hint="default"/>
          <w:spacing w:val="-4"/>
        </w:rPr>
        <w:t>,</w:t>
      </w:r>
      <w:r>
        <w:rPr>
          <w:spacing w:val="-4"/>
        </w:rPr>
        <w:t>教授</w:t>
      </w:r>
      <w:r>
        <w:rPr>
          <w:rFonts w:ascii="宋体" w:hAnsi="宋体" w:cs="宋体" w:eastAsia="宋体" w:hint="default"/>
          <w:spacing w:val="-4"/>
        </w:rPr>
        <w:t>,</w:t>
      </w:r>
      <w:r>
        <w:rPr>
          <w:spacing w:val="-4"/>
        </w:rPr>
        <w:t>硕士生导师。曾任职于中建一局五公司先后担任施工员、技术负责人、</w:t>
      </w:r>
      <w:r>
        <w:rPr/>
        <w:t> 项目经理、常务副总经理兼总经济师等</w:t>
      </w:r>
      <w:r>
        <w:rPr>
          <w:rFonts w:ascii="宋体" w:hAnsi="宋体" w:cs="宋体" w:eastAsia="宋体" w:hint="default"/>
        </w:rPr>
        <w:t>,</w:t>
      </w:r>
      <w:r>
        <w:rPr/>
        <w:t>中建一局</w:t>
      </w:r>
      <w:r>
        <w:rPr>
          <w:rFonts w:ascii="宋体" w:hAnsi="宋体" w:cs="宋体" w:eastAsia="宋体" w:hint="default"/>
        </w:rPr>
        <w:t>(</w:t>
      </w:r>
      <w:r>
        <w:rPr/>
        <w:t>集团</w:t>
      </w:r>
      <w:r>
        <w:rPr>
          <w:rFonts w:ascii="宋体" w:hAnsi="宋体" w:cs="宋体" w:eastAsia="宋体" w:hint="default"/>
        </w:rPr>
        <w:t>)</w:t>
      </w:r>
      <w:r>
        <w:rPr/>
        <w:t>有限公司西南区总经理、深圳海外装饰工程有限公司董事长、总经 </w:t>
      </w:r>
      <w:r>
        <w:rPr>
          <w:spacing w:val="-2"/>
        </w:rPr>
        <w:t>理、党委书记。现任深圳市装饰行业协会会长、首都师范大学客座教授、广田股份独立董事、宝鹰股份独立董事、深圳市亚</w:t>
      </w:r>
      <w:r>
        <w:rPr>
          <w:spacing w:val="-68"/>
        </w:rPr>
        <w:t> </w:t>
      </w:r>
      <w:r>
        <w:rPr>
          <w:spacing w:val="-68"/>
        </w:rPr>
      </w:r>
      <w:r>
        <w:rPr/>
        <w:t>泰国际建设股份有限公司独立董事、中航三鑫股份有限公司独立董事。自</w:t>
      </w:r>
      <w:r>
        <w:rPr>
          <w:rFonts w:ascii="宋体" w:hAnsi="宋体" w:cs="宋体" w:eastAsia="宋体" w:hint="default"/>
        </w:rPr>
        <w:t>2015</w:t>
      </w:r>
      <w:r>
        <w:rPr/>
        <w:t>年</w:t>
      </w:r>
      <w:r>
        <w:rPr>
          <w:rFonts w:ascii="宋体" w:hAnsi="宋体" w:cs="宋体" w:eastAsia="宋体" w:hint="default"/>
        </w:rPr>
        <w:t>12</w:t>
      </w:r>
      <w:r>
        <w:rPr/>
        <w:t>月起任本公司独立董事。</w:t>
      </w:r>
    </w:p>
    <w:p>
      <w:pPr>
        <w:pStyle w:val="BodyText"/>
        <w:spacing w:line="316" w:lineRule="auto" w:before="91"/>
        <w:ind w:right="1129" w:firstLine="361"/>
        <w:jc w:val="both"/>
      </w:pPr>
      <w:r>
        <w:rPr>
          <w:rFonts w:ascii="宋体" w:hAnsi="宋体" w:cs="宋体" w:eastAsia="宋体" w:hint="default"/>
          <w:b/>
          <w:bCs/>
          <w:spacing w:val="-4"/>
          <w:w w:val="99"/>
        </w:rPr>
        <w:t>王庆刚</w:t>
      </w:r>
      <w:r>
        <w:rPr>
          <w:spacing w:val="-4"/>
          <w:w w:val="99"/>
        </w:rPr>
        <w:t>先生：中国国籍</w:t>
      </w:r>
      <w:r>
        <w:rPr>
          <w:rFonts w:ascii="宋体" w:hAnsi="宋体" w:cs="宋体" w:eastAsia="宋体" w:hint="default"/>
          <w:spacing w:val="-4"/>
          <w:w w:val="99"/>
        </w:rPr>
        <w:t>,1961</w:t>
      </w:r>
      <w:r>
        <w:rPr>
          <w:spacing w:val="-4"/>
          <w:w w:val="99"/>
        </w:rPr>
        <w:t>年出生</w:t>
      </w:r>
      <w:r>
        <w:rPr>
          <w:rFonts w:ascii="宋体" w:hAnsi="宋体" w:cs="宋体" w:eastAsia="宋体" w:hint="default"/>
          <w:spacing w:val="-4"/>
          <w:w w:val="99"/>
        </w:rPr>
        <w:t>,</w:t>
      </w:r>
      <w:r>
        <w:rPr>
          <w:spacing w:val="-4"/>
          <w:w w:val="99"/>
        </w:rPr>
        <w:t>硕士研究生学历</w:t>
      </w:r>
      <w:r>
        <w:rPr>
          <w:rFonts w:ascii="宋体" w:hAnsi="宋体" w:cs="宋体" w:eastAsia="宋体" w:hint="default"/>
          <w:spacing w:val="-4"/>
          <w:w w:val="99"/>
        </w:rPr>
        <w:t>,</w:t>
      </w:r>
      <w:r>
        <w:rPr>
          <w:spacing w:val="-4"/>
          <w:w w:val="99"/>
        </w:rPr>
        <w:t>中国注册会计师</w:t>
      </w:r>
      <w:r>
        <w:rPr>
          <w:rFonts w:ascii="宋体" w:hAnsi="宋体" w:cs="宋体" w:eastAsia="宋体" w:hint="default"/>
          <w:spacing w:val="-4"/>
          <w:w w:val="99"/>
        </w:rPr>
        <w:t>,</w:t>
      </w:r>
      <w:r>
        <w:rPr>
          <w:spacing w:val="-4"/>
          <w:w w:val="99"/>
        </w:rPr>
        <w:t>无党派人士。历任深圳永信瑞和会计师事务所</w:t>
      </w:r>
      <w:r>
        <w:rPr>
          <w:rFonts w:ascii="宋体" w:hAnsi="宋体" w:cs="宋体" w:eastAsia="宋体" w:hint="default"/>
          <w:spacing w:val="-4"/>
          <w:w w:val="99"/>
        </w:rPr>
        <w:t>(</w:t>
      </w:r>
      <w:r>
        <w:rPr>
          <w:spacing w:val="-4"/>
          <w:w w:val="99"/>
        </w:rPr>
        <w:t>特</w:t>
      </w:r>
      <w:r>
        <w:rPr/>
        <w:t> 殊普通合伙</w:t>
      </w:r>
      <w:r>
        <w:rPr>
          <w:rFonts w:ascii="宋体" w:hAnsi="宋体" w:cs="宋体" w:eastAsia="宋体" w:hint="default"/>
        </w:rPr>
        <w:t>)</w:t>
      </w:r>
      <w:r>
        <w:rPr/>
        <w:t>主任会计师、首席合伙人、所长</w:t>
      </w:r>
      <w:r>
        <w:rPr>
          <w:rFonts w:ascii="宋体" w:hAnsi="宋体" w:cs="宋体" w:eastAsia="宋体" w:hint="default"/>
        </w:rPr>
        <w:t>,</w:t>
      </w:r>
      <w:r>
        <w:rPr/>
        <w:t>现任天衡会计师事务所</w:t>
      </w:r>
      <w:r>
        <w:rPr>
          <w:rFonts w:ascii="宋体" w:hAnsi="宋体" w:cs="宋体" w:eastAsia="宋体" w:hint="default"/>
        </w:rPr>
        <w:t>(</w:t>
      </w:r>
      <w:r>
        <w:rPr/>
        <w:t>特殊普通合伙</w:t>
      </w:r>
      <w:r>
        <w:rPr>
          <w:rFonts w:ascii="宋体" w:hAnsi="宋体" w:cs="宋体" w:eastAsia="宋体" w:hint="default"/>
        </w:rPr>
        <w:t>)</w:t>
      </w:r>
      <w:r>
        <w:rPr/>
        <w:t>管理合伙人、深圳分所所长</w:t>
      </w:r>
      <w:r>
        <w:rPr>
          <w:rFonts w:ascii="宋体" w:hAnsi="宋体" w:cs="宋体" w:eastAsia="宋体" w:hint="default"/>
        </w:rPr>
        <w:t>,</w:t>
      </w:r>
      <w:r>
        <w:rPr/>
        <w:t>深圳市注 册会计师协会调查委员会副主任。社会兼职</w:t>
      </w:r>
      <w:r>
        <w:rPr>
          <w:rFonts w:ascii="宋体" w:hAnsi="宋体" w:cs="宋体" w:eastAsia="宋体" w:hint="default"/>
        </w:rPr>
        <w:t>:</w:t>
      </w:r>
      <w:r>
        <w:rPr/>
        <w:t>深圳市注册会计师协会调查委员会副主任、深圳市新的社会阶层人士联合会创 </w:t>
      </w:r>
      <w:r>
        <w:rPr>
          <w:spacing w:val="-3"/>
        </w:rPr>
        <w:t>会发起人、广东省江苏商会</w:t>
      </w:r>
      <w:r>
        <w:rPr>
          <w:rFonts w:ascii="宋体" w:hAnsi="宋体" w:cs="宋体" w:eastAsia="宋体" w:hint="default"/>
          <w:spacing w:val="-3"/>
        </w:rPr>
        <w:t>(</w:t>
      </w:r>
      <w:r>
        <w:rPr>
          <w:spacing w:val="-3"/>
        </w:rPr>
        <w:t>深圳</w:t>
      </w:r>
      <w:r>
        <w:rPr>
          <w:rFonts w:ascii="宋体" w:hAnsi="宋体" w:cs="宋体" w:eastAsia="宋体" w:hint="default"/>
          <w:spacing w:val="-3"/>
        </w:rPr>
        <w:t>)</w:t>
      </w:r>
      <w:r>
        <w:rPr>
          <w:spacing w:val="-3"/>
        </w:rPr>
        <w:t>副会长、香港华人会计师公会会员、深圳市知识分子联谊会理事。社会荣誉</w:t>
      </w:r>
      <w:r>
        <w:rPr>
          <w:rFonts w:ascii="宋体" w:hAnsi="宋体" w:cs="宋体" w:eastAsia="宋体" w:hint="default"/>
          <w:spacing w:val="-3"/>
        </w:rPr>
        <w:t>:2011</w:t>
      </w:r>
      <w:r>
        <w:rPr>
          <w:spacing w:val="-3"/>
        </w:rPr>
        <w:t>年获“深</w:t>
      </w:r>
      <w:r>
        <w:rPr/>
        <w:t> </w:t>
      </w:r>
      <w:r>
        <w:rPr>
          <w:spacing w:val="-2"/>
        </w:rPr>
        <w:t>圳市先进会计工作者”荣誉称号、</w:t>
      </w:r>
      <w:r>
        <w:rPr>
          <w:rFonts w:ascii="宋体" w:hAnsi="宋体" w:cs="宋体" w:eastAsia="宋体" w:hint="default"/>
          <w:spacing w:val="-2"/>
        </w:rPr>
        <w:t>2013</w:t>
      </w:r>
      <w:r>
        <w:rPr>
          <w:spacing w:val="-2"/>
        </w:rPr>
        <w:t>年获“深圳市新的社会阶层人士联合会优秀会员”荣誉证书、</w:t>
      </w:r>
      <w:r>
        <w:rPr>
          <w:rFonts w:ascii="宋体" w:hAnsi="宋体" w:cs="宋体" w:eastAsia="宋体" w:hint="default"/>
          <w:spacing w:val="-2"/>
        </w:rPr>
        <w:t>2014</w:t>
      </w:r>
      <w:r>
        <w:rPr>
          <w:spacing w:val="-2"/>
        </w:rPr>
        <w:t>年获“深圳市新的</w:t>
      </w:r>
      <w:r>
        <w:rPr>
          <w:spacing w:val="-59"/>
        </w:rPr>
        <w:t> </w:t>
      </w:r>
      <w:r>
        <w:rPr>
          <w:spacing w:val="-59"/>
        </w:rPr>
      </w:r>
      <w:r>
        <w:rPr/>
        <w:t>社会阶层人士联合会优秀会员”荣誉证书。</w:t>
      </w:r>
      <w:r>
        <w:rPr>
          <w:rFonts w:ascii="宋体" w:hAnsi="宋体" w:cs="宋体" w:eastAsia="宋体" w:hint="default"/>
        </w:rPr>
        <w:t>2014</w:t>
      </w:r>
      <w:r>
        <w:rPr/>
        <w:t>年获上海证券交易所第</w:t>
      </w:r>
      <w:r>
        <w:rPr>
          <w:rFonts w:ascii="宋体" w:hAnsi="宋体" w:cs="宋体" w:eastAsia="宋体" w:hint="default"/>
        </w:rPr>
        <w:t>30</w:t>
      </w:r>
      <w:r>
        <w:rPr/>
        <w:t>期独立董事资格证书</w:t>
      </w:r>
      <w:r>
        <w:rPr>
          <w:rFonts w:ascii="宋体" w:hAnsi="宋体" w:cs="宋体" w:eastAsia="宋体" w:hint="default"/>
        </w:rPr>
        <w:t>,</w:t>
      </w:r>
      <w:r>
        <w:rPr/>
        <w:t>拟任本公司第三届董事会独 立董事。</w:t>
      </w:r>
    </w:p>
    <w:p>
      <w:pPr>
        <w:pStyle w:val="BodyText"/>
        <w:spacing w:line="316" w:lineRule="auto" w:before="91"/>
        <w:ind w:right="1136" w:firstLine="361"/>
        <w:jc w:val="left"/>
      </w:pPr>
      <w:r>
        <w:rPr>
          <w:rFonts w:ascii="宋体" w:hAnsi="宋体" w:cs="宋体" w:eastAsia="宋体" w:hint="default"/>
          <w:b/>
          <w:bCs/>
        </w:rPr>
        <w:t>朱岩</w:t>
      </w:r>
      <w:r>
        <w:rPr/>
        <w:t>先生：中国国籍</w:t>
      </w:r>
      <w:r>
        <w:rPr>
          <w:rFonts w:ascii="宋体" w:hAnsi="宋体" w:cs="宋体" w:eastAsia="宋体" w:hint="default"/>
        </w:rPr>
        <w:t>,1972</w:t>
      </w:r>
      <w:r>
        <w:rPr/>
        <w:t>年生</w:t>
      </w:r>
      <w:r>
        <w:rPr>
          <w:rFonts w:ascii="宋体" w:hAnsi="宋体" w:cs="宋体" w:eastAsia="宋体" w:hint="default"/>
        </w:rPr>
        <w:t>,</w:t>
      </w:r>
      <w:r>
        <w:rPr/>
        <w:t>无境外永久居留权</w:t>
      </w:r>
      <w:r>
        <w:rPr>
          <w:rFonts w:ascii="宋体" w:hAnsi="宋体" w:cs="宋体" w:eastAsia="宋体" w:hint="default"/>
        </w:rPr>
        <w:t>,</w:t>
      </w:r>
      <w:r>
        <w:rPr/>
        <w:t>研究生学历</w:t>
      </w:r>
      <w:r>
        <w:rPr>
          <w:rFonts w:ascii="宋体" w:hAnsi="宋体" w:cs="宋体" w:eastAsia="宋体" w:hint="default"/>
        </w:rPr>
        <w:t>,</w:t>
      </w:r>
      <w:r>
        <w:rPr/>
        <w:t>法学博士学位。</w:t>
      </w:r>
      <w:r>
        <w:rPr>
          <w:rFonts w:ascii="宋体" w:hAnsi="宋体" w:cs="宋体" w:eastAsia="宋体" w:hint="default"/>
        </w:rPr>
        <w:t>1995-1996</w:t>
      </w:r>
      <w:r>
        <w:rPr/>
        <w:t>年任职于江苏省连云港经济 技术开发区</w:t>
      </w:r>
      <w:r>
        <w:rPr>
          <w:rFonts w:ascii="宋体" w:hAnsi="宋体" w:cs="宋体" w:eastAsia="宋体" w:hint="default"/>
        </w:rPr>
        <w:t>,1996-1999</w:t>
      </w:r>
      <w:r>
        <w:rPr/>
        <w:t>年在中国人民法学法学院攻读法学硕士</w:t>
      </w:r>
      <w:r>
        <w:rPr>
          <w:rFonts w:ascii="宋体" w:hAnsi="宋体" w:cs="宋体" w:eastAsia="宋体" w:hint="default"/>
        </w:rPr>
        <w:t>,1999-2003</w:t>
      </w:r>
      <w:r>
        <w:rPr/>
        <w:t>年在德国不莱梅大学法律系攻读法学博</w:t>
      </w:r>
    </w:p>
    <w:p>
      <w:pPr>
        <w:pStyle w:val="BodyText"/>
        <w:spacing w:line="316" w:lineRule="auto" w:before="19"/>
        <w:ind w:right="1131"/>
        <w:jc w:val="both"/>
      </w:pPr>
      <w:r>
        <w:rPr>
          <w:spacing w:val="-2"/>
        </w:rPr>
        <w:t>士</w:t>
      </w:r>
      <w:r>
        <w:rPr>
          <w:rFonts w:ascii="宋体" w:hAnsi="宋体" w:cs="宋体" w:eastAsia="宋体" w:hint="default"/>
          <w:spacing w:val="-2"/>
        </w:rPr>
        <w:t>,2003-2004</w:t>
      </w:r>
      <w:r>
        <w:rPr>
          <w:spacing w:val="-2"/>
        </w:rPr>
        <w:t>年在德国汉堡马克斯</w:t>
      </w:r>
      <w:r>
        <w:rPr>
          <w:rFonts w:ascii="宋体" w:hAnsi="宋体" w:cs="宋体" w:eastAsia="宋体" w:hint="default"/>
          <w:spacing w:val="-2"/>
        </w:rPr>
        <w:t>-</w:t>
      </w:r>
      <w:r>
        <w:rPr>
          <w:spacing w:val="-2"/>
        </w:rPr>
        <w:t>普朗克国际私法研究所做法学博士后研究</w:t>
      </w:r>
      <w:r>
        <w:rPr>
          <w:rFonts w:ascii="宋体" w:hAnsi="宋体" w:cs="宋体" w:eastAsia="宋体" w:hint="default"/>
          <w:spacing w:val="-2"/>
        </w:rPr>
        <w:t>,2004</w:t>
      </w:r>
      <w:r>
        <w:rPr>
          <w:spacing w:val="-2"/>
        </w:rPr>
        <w:t>至今历任中国人民大学法学院讲师、副教</w:t>
      </w:r>
      <w:r>
        <w:rPr>
          <w:spacing w:val="-48"/>
        </w:rPr>
        <w:t> </w:t>
      </w:r>
      <w:r>
        <w:rPr>
          <w:spacing w:val="-48"/>
        </w:rPr>
      </w:r>
      <w:r>
        <w:rPr>
          <w:spacing w:val="-2"/>
        </w:rPr>
        <w:t>授、教授。现任同兴达股份独立董事、中国人民大学法学院教授、潍坊银行股份有限公司独立董事、北新集团建材股份有限</w:t>
      </w:r>
      <w:r>
        <w:rPr>
          <w:spacing w:val="-66"/>
        </w:rPr>
        <w:t> </w:t>
      </w:r>
      <w:r>
        <w:rPr>
          <w:spacing w:val="-66"/>
        </w:rPr>
      </w:r>
      <w:r>
        <w:rPr/>
        <w:t>公司独立董事、华创科技</w:t>
      </w:r>
      <w:r>
        <w:rPr>
          <w:rFonts w:ascii="宋体" w:hAnsi="宋体" w:cs="宋体" w:eastAsia="宋体" w:hint="default"/>
        </w:rPr>
        <w:t>(</w:t>
      </w:r>
      <w:r>
        <w:rPr/>
        <w:t>北京</w:t>
      </w:r>
      <w:r>
        <w:rPr>
          <w:rFonts w:ascii="宋体" w:hAnsi="宋体" w:cs="宋体" w:eastAsia="宋体" w:hint="default"/>
        </w:rPr>
        <w:t>)</w:t>
      </w:r>
      <w:r>
        <w:rPr/>
        <w:t>股份有限公司独立董事。</w:t>
      </w:r>
    </w:p>
    <w:p>
      <w:pPr>
        <w:pStyle w:val="BodyText"/>
        <w:spacing w:line="391" w:lineRule="auto" w:before="91"/>
        <w:ind w:left="515" w:right="1032" w:firstLine="61"/>
        <w:jc w:val="left"/>
      </w:pP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b/>
          <w:bCs/>
          <w:w w:val="99"/>
        </w:rPr>
        <w:t> </w:t>
      </w:r>
      <w:r>
        <w:rPr>
          <w:rFonts w:ascii="宋体" w:hAnsi="宋体" w:cs="宋体" w:eastAsia="宋体" w:hint="default"/>
          <w:b/>
          <w:bCs/>
          <w:spacing w:val="-2"/>
        </w:rPr>
        <w:t>何玉辉</w:t>
      </w:r>
      <w:r>
        <w:rPr>
          <w:spacing w:val="-2"/>
        </w:rPr>
        <w:t>女士：中国国籍，</w:t>
      </w:r>
      <w:r>
        <w:rPr>
          <w:rFonts w:ascii="宋体" w:hAnsi="宋体" w:cs="宋体" w:eastAsia="宋体" w:hint="default"/>
          <w:spacing w:val="-2"/>
        </w:rPr>
        <w:t>1973</w:t>
      </w:r>
      <w:r>
        <w:rPr>
          <w:spacing w:val="-2"/>
        </w:rPr>
        <w:t>年出生，本科学历。曾任职于湖南省邵东县界岭镇和杨桥镇人民政府、深圳市信和达投资</w:t>
      </w:r>
    </w:p>
    <w:p>
      <w:pPr>
        <w:pStyle w:val="BodyText"/>
        <w:spacing w:line="199" w:lineRule="exact"/>
        <w:ind w:right="0"/>
        <w:jc w:val="both"/>
      </w:pPr>
      <w:r>
        <w:rPr/>
        <w:t>发展有限公司；</w:t>
      </w:r>
      <w:r>
        <w:rPr>
          <w:rFonts w:ascii="宋体" w:hAnsi="宋体" w:cs="宋体" w:eastAsia="宋体" w:hint="default"/>
        </w:rPr>
        <w:t>2007</w:t>
      </w:r>
      <w:r>
        <w:rPr/>
        <w:t>年起就职于中装有限，任法务部副经理；自</w:t>
      </w:r>
      <w:r>
        <w:rPr>
          <w:rFonts w:ascii="宋体" w:hAnsi="宋体" w:cs="宋体" w:eastAsia="宋体" w:hint="default"/>
        </w:rPr>
        <w:t>2012</w:t>
      </w:r>
      <w:r>
        <w:rPr/>
        <w:t>年</w:t>
      </w:r>
      <w:r>
        <w:rPr>
          <w:rFonts w:ascii="宋体" w:hAnsi="宋体" w:cs="宋体" w:eastAsia="宋体" w:hint="default"/>
        </w:rPr>
        <w:t>4</w:t>
      </w:r>
      <w:r>
        <w:rPr/>
        <w:t>月起任本公司监事会主席、法务部经理。</w:t>
      </w:r>
    </w:p>
    <w:p>
      <w:pPr>
        <w:pStyle w:val="BodyText"/>
        <w:spacing w:line="316" w:lineRule="auto" w:before="148"/>
        <w:ind w:right="1032" w:firstLine="361"/>
        <w:jc w:val="left"/>
      </w:pPr>
      <w:r>
        <w:rPr>
          <w:rFonts w:ascii="宋体" w:hAnsi="宋体" w:cs="宋体" w:eastAsia="宋体" w:hint="default"/>
          <w:b/>
          <w:bCs/>
          <w:spacing w:val="-2"/>
        </w:rPr>
        <w:t>张水霞</w:t>
      </w:r>
      <w:r>
        <w:rPr>
          <w:spacing w:val="-2"/>
        </w:rPr>
        <w:t>女士：中国国籍，</w:t>
      </w:r>
      <w:r>
        <w:rPr>
          <w:rFonts w:ascii="宋体" w:hAnsi="宋体" w:cs="宋体" w:eastAsia="宋体" w:hint="default"/>
          <w:spacing w:val="-2"/>
        </w:rPr>
        <w:t>1973</w:t>
      </w:r>
      <w:r>
        <w:rPr>
          <w:spacing w:val="-2"/>
        </w:rPr>
        <w:t>年出生，大专学历。曾任职于黑龙江省萝北县宝泉岭管理局、宝泉岭高级中学；</w:t>
      </w:r>
      <w:r>
        <w:rPr>
          <w:rFonts w:ascii="宋体" w:hAnsi="宋体" w:cs="宋体" w:eastAsia="宋体" w:hint="default"/>
          <w:spacing w:val="-2"/>
        </w:rPr>
        <w:t>2001</w:t>
      </w:r>
      <w:r>
        <w:rPr>
          <w:spacing w:val="-2"/>
        </w:rPr>
        <w:t>年起</w:t>
      </w:r>
      <w:r>
        <w:rPr/>
        <w:t> 就职于中装有限，任企管部经理；自</w:t>
      </w:r>
      <w:r>
        <w:rPr>
          <w:rFonts w:ascii="宋体" w:hAnsi="宋体" w:cs="宋体" w:eastAsia="宋体" w:hint="default"/>
        </w:rPr>
        <w:t>2012</w:t>
      </w:r>
      <w:r>
        <w:rPr/>
        <w:t>年</w:t>
      </w:r>
      <w:r>
        <w:rPr>
          <w:rFonts w:ascii="宋体" w:hAnsi="宋体" w:cs="宋体" w:eastAsia="宋体" w:hint="default"/>
        </w:rPr>
        <w:t>4</w:t>
      </w:r>
      <w:r>
        <w:rPr/>
        <w:t>月起任本公司职工代表监事、人力资源部经理。</w:t>
      </w:r>
    </w:p>
    <w:p>
      <w:pPr>
        <w:pStyle w:val="BodyText"/>
        <w:spacing w:line="316" w:lineRule="auto" w:before="91"/>
        <w:ind w:right="1120" w:firstLine="361"/>
        <w:jc w:val="left"/>
      </w:pPr>
      <w:r>
        <w:rPr>
          <w:rFonts w:ascii="宋体" w:hAnsi="宋体" w:cs="宋体" w:eastAsia="宋体" w:hint="default"/>
          <w:b/>
          <w:bCs/>
        </w:rPr>
        <w:t>陈群</w:t>
      </w:r>
      <w:r>
        <w:rPr/>
        <w:t>女士</w:t>
      </w:r>
      <w:r>
        <w:rPr>
          <w:rFonts w:ascii="宋体" w:hAnsi="宋体" w:cs="宋体" w:eastAsia="宋体" w:hint="default"/>
        </w:rPr>
        <w:t>:</w:t>
      </w:r>
      <w:r>
        <w:rPr/>
        <w:t>中国国籍</w:t>
      </w:r>
      <w:r>
        <w:rPr>
          <w:rFonts w:ascii="宋体" w:hAnsi="宋体" w:cs="宋体" w:eastAsia="宋体" w:hint="default"/>
        </w:rPr>
        <w:t>,1979</w:t>
      </w:r>
      <w:r>
        <w:rPr/>
        <w:t>年出生</w:t>
      </w:r>
      <w:r>
        <w:rPr>
          <w:rFonts w:ascii="宋体" w:hAnsi="宋体" w:cs="宋体" w:eastAsia="宋体" w:hint="default"/>
        </w:rPr>
        <w:t>,</w:t>
      </w:r>
      <w:r>
        <w:rPr/>
        <w:t>本科学历。曾任职于深圳市金活医药集团担任人力资源部副经理</w:t>
      </w:r>
      <w:r>
        <w:rPr>
          <w:rFonts w:ascii="宋体" w:hAnsi="宋体" w:cs="宋体" w:eastAsia="宋体" w:hint="default"/>
        </w:rPr>
        <w:t>;2012</w:t>
      </w:r>
      <w:r>
        <w:rPr/>
        <w:t>年</w:t>
      </w:r>
      <w:r>
        <w:rPr>
          <w:rFonts w:ascii="宋体" w:hAnsi="宋体" w:cs="宋体" w:eastAsia="宋体" w:hint="default"/>
        </w:rPr>
        <w:t>3</w:t>
      </w:r>
      <w:r>
        <w:rPr/>
        <w:t>月至</w:t>
      </w:r>
      <w:r>
        <w:rPr>
          <w:rFonts w:ascii="宋体" w:hAnsi="宋体" w:cs="宋体" w:eastAsia="宋体" w:hint="default"/>
        </w:rPr>
        <w:t>2013</w:t>
      </w:r>
      <w:r>
        <w:rPr/>
        <w:t>年 </w:t>
      </w:r>
      <w:r>
        <w:rPr>
          <w:rFonts w:ascii="宋体" w:hAnsi="宋体" w:cs="宋体" w:eastAsia="宋体" w:hint="default"/>
        </w:rPr>
        <w:t>10</w:t>
      </w:r>
      <w:r>
        <w:rPr/>
        <w:t>月任本公司人力资源部副经理</w:t>
      </w:r>
      <w:r>
        <w:rPr>
          <w:rFonts w:ascii="宋体" w:hAnsi="宋体" w:cs="宋体" w:eastAsia="宋体" w:hint="default"/>
        </w:rPr>
        <w:t>;2013</w:t>
      </w:r>
      <w:r>
        <w:rPr/>
        <w:t>年</w:t>
      </w:r>
      <w:r>
        <w:rPr>
          <w:rFonts w:ascii="宋体" w:hAnsi="宋体" w:cs="宋体" w:eastAsia="宋体" w:hint="default"/>
        </w:rPr>
        <w:t>11</w:t>
      </w:r>
      <w:r>
        <w:rPr/>
        <w:t>月至</w:t>
      </w:r>
      <w:r>
        <w:rPr>
          <w:rFonts w:ascii="宋体" w:hAnsi="宋体" w:cs="宋体" w:eastAsia="宋体" w:hint="default"/>
        </w:rPr>
        <w:t>2015</w:t>
      </w:r>
      <w:r>
        <w:rPr/>
        <w:t>年</w:t>
      </w:r>
      <w:r>
        <w:rPr>
          <w:rFonts w:ascii="宋体" w:hAnsi="宋体" w:cs="宋体" w:eastAsia="宋体" w:hint="default"/>
        </w:rPr>
        <w:t>9</w:t>
      </w:r>
      <w:r>
        <w:rPr/>
        <w:t>月任本公司客户服务部副经理</w:t>
      </w:r>
      <w:r>
        <w:rPr>
          <w:rFonts w:ascii="宋体" w:hAnsi="宋体" w:cs="宋体" w:eastAsia="宋体" w:hint="default"/>
        </w:rPr>
        <w:t>;2015</w:t>
      </w:r>
      <w:r>
        <w:rPr/>
        <w:t>年</w:t>
      </w:r>
      <w:r>
        <w:rPr>
          <w:rFonts w:ascii="宋体" w:hAnsi="宋体" w:cs="宋体" w:eastAsia="宋体" w:hint="default"/>
        </w:rPr>
        <w:t>10</w:t>
      </w:r>
      <w:r>
        <w:rPr/>
        <w:t>月至</w:t>
      </w:r>
      <w:r>
        <w:rPr>
          <w:rFonts w:ascii="宋体" w:hAnsi="宋体" w:cs="宋体" w:eastAsia="宋体" w:hint="default"/>
        </w:rPr>
        <w:t>2017</w:t>
      </w:r>
      <w:r>
        <w:rPr/>
        <w:t>年</w:t>
      </w:r>
      <w:r>
        <w:rPr>
          <w:rFonts w:ascii="宋体" w:hAnsi="宋体" w:cs="宋体" w:eastAsia="宋体" w:hint="default"/>
        </w:rPr>
        <w:t>1</w:t>
      </w:r>
      <w:r>
        <w:rPr/>
        <w:t>月任本公司营 销中心副总监</w:t>
      </w:r>
      <w:r>
        <w:rPr>
          <w:rFonts w:ascii="宋体" w:hAnsi="宋体" w:cs="宋体" w:eastAsia="宋体" w:hint="default"/>
        </w:rPr>
        <w:t>;2017</w:t>
      </w:r>
      <w:r>
        <w:rPr/>
        <w:t>年</w:t>
      </w:r>
      <w:r>
        <w:rPr>
          <w:rFonts w:ascii="宋体" w:hAnsi="宋体" w:cs="宋体" w:eastAsia="宋体" w:hint="default"/>
        </w:rPr>
        <w:t>1</w:t>
      </w:r>
      <w:r>
        <w:rPr/>
        <w:t>月起任本公司总裁办公室副总监。</w:t>
      </w:r>
    </w:p>
    <w:p>
      <w:pPr>
        <w:pStyle w:val="BodyText"/>
        <w:spacing w:line="391" w:lineRule="auto" w:before="91"/>
        <w:ind w:left="514" w:right="4540" w:firstLine="62"/>
        <w:jc w:val="left"/>
      </w:pPr>
      <w:r>
        <w:rPr>
          <w:rFonts w:ascii="宋体" w:hAnsi="宋体" w:cs="宋体" w:eastAsia="宋体" w:hint="default"/>
          <w:b/>
          <w:bCs/>
        </w:rPr>
        <w:t>3</w:t>
      </w:r>
      <w:r>
        <w:rPr>
          <w:rFonts w:ascii="宋体" w:hAnsi="宋体" w:cs="宋体" w:eastAsia="宋体" w:hint="default"/>
          <w:b/>
          <w:bCs/>
        </w:rPr>
        <w:t>、高级管理人员</w:t>
      </w:r>
      <w:r>
        <w:rPr>
          <w:rFonts w:ascii="宋体" w:hAnsi="宋体" w:cs="宋体" w:eastAsia="宋体" w:hint="default"/>
          <w:b/>
          <w:bCs/>
          <w:w w:val="99"/>
        </w:rPr>
        <w:t> </w:t>
      </w:r>
      <w:r>
        <w:rPr>
          <w:rFonts w:ascii="宋体" w:hAnsi="宋体" w:cs="宋体" w:eastAsia="宋体" w:hint="default"/>
          <w:b/>
          <w:bCs/>
        </w:rPr>
        <w:t>庄展诺</w:t>
      </w:r>
      <w:r>
        <w:rPr/>
        <w:t>先生：个人简历详见本节之“三、任职情况”之“</w:t>
      </w:r>
      <w:r>
        <w:rPr>
          <w:rFonts w:ascii="宋体" w:hAnsi="宋体" w:cs="宋体" w:eastAsia="宋体" w:hint="default"/>
        </w:rPr>
        <w:t>1</w:t>
      </w:r>
      <w:r>
        <w:rPr/>
        <w:t>、董事会成员” </w:t>
      </w:r>
      <w:r>
        <w:rPr>
          <w:rFonts w:ascii="宋体" w:hAnsi="宋体" w:cs="宋体" w:eastAsia="宋体" w:hint="default"/>
          <w:b/>
          <w:bCs/>
        </w:rPr>
        <w:t>何斌</w:t>
      </w:r>
      <w:r>
        <w:rPr/>
        <w:t>先生：个人简历详见本节之“三、任职情况”之“</w:t>
      </w:r>
      <w:r>
        <w:rPr>
          <w:rFonts w:ascii="宋体" w:hAnsi="宋体" w:cs="宋体" w:eastAsia="宋体" w:hint="default"/>
        </w:rPr>
        <w:t>1</w:t>
      </w:r>
      <w:r>
        <w:rPr/>
        <w:t>、董事会成员”</w:t>
      </w:r>
    </w:p>
    <w:p>
      <w:pPr>
        <w:pStyle w:val="BodyText"/>
        <w:spacing w:line="316" w:lineRule="auto" w:before="35"/>
        <w:ind w:right="1029" w:firstLine="361"/>
        <w:jc w:val="left"/>
      </w:pPr>
      <w:r>
        <w:rPr>
          <w:rFonts w:ascii="宋体" w:hAnsi="宋体" w:cs="宋体" w:eastAsia="宋体" w:hint="default"/>
          <w:b/>
          <w:bCs/>
        </w:rPr>
        <w:t>廖伟潭</w:t>
      </w:r>
      <w:r>
        <w:rPr/>
        <w:t>先生：中国国籍，</w:t>
      </w:r>
      <w:r>
        <w:rPr>
          <w:rFonts w:ascii="宋体" w:hAnsi="宋体" w:cs="宋体" w:eastAsia="宋体" w:hint="default"/>
        </w:rPr>
        <w:t>1965</w:t>
      </w:r>
      <w:r>
        <w:rPr/>
        <w:t>年出生，中专学历。曾任职于广东省陆丰县及陆河县邮电局、深圳市亿通电讯有限公司、 深圳市博大装饰设计工程有限公司；</w:t>
      </w:r>
      <w:r>
        <w:rPr>
          <w:rFonts w:ascii="宋体" w:hAnsi="宋体" w:cs="宋体" w:eastAsia="宋体" w:hint="default"/>
        </w:rPr>
        <w:t>2008</w:t>
      </w:r>
      <w:r>
        <w:rPr/>
        <w:t>年</w:t>
      </w:r>
      <w:r>
        <w:rPr>
          <w:rFonts w:ascii="宋体" w:hAnsi="宋体" w:cs="宋体" w:eastAsia="宋体" w:hint="default"/>
        </w:rPr>
        <w:t>10</w:t>
      </w:r>
      <w:r>
        <w:rPr/>
        <w:t>月起就职于中装有限，任副总经理；自</w:t>
      </w:r>
      <w:r>
        <w:rPr>
          <w:rFonts w:ascii="宋体" w:hAnsi="宋体" w:cs="宋体" w:eastAsia="宋体" w:hint="default"/>
        </w:rPr>
        <w:t>2012</w:t>
      </w:r>
      <w:r>
        <w:rPr/>
        <w:t>年</w:t>
      </w:r>
      <w:r>
        <w:rPr>
          <w:rFonts w:ascii="宋体" w:hAnsi="宋体" w:cs="宋体" w:eastAsia="宋体" w:hint="default"/>
        </w:rPr>
        <w:t>4</w:t>
      </w:r>
      <w:r>
        <w:rPr/>
        <w:t>月起任本公司副总经理兼运营 管理中心总经理。</w:t>
      </w:r>
    </w:p>
    <w:p>
      <w:pPr>
        <w:pStyle w:val="BodyText"/>
        <w:spacing w:line="240" w:lineRule="auto" w:before="91"/>
        <w:ind w:left="515" w:right="0"/>
        <w:jc w:val="left"/>
      </w:pPr>
      <w:r>
        <w:rPr>
          <w:rFonts w:ascii="宋体" w:hAnsi="宋体" w:cs="宋体" w:eastAsia="宋体" w:hint="default"/>
          <w:b/>
          <w:bCs/>
        </w:rPr>
        <w:t>庄超喜</w:t>
      </w:r>
      <w:r>
        <w:rPr/>
        <w:t>先生：中国国籍，</w:t>
      </w:r>
      <w:r>
        <w:rPr>
          <w:rFonts w:ascii="宋体" w:hAnsi="宋体" w:cs="宋体" w:eastAsia="宋体" w:hint="default"/>
        </w:rPr>
        <w:t>1975</w:t>
      </w:r>
      <w:r>
        <w:rPr/>
        <w:t>年出生，大专学历，国家注册一级建造师。</w:t>
      </w:r>
      <w:r>
        <w:rPr>
          <w:rFonts w:ascii="宋体" w:hAnsi="宋体" w:cs="宋体" w:eastAsia="宋体" w:hint="default"/>
        </w:rPr>
        <w:t>2002</w:t>
      </w:r>
      <w:r>
        <w:rPr/>
        <w:t>年</w:t>
      </w:r>
      <w:r>
        <w:rPr>
          <w:rFonts w:ascii="宋体" w:hAnsi="宋体" w:cs="宋体" w:eastAsia="宋体" w:hint="default"/>
        </w:rPr>
        <w:t>12</w:t>
      </w:r>
      <w:r>
        <w:rPr/>
        <w:t>月就职于中装有限，历任采购员、采</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91" w:lineRule="auto" w:before="44"/>
        <w:ind w:left="515" w:right="1032" w:hanging="362"/>
        <w:jc w:val="left"/>
      </w:pPr>
      <w:r>
        <w:rPr/>
        <w:t>购部经理；自</w:t>
      </w:r>
      <w:r>
        <w:rPr>
          <w:rFonts w:ascii="宋体" w:hAnsi="宋体" w:cs="宋体" w:eastAsia="宋体" w:hint="default"/>
        </w:rPr>
        <w:t>2010</w:t>
      </w:r>
      <w:r>
        <w:rPr/>
        <w:t>年</w:t>
      </w:r>
      <w:r>
        <w:rPr>
          <w:rFonts w:ascii="宋体" w:hAnsi="宋体" w:cs="宋体" w:eastAsia="宋体" w:hint="default"/>
        </w:rPr>
        <w:t>5</w:t>
      </w:r>
      <w:r>
        <w:rPr/>
        <w:t>月起就职于中装有限，任副总经理；自</w:t>
      </w:r>
      <w:r>
        <w:rPr>
          <w:rFonts w:ascii="宋体" w:hAnsi="宋体" w:cs="宋体" w:eastAsia="宋体" w:hint="default"/>
        </w:rPr>
        <w:t>2012</w:t>
      </w:r>
      <w:r>
        <w:rPr/>
        <w:t>年</w:t>
      </w:r>
      <w:r>
        <w:rPr>
          <w:rFonts w:ascii="宋体" w:hAnsi="宋体" w:cs="宋体" w:eastAsia="宋体" w:hint="default"/>
        </w:rPr>
        <w:t>4</w:t>
      </w:r>
      <w:r>
        <w:rPr/>
        <w:t>月起任本公司副总经理兼工程管理中心总经理。 </w:t>
      </w:r>
      <w:r>
        <w:rPr>
          <w:rFonts w:ascii="宋体" w:hAnsi="宋体" w:cs="宋体" w:eastAsia="宋体" w:hint="default"/>
          <w:b/>
          <w:bCs/>
          <w:spacing w:val="-4"/>
        </w:rPr>
        <w:t>赵海峰</w:t>
      </w:r>
      <w:r>
        <w:rPr>
          <w:spacing w:val="-4"/>
        </w:rPr>
        <w:t>先生：中国国籍，</w:t>
      </w:r>
      <w:r>
        <w:rPr>
          <w:rFonts w:ascii="宋体" w:hAnsi="宋体" w:cs="宋体" w:eastAsia="宋体" w:hint="default"/>
          <w:spacing w:val="-4"/>
        </w:rPr>
        <w:t>1979</w:t>
      </w:r>
      <w:r>
        <w:rPr>
          <w:spacing w:val="-4"/>
        </w:rPr>
        <w:t>年出生，本科学历。曾任职于深圳万基集团有限公司、深圳市鹏劳人力资源管理有限公司；</w:t>
      </w:r>
    </w:p>
    <w:p>
      <w:pPr>
        <w:pStyle w:val="BodyText"/>
        <w:spacing w:line="199" w:lineRule="exact"/>
        <w:ind w:right="1032"/>
        <w:jc w:val="left"/>
      </w:pPr>
      <w:r>
        <w:rPr>
          <w:rFonts w:ascii="宋体" w:hAnsi="宋体" w:cs="宋体" w:eastAsia="宋体" w:hint="default"/>
        </w:rPr>
        <w:t>2011</w:t>
      </w:r>
      <w:r>
        <w:rPr/>
        <w:t>年</w:t>
      </w:r>
      <w:r>
        <w:rPr>
          <w:rFonts w:ascii="宋体" w:hAnsi="宋体" w:cs="宋体" w:eastAsia="宋体" w:hint="default"/>
        </w:rPr>
        <w:t>2</w:t>
      </w:r>
      <w:r>
        <w:rPr/>
        <w:t>月起就职于中装有限，历任人力资源总监、副总经理；自</w:t>
      </w:r>
      <w:r>
        <w:rPr>
          <w:rFonts w:ascii="宋体" w:hAnsi="宋体" w:cs="宋体" w:eastAsia="宋体" w:hint="default"/>
        </w:rPr>
        <w:t>2012</w:t>
      </w:r>
      <w:r>
        <w:rPr/>
        <w:t>年</w:t>
      </w:r>
      <w:r>
        <w:rPr>
          <w:rFonts w:ascii="宋体" w:hAnsi="宋体" w:cs="宋体" w:eastAsia="宋体" w:hint="default"/>
        </w:rPr>
        <w:t>4</w:t>
      </w:r>
      <w:r>
        <w:rPr/>
        <w:t>月起任本公司副总经理兼行政管理中心总经理。</w:t>
      </w:r>
    </w:p>
    <w:p>
      <w:pPr>
        <w:pStyle w:val="BodyText"/>
        <w:spacing w:line="319" w:lineRule="auto" w:before="148"/>
        <w:ind w:right="1032" w:firstLine="361"/>
        <w:jc w:val="left"/>
      </w:pPr>
      <w:r>
        <w:rPr>
          <w:rFonts w:ascii="宋体" w:hAnsi="宋体" w:cs="宋体" w:eastAsia="宋体" w:hint="default"/>
          <w:b/>
          <w:bCs/>
          <w:spacing w:val="-2"/>
        </w:rPr>
        <w:t>于桂添</w:t>
      </w:r>
      <w:r>
        <w:rPr>
          <w:spacing w:val="-2"/>
        </w:rPr>
        <w:t>先生：中国国籍，</w:t>
      </w:r>
      <w:r>
        <w:rPr>
          <w:rFonts w:ascii="宋体" w:hAnsi="宋体" w:cs="宋体" w:eastAsia="宋体" w:hint="default"/>
          <w:spacing w:val="-2"/>
        </w:rPr>
        <w:t>1982</w:t>
      </w:r>
      <w:r>
        <w:rPr>
          <w:spacing w:val="-2"/>
        </w:rPr>
        <w:t>年出生，硕士研究生学历。曾任职于安信证券股份有限公司投资银行部、齐鲁证券有限公</w:t>
      </w:r>
      <w:r>
        <w:rPr/>
        <w:t> 司投资银行部；自</w:t>
      </w:r>
      <w:r>
        <w:rPr>
          <w:rFonts w:ascii="宋体" w:hAnsi="宋体" w:cs="宋体" w:eastAsia="宋体" w:hint="default"/>
        </w:rPr>
        <w:t>2012</w:t>
      </w:r>
      <w:r>
        <w:rPr/>
        <w:t>年</w:t>
      </w:r>
      <w:r>
        <w:rPr>
          <w:rFonts w:ascii="宋体" w:hAnsi="宋体" w:cs="宋体" w:eastAsia="宋体" w:hint="default"/>
        </w:rPr>
        <w:t>7</w:t>
      </w:r>
      <w:r>
        <w:rPr/>
        <w:t>月起任本公司副总经理、董事会秘书；</w:t>
      </w:r>
      <w:r>
        <w:rPr>
          <w:rFonts w:ascii="宋体" w:hAnsi="宋体" w:cs="宋体" w:eastAsia="宋体" w:hint="default"/>
        </w:rPr>
        <w:t>2015</w:t>
      </w:r>
      <w:r>
        <w:rPr/>
        <w:t>年</w:t>
      </w:r>
      <w:r>
        <w:rPr>
          <w:rFonts w:ascii="宋体" w:hAnsi="宋体" w:cs="宋体" w:eastAsia="宋体" w:hint="default"/>
        </w:rPr>
        <w:t>4</w:t>
      </w:r>
      <w:r>
        <w:rPr/>
        <w:t>月起兼任本公司财务总监。</w:t>
      </w:r>
    </w:p>
    <w:p>
      <w:pPr>
        <w:pStyle w:val="BodyText"/>
        <w:spacing w:line="316" w:lineRule="auto" w:before="89"/>
        <w:ind w:right="1032" w:firstLine="422"/>
        <w:jc w:val="left"/>
      </w:pPr>
      <w:r>
        <w:rPr>
          <w:rFonts w:ascii="宋体" w:hAnsi="宋体" w:cs="宋体" w:eastAsia="宋体" w:hint="default"/>
          <w:b/>
          <w:bCs/>
          <w:spacing w:val="-4"/>
          <w:w w:val="99"/>
        </w:rPr>
        <w:t>曾凡伟</w:t>
      </w:r>
      <w:r>
        <w:rPr>
          <w:spacing w:val="-4"/>
          <w:w w:val="99"/>
        </w:rPr>
        <w:t>先生：中国国籍，</w:t>
      </w:r>
      <w:r>
        <w:rPr>
          <w:rFonts w:ascii="宋体" w:hAnsi="宋体" w:cs="宋体" w:eastAsia="宋体" w:hint="default"/>
          <w:spacing w:val="-4"/>
          <w:w w:val="99"/>
        </w:rPr>
        <w:t>1976</w:t>
      </w:r>
      <w:r>
        <w:rPr>
          <w:spacing w:val="-4"/>
          <w:w w:val="99"/>
        </w:rPr>
        <w:t>年出生，</w:t>
      </w:r>
      <w:r>
        <w:rPr>
          <w:rFonts w:ascii="宋体" w:hAnsi="宋体" w:cs="宋体" w:eastAsia="宋体" w:hint="default"/>
          <w:spacing w:val="-4"/>
          <w:w w:val="99"/>
        </w:rPr>
        <w:t>EMBA</w:t>
      </w:r>
      <w:r>
        <w:rPr>
          <w:spacing w:val="-4"/>
          <w:w w:val="99"/>
        </w:rPr>
        <w:t>，中国注册会计师、中国注册税务师、会计师、国际内部审计师（</w:t>
      </w:r>
      <w:r>
        <w:rPr>
          <w:rFonts w:ascii="宋体" w:hAnsi="宋体" w:cs="宋体" w:eastAsia="宋体" w:hint="default"/>
          <w:spacing w:val="-4"/>
          <w:w w:val="99"/>
        </w:rPr>
        <w:t>CIA</w:t>
      </w:r>
      <w:r>
        <w:rPr>
          <w:spacing w:val="-4"/>
          <w:w w:val="99"/>
        </w:rPr>
        <w:t>）、</w:t>
      </w:r>
      <w:r>
        <w:rPr>
          <w:spacing w:val="-90"/>
        </w:rPr>
        <w:t> </w:t>
      </w:r>
      <w:r>
        <w:rPr>
          <w:spacing w:val="-2"/>
        </w:rPr>
        <w:t>国际信息系统审计师（</w:t>
      </w:r>
      <w:r>
        <w:rPr>
          <w:rFonts w:ascii="宋体" w:hAnsi="宋体" w:cs="宋体" w:eastAsia="宋体" w:hint="default"/>
          <w:spacing w:val="-2"/>
        </w:rPr>
        <w:t>CISA</w:t>
      </w:r>
      <w:r>
        <w:rPr>
          <w:spacing w:val="-2"/>
        </w:rPr>
        <w:t>）。曾任职于星光印刷（深圳）有限公司、大华会计师事务所（特殊普通合伙）深圳分所，</w:t>
      </w:r>
      <w:r>
        <w:rPr>
          <w:rFonts w:ascii="宋体" w:hAnsi="宋体" w:cs="宋体" w:eastAsia="宋体" w:hint="default"/>
          <w:spacing w:val="-2"/>
        </w:rPr>
        <w:t>2016</w:t>
      </w:r>
      <w:r>
        <w:rPr>
          <w:rFonts w:ascii="宋体" w:hAnsi="宋体" w:cs="宋体" w:eastAsia="宋体" w:hint="default"/>
          <w:spacing w:val="-64"/>
        </w:rPr>
        <w:t> </w:t>
      </w:r>
      <w:r>
        <w:rPr/>
        <w:t>年</w:t>
      </w:r>
      <w:r>
        <w:rPr>
          <w:rFonts w:ascii="宋体" w:hAnsi="宋体" w:cs="宋体" w:eastAsia="宋体" w:hint="default"/>
        </w:rPr>
        <w:t>8</w:t>
      </w:r>
      <w:r>
        <w:rPr/>
        <w:t>月起就职于深圳市中装建设集团股份有限公司，任审计总监；</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20</w:t>
      </w:r>
      <w:r>
        <w:rPr/>
        <w:t>日起任本公司副总经理兼审计总监。</w:t>
      </w:r>
    </w:p>
    <w:p>
      <w:pPr>
        <w:pStyle w:val="BodyText"/>
        <w:spacing w:line="316" w:lineRule="auto" w:before="91"/>
        <w:ind w:right="1032" w:firstLine="422"/>
        <w:jc w:val="left"/>
      </w:pPr>
      <w:r>
        <w:rPr>
          <w:rFonts w:ascii="宋体" w:hAnsi="宋体" w:cs="宋体" w:eastAsia="宋体" w:hint="default"/>
          <w:b/>
          <w:bCs/>
        </w:rPr>
        <w:t>黎文崇</w:t>
      </w:r>
      <w:r>
        <w:rPr/>
        <w:t>先生：中国国籍，</w:t>
      </w:r>
      <w:r>
        <w:rPr>
          <w:rFonts w:ascii="宋体" w:hAnsi="宋体" w:cs="宋体" w:eastAsia="宋体" w:hint="default"/>
        </w:rPr>
        <w:t>1975</w:t>
      </w:r>
      <w:r>
        <w:rPr/>
        <w:t>年出生，本科学历，二级建造师，中国施工企业高级职业经理人，中级工程师。曾任职 </w:t>
      </w:r>
      <w:r>
        <w:rPr>
          <w:spacing w:val="-2"/>
        </w:rPr>
        <w:t>于广州市第四建筑工程有限公司、广东浩天建设工程有限公司、广东浩城房地产开发有限公司。</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月任职于中装有限，</w:t>
      </w:r>
      <w:r>
        <w:rPr>
          <w:spacing w:val="-59"/>
        </w:rPr>
        <w:t> </w:t>
      </w:r>
      <w:r>
        <w:rPr/>
        <w:t>任业务大区总监；自</w:t>
      </w:r>
      <w:r>
        <w:rPr>
          <w:rFonts w:ascii="宋体" w:hAnsi="宋体" w:cs="宋体" w:eastAsia="宋体" w:hint="default"/>
        </w:rPr>
        <w:t>2012</w:t>
      </w:r>
      <w:r>
        <w:rPr/>
        <w:t>年</w:t>
      </w:r>
      <w:r>
        <w:rPr>
          <w:rFonts w:ascii="宋体" w:hAnsi="宋体" w:cs="宋体" w:eastAsia="宋体" w:hint="default"/>
        </w:rPr>
        <w:t>6</w:t>
      </w:r>
      <w:r>
        <w:rPr/>
        <w:t>月任业务大区总经理。</w:t>
      </w:r>
    </w:p>
    <w:p>
      <w:pPr>
        <w:pStyle w:val="BodyText"/>
        <w:spacing w:line="316" w:lineRule="auto" w:before="91"/>
        <w:ind w:right="1131" w:firstLine="422"/>
        <w:jc w:val="both"/>
      </w:pPr>
      <w:r>
        <w:rPr>
          <w:rFonts w:ascii="宋体" w:hAnsi="宋体" w:cs="宋体" w:eastAsia="宋体" w:hint="default"/>
          <w:b/>
          <w:bCs/>
        </w:rPr>
        <w:t>杨战</w:t>
      </w:r>
      <w:r>
        <w:rPr/>
        <w:t>先生：中国国籍</w:t>
      </w:r>
      <w:r>
        <w:rPr>
          <w:rFonts w:ascii="宋体" w:hAnsi="宋体" w:cs="宋体" w:eastAsia="宋体" w:hint="default"/>
        </w:rPr>
        <w:t>,1972</w:t>
      </w:r>
      <w:r>
        <w:rPr/>
        <w:t>年出生</w:t>
      </w:r>
      <w:r>
        <w:rPr>
          <w:rFonts w:ascii="宋体" w:hAnsi="宋体" w:cs="宋体" w:eastAsia="宋体" w:hint="default"/>
        </w:rPr>
        <w:t>,</w:t>
      </w:r>
      <w:r>
        <w:rPr/>
        <w:t>无境外永久居留权</w:t>
      </w:r>
      <w:r>
        <w:rPr>
          <w:rFonts w:ascii="宋体" w:hAnsi="宋体" w:cs="宋体" w:eastAsia="宋体" w:hint="default"/>
        </w:rPr>
        <w:t>,</w:t>
      </w:r>
      <w:r>
        <w:rPr/>
        <w:t>学历本科</w:t>
      </w:r>
      <w:r>
        <w:rPr>
          <w:rFonts w:ascii="宋体" w:hAnsi="宋体" w:cs="宋体" w:eastAsia="宋体" w:hint="default"/>
        </w:rPr>
        <w:t>,</w:t>
      </w:r>
      <w:r>
        <w:rPr/>
        <w:t>曾任无锡世纪东方管理咨询有限公司董事、常务副总 </w:t>
      </w:r>
      <w:r>
        <w:rPr>
          <w:spacing w:val="-2"/>
        </w:rPr>
        <w:t>经理</w:t>
      </w:r>
      <w:r>
        <w:rPr>
          <w:rFonts w:ascii="宋体" w:hAnsi="宋体" w:cs="宋体" w:eastAsia="宋体" w:hint="default"/>
          <w:spacing w:val="-2"/>
        </w:rPr>
        <w:t>;</w:t>
      </w:r>
      <w:r>
        <w:rPr>
          <w:spacing w:val="-2"/>
        </w:rPr>
        <w:t>天音通信发展有限公司高级经理、人力运营部负责人</w:t>
      </w:r>
      <w:r>
        <w:rPr>
          <w:rFonts w:ascii="宋体" w:hAnsi="宋体" w:cs="宋体" w:eastAsia="宋体" w:hint="default"/>
          <w:spacing w:val="-2"/>
        </w:rPr>
        <w:t>;</w:t>
      </w:r>
      <w:r>
        <w:rPr>
          <w:spacing w:val="-2"/>
        </w:rPr>
        <w:t>三胞集团有限公司人力资源总监、苏州金螳螂建筑装饰股份有限</w:t>
      </w:r>
      <w:r>
        <w:rPr>
          <w:spacing w:val="-62"/>
        </w:rPr>
        <w:t> </w:t>
      </w:r>
      <w:r>
        <w:rPr>
          <w:spacing w:val="-62"/>
        </w:rPr>
      </w:r>
      <w:r>
        <w:rPr/>
        <w:t>公司副总经理、人力资源总监等职。</w:t>
      </w:r>
      <w:r>
        <w:rPr>
          <w:rFonts w:ascii="宋体" w:hAnsi="宋体" w:cs="宋体" w:eastAsia="宋体" w:hint="default"/>
        </w:rPr>
        <w:t>2018</w:t>
      </w:r>
      <w:r>
        <w:rPr/>
        <w:t>年</w:t>
      </w:r>
      <w:r>
        <w:rPr>
          <w:rFonts w:ascii="宋体" w:hAnsi="宋体" w:cs="宋体" w:eastAsia="宋体" w:hint="default"/>
        </w:rPr>
        <w:t>2</w:t>
      </w:r>
      <w:r>
        <w:rPr/>
        <w:t>月加入本公司</w:t>
      </w:r>
      <w:r>
        <w:rPr>
          <w:rFonts w:ascii="宋体" w:hAnsi="宋体" w:cs="宋体" w:eastAsia="宋体" w:hint="default"/>
        </w:rPr>
        <w:t>,</w:t>
      </w:r>
      <w:r>
        <w:rPr/>
        <w:t>任职副总经理。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BodyText"/>
        <w:spacing w:line="240" w:lineRule="auto"/>
        <w:ind w:right="1032"/>
        <w:jc w:val="left"/>
      </w:pPr>
      <w:r>
        <w:rPr/>
        <w:t>在股东单位任职情况</w:t>
      </w:r>
    </w:p>
    <w:p>
      <w:pPr>
        <w:pStyle w:val="BodyText"/>
        <w:spacing w:line="357" w:lineRule="auto" w:before="117"/>
        <w:ind w:right="9132"/>
        <w:jc w:val="left"/>
      </w:pPr>
      <w:r>
        <w:rPr/>
        <w:t>□ 适用 √ 不适用 在其他单位任职情况</w:t>
      </w:r>
    </w:p>
    <w:p>
      <w:pPr>
        <w:pStyle w:val="BodyText"/>
        <w:spacing w:line="240" w:lineRule="auto" w:before="28"/>
        <w:ind w:right="1032"/>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1"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广州华立科技职业学院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深圳市装饰行业协会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天衡会计师事务所（特殊普通合伙）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管理合伙 </w:t>
            </w:r>
            <w:r>
              <w:rPr>
                <w:rFonts w:ascii="宋体" w:hAnsi="宋体" w:cs="宋体" w:eastAsia="宋体" w:hint="default"/>
                <w:spacing w:val="-5"/>
                <w:sz w:val="18"/>
                <w:szCs w:val="18"/>
              </w:rPr>
              <w:t>人、深圳分</w:t>
            </w:r>
            <w:r>
              <w:rPr>
                <w:rFonts w:ascii="宋体" w:hAnsi="宋体" w:cs="宋体" w:eastAsia="宋体" w:hint="default"/>
                <w:sz w:val="18"/>
                <w:szCs w:val="18"/>
              </w:rPr>
              <w:t> 所所长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中国人民大学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法学院教 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32"/>
        <w:jc w:val="left"/>
      </w:pPr>
      <w:r>
        <w:rPr/>
        <w:t>公司现任及报告期内离任董事、监事和高级管理人员近三年证券监管机构处罚的情况</w:t>
      </w:r>
    </w:p>
    <w:p>
      <w:pPr>
        <w:pStyle w:val="BodyText"/>
        <w:spacing w:line="240" w:lineRule="auto" w:before="117"/>
        <w:ind w:right="103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32"/>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董事、监事、高级管理人员报酬的决策程序、确定依据、实际支付情况</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252"/>
        <w:jc w:val="both"/>
      </w:pPr>
      <w:r>
        <w:rPr>
          <w:spacing w:val="-3"/>
        </w:rPr>
        <w:t>在公司任职的董事（除独立董事外）、监事、高级管理人员按照其职务根据公司现行的薪酬制度领取薪酬。高级管理人员</w:t>
      </w:r>
      <w:r>
        <w:rPr/>
        <w:t> </w:t>
      </w:r>
      <w:r>
        <w:rPr>
          <w:spacing w:val="-2"/>
        </w:rPr>
        <w:t>的薪酬由基本年薪、绩效薪酬构成，年薪与公司年度经营业绩及与高级管理人员签订的目标责任挂钩，于年终实行绩效考核</w:t>
      </w:r>
      <w:r>
        <w:rPr>
          <w:spacing w:val="-66"/>
        </w:rPr>
        <w:t> </w:t>
      </w:r>
      <w:r>
        <w:rPr>
          <w:spacing w:val="-66"/>
        </w:rPr>
      </w:r>
      <w:r>
        <w:rPr>
          <w:spacing w:val="-2"/>
        </w:rPr>
        <w:t>并报公司董事会确定。非高管董事薪酬经董事会确定后，提交股东大会审批。独立董事津贴按公司股东大会审议通过的方案</w:t>
      </w:r>
      <w:r>
        <w:rPr>
          <w:spacing w:val="-66"/>
        </w:rPr>
        <w:t> </w:t>
      </w:r>
      <w:r>
        <w:rPr>
          <w:spacing w:val="-66"/>
        </w:rPr>
      </w:r>
      <w:r>
        <w:rPr/>
        <w:t>发放。</w:t>
      </w:r>
    </w:p>
    <w:p>
      <w:pPr>
        <w:spacing w:line="240" w:lineRule="auto" w:before="0"/>
        <w:rPr>
          <w:rFonts w:ascii="宋体" w:hAnsi="宋体" w:cs="宋体" w:eastAsia="宋体" w:hint="default"/>
          <w:sz w:val="25"/>
          <w:szCs w:val="25"/>
        </w:rPr>
      </w:pPr>
    </w:p>
    <w:p>
      <w:pPr>
        <w:pStyle w:val="BodyText"/>
        <w:spacing w:line="240" w:lineRule="auto" w:before="44"/>
        <w:ind w:right="1032"/>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董事、常务副 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张水霞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廖伟潭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副总经理、董 事会秘书、财 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熊谨慎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任顺标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公司董事、高级管理人员报告期内被授予的股权激励情况</w:t>
      </w:r>
    </w:p>
    <w:p>
      <w:pPr>
        <w:pStyle w:val="BodyText"/>
        <w:spacing w:line="240" w:lineRule="auto" w:before="117"/>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1032"/>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974</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974</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974</w:t>
            </w:r>
          </w:p>
        </w:tc>
      </w:tr>
    </w:tbl>
    <w:p>
      <w:pPr>
        <w:spacing w:line="240" w:lineRule="auto" w:before="2"/>
        <w:rPr>
          <w:rFonts w:ascii="宋体" w:hAnsi="宋体" w:cs="宋体" w:eastAsia="宋体" w:hint="default"/>
          <w:b/>
          <w:bCs/>
          <w:sz w:val="19"/>
          <w:szCs w:val="19"/>
        </w:rPr>
      </w:pPr>
    </w:p>
    <w:p>
      <w:pPr>
        <w:spacing w:before="35"/>
        <w:ind w:left="154" w:right="1032" w:firstLine="0"/>
        <w:jc w:val="left"/>
        <w:rPr>
          <w:rFonts w:ascii="宋体" w:hAnsi="宋体" w:cs="宋体" w:eastAsia="宋体" w:hint="default"/>
          <w:sz w:val="21"/>
          <w:szCs w:val="21"/>
        </w:rPr>
      </w:pPr>
      <w:bookmarkStart w:name="2、薪酬政策"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19" w:lineRule="auto"/>
        <w:ind w:right="1133" w:firstLine="360"/>
        <w:jc w:val="both"/>
      </w:pPr>
      <w:r>
        <w:rPr>
          <w:spacing w:val="-2"/>
        </w:rPr>
        <w:t>公司建有完善的薪酬考核体系，根据经营效益、未来发展目标及装饰行业薪酬水平等确定薪酬总体水平，通过绩效管理</w:t>
      </w:r>
      <w:r>
        <w:rPr/>
        <w:t> 实现公司经营目标，并确定员工薪酬。</w:t>
      </w:r>
    </w:p>
    <w:p>
      <w:pPr>
        <w:spacing w:line="240" w:lineRule="auto" w:before="3"/>
        <w:rPr>
          <w:rFonts w:ascii="宋体" w:hAnsi="宋体" w:cs="宋体" w:eastAsia="宋体" w:hint="default"/>
          <w:sz w:val="22"/>
          <w:szCs w:val="22"/>
        </w:rPr>
      </w:pPr>
    </w:p>
    <w:p>
      <w:pPr>
        <w:pStyle w:val="Heading3"/>
        <w:spacing w:line="240" w:lineRule="auto"/>
        <w:ind w:right="1032"/>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0" w:firstLine="360"/>
        <w:jc w:val="both"/>
      </w:pPr>
      <w:r>
        <w:rPr>
          <w:spacing w:val="-2"/>
        </w:rPr>
        <w:t>公司重视员工的培训，建立了有完善的培训体系。公司战略指导思想和经营指导思想为规范准则，以入职培训、岗位技</w:t>
      </w:r>
      <w:r>
        <w:rPr/>
        <w:t> </w:t>
      </w:r>
      <w:r>
        <w:rPr>
          <w:spacing w:val="-2"/>
        </w:rPr>
        <w:t>能培训、经营理念培训为重点，以素质和能力建设为核心，逐步形成与企业发展相适应、符合员工成长规律的多层次、分类</w:t>
      </w:r>
      <w:r>
        <w:rPr>
          <w:spacing w:val="-66"/>
        </w:rPr>
        <w:t> </w:t>
      </w:r>
      <w:r>
        <w:rPr>
          <w:spacing w:val="-66"/>
        </w:rPr>
      </w:r>
      <w:r>
        <w:rPr/>
        <w:t>别、多形式、重实效、充满活力的培训格局。</w:t>
      </w:r>
    </w:p>
    <w:p>
      <w:pPr>
        <w:spacing w:after="0" w:line="319" w:lineRule="auto"/>
        <w:jc w:val="both"/>
        <w:sectPr>
          <w:pgSz w:w="11910" w:h="16840"/>
          <w:pgMar w:header="917" w:footer="1019" w:top="1100" w:bottom="1200" w:left="98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221"/>
        <w:jc w:val="center"/>
        <w:rPr>
          <w:b w:val="0"/>
          <w:bCs w:val="0"/>
        </w:rPr>
      </w:pPr>
      <w:bookmarkStart w:name="第九节 公司治理" w:id="128"/>
      <w:bookmarkEnd w:id="12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firstLine="360"/>
        <w:jc w:val="both"/>
      </w:pPr>
      <w:r>
        <w:rPr>
          <w:spacing w:val="-9"/>
        </w:rPr>
        <w:t>公司自成立以来，严格按照《公司法》、《证券法》、《深圳证券交易所股票上市规则》等相关法律、法规和规范性文件及</w:t>
      </w:r>
      <w:r>
        <w:rPr/>
        <w:t> </w:t>
      </w:r>
      <w:r>
        <w:rPr>
          <w:spacing w:val="-2"/>
        </w:rPr>
        <w:t>公司章程的要求，加强公司治理和规范运作，建立健全了由股东大会、董事会、监事会、高级管理层组成的规范的公司治理</w:t>
      </w:r>
      <w:r>
        <w:rPr>
          <w:spacing w:val="-66"/>
        </w:rPr>
        <w:t> </w:t>
      </w:r>
      <w:r>
        <w:rPr>
          <w:spacing w:val="-66"/>
        </w:rPr>
      </w:r>
      <w:r>
        <w:rPr/>
        <w:t>架构，制定了严禁务实的内部控制制度，在公司治理的各个方面基本符合《上市公司治理准则》的要求。</w:t>
      </w:r>
    </w:p>
    <w:p>
      <w:pPr>
        <w:pStyle w:val="BodyText"/>
        <w:spacing w:line="316" w:lineRule="auto" w:before="56"/>
        <w:ind w:right="1042" w:firstLine="360"/>
        <w:jc w:val="both"/>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11</w:t>
      </w:r>
      <w:r>
        <w:rPr/>
        <w:t>日</w:t>
      </w:r>
      <w:r>
        <w:rPr>
          <w:spacing w:val="-21"/>
        </w:rPr>
        <w:t>，</w:t>
      </w:r>
      <w:r>
        <w:rPr/>
        <w:t>公司召开创立大会暨第一次股东大会</w:t>
      </w:r>
      <w:r>
        <w:rPr>
          <w:spacing w:val="-21"/>
        </w:rPr>
        <w:t>，</w:t>
      </w:r>
      <w:r>
        <w:rPr/>
        <w:t>审议通过</w:t>
      </w:r>
      <w:r>
        <w:rPr>
          <w:spacing w:val="-21"/>
        </w:rPr>
        <w:t>了</w:t>
      </w:r>
      <w:r>
        <w:rPr/>
        <w:t>《深圳市中装建设集团股份有限公司章程</w:t>
      </w:r>
      <w:r>
        <w:rPr>
          <w:spacing w:val="-90"/>
        </w:rPr>
        <w:t>》</w:t>
      </w:r>
      <w:r>
        <w:rPr>
          <w:spacing w:val="-21"/>
        </w:rPr>
        <w:t>，</w:t>
      </w:r>
      <w:r>
        <w:rPr/>
        <w:t>并陆续</w:t>
      </w:r>
      <w:r>
        <w:rPr/>
        <w:t> 建立相应的配套制度。目前，公司在治理方面的各项规章制度配套齐全，主要有</w:t>
      </w:r>
      <w:r>
        <w:rPr>
          <w:spacing w:val="-90"/>
        </w:rPr>
        <w:t>：</w:t>
      </w:r>
      <w:r>
        <w:rPr/>
        <w:t>《公司章程</w:t>
      </w:r>
      <w:r>
        <w:rPr>
          <w:spacing w:val="-90"/>
        </w:rPr>
        <w:t>》、</w:t>
      </w:r>
      <w:r>
        <w:rPr/>
        <w:t>《股东大会议事规则</w:t>
      </w:r>
      <w:r>
        <w:rPr>
          <w:spacing w:val="-90"/>
        </w:rPr>
        <w:t>》、</w:t>
      </w:r>
      <w:r>
        <w:rPr/>
        <w:t>《董</w:t>
      </w:r>
      <w:r>
        <w:rPr/>
        <w:t> 事会议事规则</w:t>
      </w:r>
      <w:r>
        <w:rPr>
          <w:spacing w:val="-90"/>
        </w:rPr>
        <w:t>》</w:t>
      </w:r>
      <w:r>
        <w:rPr>
          <w:spacing w:val="-107"/>
        </w:rPr>
        <w:t>、</w:t>
      </w:r>
      <w:r>
        <w:rPr/>
        <w:t>《监事会议事规则</w:t>
      </w:r>
      <w:r>
        <w:rPr>
          <w:spacing w:val="-90"/>
        </w:rPr>
        <w:t>》</w:t>
      </w:r>
      <w:r>
        <w:rPr>
          <w:spacing w:val="-107"/>
        </w:rPr>
        <w:t>、</w:t>
      </w:r>
      <w:r>
        <w:rPr/>
        <w:t>《独立董事工作细则</w:t>
      </w:r>
      <w:r>
        <w:rPr>
          <w:spacing w:val="-90"/>
        </w:rPr>
        <w:t>》</w:t>
      </w:r>
      <w:r>
        <w:rPr>
          <w:spacing w:val="-107"/>
        </w:rPr>
        <w:t>、</w:t>
      </w:r>
      <w:r>
        <w:rPr/>
        <w:t>《总经理工作细则</w:t>
      </w:r>
      <w:r>
        <w:rPr>
          <w:spacing w:val="-90"/>
        </w:rPr>
        <w:t>》</w:t>
      </w:r>
      <w:r>
        <w:rPr>
          <w:spacing w:val="-107"/>
        </w:rPr>
        <w:t>、</w:t>
      </w:r>
      <w:r>
        <w:rPr/>
        <w:t>《董事会秘书工作细则</w:t>
      </w:r>
      <w:r>
        <w:rPr>
          <w:spacing w:val="-90"/>
        </w:rPr>
        <w:t>》</w:t>
      </w:r>
      <w:r>
        <w:rPr>
          <w:spacing w:val="-107"/>
        </w:rPr>
        <w:t>、</w:t>
      </w:r>
      <w:r>
        <w:rPr/>
        <w:t>《担保管理办法</w:t>
      </w:r>
      <w:r>
        <w:rPr>
          <w:spacing w:val="-89"/>
        </w:rPr>
        <w:t>》</w:t>
      </w:r>
      <w:r>
        <w:rPr/>
        <w:t>、</w:t>
      </w:r>
    </w:p>
    <w:p>
      <w:pPr>
        <w:pStyle w:val="BodyText"/>
        <w:spacing w:line="319" w:lineRule="auto" w:before="19"/>
        <w:ind w:right="1132"/>
        <w:jc w:val="both"/>
      </w:pPr>
      <w:r>
        <w:rPr>
          <w:spacing w:val="-14"/>
        </w:rPr>
        <w:t>《关联交易决策制度》、《投资管理制度》、《信息披露事务管理制度》、《投资者关系管理制度》、《募集资金管理办法》等管理</w:t>
      </w:r>
      <w:r>
        <w:rPr>
          <w:spacing w:val="-82"/>
        </w:rPr>
        <w:t> </w:t>
      </w:r>
      <w:r>
        <w:rPr>
          <w:spacing w:val="-82"/>
        </w:rPr>
      </w:r>
      <w:r>
        <w:rPr>
          <w:spacing w:val="-2"/>
        </w:rPr>
        <w:t>制度。通过制定和不断完善公司章程、股东大会、董事会、监事会和高级管理层的职权和议事规则等相关制度，公司已基本</w:t>
      </w:r>
      <w:r>
        <w:rPr>
          <w:spacing w:val="-66"/>
        </w:rPr>
        <w:t> </w:t>
      </w:r>
      <w:r>
        <w:rPr>
          <w:spacing w:val="-66"/>
        </w:rPr>
      </w:r>
      <w:r>
        <w:rPr/>
        <w:t>建立起符合股份公司上市要求的公司治理结构。</w:t>
      </w:r>
    </w:p>
    <w:p>
      <w:pPr>
        <w:pStyle w:val="BodyText"/>
        <w:spacing w:line="240" w:lineRule="auto" w:before="56"/>
        <w:ind w:right="1032"/>
        <w:jc w:val="left"/>
      </w:pPr>
      <w:r>
        <w:rPr/>
        <w:t>公司治理的实际状况与中国证监会发布的有关上市公司治理的规范性文件是否存在重大差异</w:t>
      </w:r>
    </w:p>
    <w:p>
      <w:pPr>
        <w:pStyle w:val="BodyText"/>
        <w:spacing w:line="360" w:lineRule="auto" w:before="116"/>
        <w:ind w:right="3552"/>
        <w:jc w:val="left"/>
      </w:pPr>
      <w:r>
        <w:rPr/>
        <w:t>□ 是 √ 否 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032"/>
        <w:jc w:val="left"/>
      </w:pPr>
      <w:r>
        <w:rPr>
          <w:rFonts w:ascii="宋体" w:hAnsi="宋体" w:cs="宋体" w:eastAsia="宋体" w:hint="default"/>
        </w:rPr>
        <w:t>1</w:t>
      </w:r>
      <w:r>
        <w:rPr/>
        <w:t>、资产独立情况 </w:t>
      </w:r>
      <w:r>
        <w:rPr>
          <w:spacing w:val="-2"/>
        </w:rPr>
        <w:t>公司合法拥有与业务经营相关的工程施工系统、辅助施工系统和配套设施。公司对与生产经营相关的房屋、设备、土地</w:t>
      </w:r>
    </w:p>
    <w:p>
      <w:pPr>
        <w:pStyle w:val="BodyText"/>
        <w:spacing w:line="224" w:lineRule="exact"/>
        <w:ind w:right="0"/>
        <w:jc w:val="left"/>
      </w:pPr>
      <w:r>
        <w:rPr/>
        <w:t>使用权、商标、专利等资产均合法拥有所有权或使用权。公司与股东之间的资产产权界定清晰，生产经营场所独立，公司未</w:t>
      </w:r>
    </w:p>
    <w:p>
      <w:pPr>
        <w:pStyle w:val="BodyText"/>
        <w:spacing w:line="357" w:lineRule="auto" w:before="77"/>
        <w:ind w:left="514" w:right="7512" w:hanging="360"/>
        <w:jc w:val="left"/>
      </w:pPr>
      <w:r>
        <w:rPr/>
        <w:t>以资产或信用为各股东的债务提供担保。 </w:t>
      </w:r>
      <w:r>
        <w:rPr>
          <w:rFonts w:ascii="宋体" w:hAnsi="宋体" w:cs="宋体" w:eastAsia="宋体" w:hint="default"/>
        </w:rPr>
        <w:t>2</w:t>
      </w:r>
      <w:r>
        <w:rPr/>
        <w:t>、人员独立情况</w:t>
      </w:r>
    </w:p>
    <w:p>
      <w:pPr>
        <w:pStyle w:val="BodyText"/>
        <w:spacing w:line="319" w:lineRule="auto" w:before="28"/>
        <w:ind w:right="1131" w:firstLine="360"/>
        <w:jc w:val="both"/>
      </w:pPr>
      <w:r>
        <w:rPr>
          <w:spacing w:val="-2"/>
        </w:rPr>
        <w:t>公司拥有自己独立的人事管理部门，独立负责员工劳动、人事和工资管理，与公司控股股东、实际控制人的相关管理体</w:t>
      </w:r>
      <w:r>
        <w:rPr/>
        <w:t> </w:t>
      </w:r>
      <w:r>
        <w:rPr>
          <w:spacing w:val="-2"/>
        </w:rPr>
        <w:t>系完全分离。公司的董事、总经理及其他高级管理人员均通过合法程序选举产生，不存在控股股东、其他任何部门、单位或</w:t>
      </w:r>
      <w:r>
        <w:rPr>
          <w:spacing w:val="-66"/>
        </w:rPr>
        <w:t> </w:t>
      </w:r>
      <w:r>
        <w:rPr>
          <w:spacing w:val="-66"/>
        </w:rPr>
      </w:r>
      <w:r>
        <w:rPr>
          <w:spacing w:val="-2"/>
        </w:rPr>
        <w:t>人士违反《公司章程》规定干预公司人事任免的情况。公司总经理、副总经理、财务总监和董事会秘书等高级管理人员没有</w:t>
      </w:r>
      <w:r>
        <w:rPr>
          <w:spacing w:val="-66"/>
        </w:rPr>
        <w:t> </w:t>
      </w:r>
      <w:r>
        <w:rPr>
          <w:spacing w:val="-66"/>
        </w:rPr>
      </w:r>
      <w:r>
        <w:rPr>
          <w:spacing w:val="-2"/>
        </w:rPr>
        <w:t>在控股股东、实际控制人及其控制的其他企业中担任除董事、监事以外的其他职务，也没有在控股股东、实际控制人及其控</w:t>
      </w:r>
      <w:r>
        <w:rPr>
          <w:spacing w:val="-66"/>
        </w:rPr>
        <w:t> </w:t>
      </w:r>
      <w:r>
        <w:rPr>
          <w:spacing w:val="-66"/>
        </w:rPr>
      </w:r>
      <w:r>
        <w:rPr/>
        <w:t>制的其他企业领薪。公司的财务人员也没有在控股股东、实际控制人及其控制的其他企业中兼职。</w:t>
      </w:r>
    </w:p>
    <w:p>
      <w:pPr>
        <w:pStyle w:val="BodyText"/>
        <w:spacing w:line="357" w:lineRule="auto" w:before="56"/>
        <w:ind w:left="514" w:right="1032"/>
        <w:jc w:val="left"/>
      </w:pPr>
      <w:r>
        <w:rPr>
          <w:rFonts w:ascii="宋体" w:hAnsi="宋体" w:cs="宋体" w:eastAsia="宋体" w:hint="default"/>
        </w:rPr>
        <w:t>3</w:t>
      </w:r>
      <w:r>
        <w:rPr/>
        <w:t>、财务独立情况 </w:t>
      </w:r>
      <w:r>
        <w:rPr>
          <w:spacing w:val="-2"/>
        </w:rPr>
        <w:t>公司设有独立的财务部门，建立了独立、健全、规范的会计核算体系和财务管理制度，独立做出财务决策。现有财务人</w:t>
      </w:r>
    </w:p>
    <w:p>
      <w:pPr>
        <w:pStyle w:val="BodyText"/>
        <w:spacing w:line="224" w:lineRule="exact"/>
        <w:ind w:right="0"/>
        <w:jc w:val="left"/>
      </w:pPr>
      <w:r>
        <w:rPr/>
        <w:t>员均专职在公司工作，未在股东单位及其他企业任职。公司设有独立的财务部门并配有专职会计人员。公司及各下属子公司</w:t>
      </w:r>
    </w:p>
    <w:p>
      <w:pPr>
        <w:pStyle w:val="BodyText"/>
        <w:spacing w:line="360" w:lineRule="auto" w:before="77"/>
        <w:ind w:left="514" w:right="5532" w:hanging="360"/>
        <w:jc w:val="left"/>
      </w:pPr>
      <w:r>
        <w:rPr/>
        <w:t>均独立在银行开立账户，不存在与控股股东共用银行账户的情况。 </w:t>
      </w:r>
      <w:r>
        <w:rPr>
          <w:rFonts w:ascii="宋体" w:hAnsi="宋体" w:cs="宋体" w:eastAsia="宋体" w:hint="default"/>
        </w:rPr>
        <w:t>4</w:t>
      </w:r>
      <w:r>
        <w:rPr/>
        <w:t>、机构独立情况</w:t>
      </w:r>
    </w:p>
    <w:p>
      <w:pPr>
        <w:pStyle w:val="BodyText"/>
        <w:spacing w:line="319" w:lineRule="auto" w:before="25"/>
        <w:ind w:right="1032" w:firstLine="360"/>
        <w:jc w:val="left"/>
      </w:pPr>
      <w:r>
        <w:rPr>
          <w:spacing w:val="-2"/>
        </w:rPr>
        <w:t>公司各级管理部门和各机构独立于控股股东、实际控制人及其控制的其他企业运作，依法行使各自职权，不存在股东单</w:t>
      </w:r>
      <w:r>
        <w:rPr/>
        <w:t> 位和其他关联单位或个人干预公司机构设置的情况。公司建立了较为高效完善的组织结构，拥有完整的施工、设计、研发、 </w:t>
      </w:r>
      <w:r>
        <w:rPr>
          <w:spacing w:val="-2"/>
        </w:rPr>
        <w:t>采购、销售系统及配套服务部门，独立行使经营管理权，不存在与控股股东、实际控制人及其控制的其他企业机构混同的情</w:t>
      </w:r>
      <w:r>
        <w:rPr>
          <w:spacing w:val="-66"/>
        </w:rPr>
        <w:t> </w:t>
      </w:r>
      <w:r>
        <w:rPr>
          <w:spacing w:val="-66"/>
        </w:rPr>
      </w:r>
      <w:r>
        <w:rPr/>
        <w:t>形。</w:t>
      </w:r>
    </w:p>
    <w:p>
      <w:pPr>
        <w:pStyle w:val="BodyText"/>
        <w:spacing w:line="357" w:lineRule="auto" w:before="56"/>
        <w:ind w:left="514" w:right="1032"/>
        <w:jc w:val="left"/>
      </w:pPr>
      <w:r>
        <w:rPr>
          <w:rFonts w:ascii="宋体" w:hAnsi="宋体" w:cs="宋体" w:eastAsia="宋体" w:hint="default"/>
        </w:rPr>
        <w:t>5</w:t>
      </w:r>
      <w:r>
        <w:rPr/>
        <w:t>、业务独立情况 </w:t>
      </w:r>
      <w:r>
        <w:rPr>
          <w:spacing w:val="-2"/>
        </w:rPr>
        <w:t>公司主要从事建筑装饰施工和设计业务，不存在依赖控股股东或其他股东进行采购或销售的情况，业务运营与各股东单</w:t>
      </w:r>
    </w:p>
    <w:p>
      <w:pPr>
        <w:spacing w:after="0" w:line="357"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38" w:lineRule="auto" w:before="44"/>
        <w:ind w:right="1032"/>
        <w:jc w:val="left"/>
      </w:pPr>
      <w:r>
        <w:rPr>
          <w:spacing w:val="-2"/>
        </w:rPr>
        <w:t>位及实际控制人及其控制的其他企业完全分开，不存在竞争关系。公司业务独立完整，具备独立自主经营并参与市场竞争的</w:t>
      </w:r>
      <w:r>
        <w:rPr>
          <w:spacing w:val="-66"/>
        </w:rPr>
        <w:t> </w:t>
      </w:r>
      <w:r>
        <w:rPr>
          <w:spacing w:val="-66"/>
        </w:rPr>
      </w:r>
      <w:r>
        <w:rPr/>
        <w:t>能力。 </w:t>
      </w:r>
      <w:r>
        <w:rPr>
          <w:spacing w:val="-2"/>
        </w:rPr>
        <w:t>注：公司应当就其与控股股东在业务、人员、资产、机构、财务等方面存在不能保证独立性、不能保持自主经营能力的情况</w:t>
      </w:r>
    </w:p>
    <w:p>
      <w:pPr>
        <w:pStyle w:val="BodyText"/>
        <w:spacing w:line="240" w:lineRule="auto" w:before="4"/>
        <w:ind w:right="1032"/>
        <w:jc w:val="left"/>
      </w:pPr>
      <w:r>
        <w:rPr/>
        <w:t>进行说明。</w:t>
      </w:r>
    </w:p>
    <w:p>
      <w:pPr>
        <w:spacing w:line="240" w:lineRule="auto" w:before="1"/>
        <w:rPr>
          <w:rFonts w:ascii="宋体" w:hAnsi="宋体" w:cs="宋体" w:eastAsia="宋体" w:hint="default"/>
          <w:sz w:val="25"/>
          <w:szCs w:val="25"/>
        </w:rPr>
      </w:pPr>
    </w:p>
    <w:p>
      <w:pPr>
        <w:pStyle w:val="Heading2"/>
        <w:spacing w:line="240" w:lineRule="auto"/>
        <w:ind w:right="1032"/>
        <w:jc w:val="left"/>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32"/>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详见公司刊登在 巨潮资讯网</w:t>
            </w:r>
          </w:p>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www.cninfo.con</w:t>
              </w:r>
            </w:hyperlink>
          </w:p>
          <w:p>
            <w:pPr>
              <w:pStyle w:val="TableParagraph"/>
              <w:spacing w:line="312" w:lineRule="auto" w:before="63"/>
              <w:ind w:left="10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 </w:t>
            </w:r>
            <w:r>
              <w:rPr>
                <w:rFonts w:ascii="宋体" w:hAnsi="宋体" w:cs="宋体" w:eastAsia="宋体" w:hint="default"/>
                <w:spacing w:val="-12"/>
                <w:sz w:val="18"/>
                <w:szCs w:val="18"/>
              </w:rPr>
              <w:t>会决议公告》（公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2018-014</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详见公司刊登在 巨潮资讯网</w:t>
            </w:r>
          </w:p>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www.cninfo.con</w:t>
              </w:r>
            </w:hyperlink>
          </w:p>
          <w:p>
            <w:pPr>
              <w:pStyle w:val="TableParagraph"/>
              <w:spacing w:line="312" w:lineRule="auto" w:before="6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股东大会决议公 </w:t>
            </w:r>
            <w:r>
              <w:rPr>
                <w:rFonts w:ascii="宋体" w:hAnsi="宋体" w:cs="宋体" w:eastAsia="宋体" w:hint="default"/>
                <w:spacing w:val="-13"/>
                <w:sz w:val="18"/>
                <w:szCs w:val="18"/>
              </w:rPr>
              <w:t>告》（公告号：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2018-051</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详见公司刊登在 巨潮资讯网</w:t>
            </w:r>
          </w:p>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www.cninfo.con</w:t>
              </w:r>
            </w:hyperlink>
          </w:p>
          <w:p>
            <w:pPr>
              <w:pStyle w:val="TableParagraph"/>
              <w:spacing w:line="312" w:lineRule="auto" w:before="63"/>
              <w:ind w:left="10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二次临时股东大 </w:t>
            </w:r>
            <w:r>
              <w:rPr>
                <w:rFonts w:ascii="宋体" w:hAnsi="宋体" w:cs="宋体" w:eastAsia="宋体" w:hint="default"/>
                <w:spacing w:val="-12"/>
                <w:sz w:val="18"/>
                <w:szCs w:val="18"/>
              </w:rPr>
              <w:t>会决议公告》（公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2018-079</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详见公司刊登在 巨潮资讯网</w:t>
            </w:r>
          </w:p>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www.cninfo.con</w:t>
              </w:r>
            </w:hyperlink>
          </w:p>
          <w:p>
            <w:pPr>
              <w:pStyle w:val="TableParagraph"/>
              <w:spacing w:line="312" w:lineRule="auto" w:before="63"/>
              <w:ind w:left="10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三次临时股东大 </w:t>
            </w:r>
            <w:r>
              <w:rPr>
                <w:rFonts w:ascii="宋体" w:hAnsi="宋体" w:cs="宋体" w:eastAsia="宋体" w:hint="default"/>
                <w:spacing w:val="-12"/>
                <w:sz w:val="18"/>
                <w:szCs w:val="18"/>
              </w:rPr>
              <w:t>会决议公告》（公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告号：</w:t>
            </w:r>
            <w:r>
              <w:rPr>
                <w:rFonts w:ascii="Times New Roman" w:hAnsi="Times New Roman" w:cs="Times New Roman" w:eastAsia="Times New Roman" w:hint="default"/>
                <w:sz w:val="18"/>
                <w:szCs w:val="18"/>
              </w:rPr>
              <w:t>2018-088</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b/>
          <w:bCs/>
          <w:sz w:val="21"/>
          <w:szCs w:val="21"/>
        </w:rPr>
      </w:pPr>
    </w:p>
    <w:p>
      <w:pPr>
        <w:spacing w:before="35"/>
        <w:ind w:left="154" w:right="1032" w:firstLine="0"/>
        <w:jc w:val="left"/>
        <w:rPr>
          <w:rFonts w:ascii="宋体" w:hAnsi="宋体" w:cs="宋体" w:eastAsia="宋体" w:hint="default"/>
          <w:sz w:val="21"/>
          <w:szCs w:val="21"/>
        </w:rPr>
      </w:pPr>
      <w:bookmarkStart w:name="2、表决权恢复的优先股股东请求召开临时股东大会" w:id="134"/>
      <w:bookmarkEnd w:id="1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1032"/>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肖幼美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袁易明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9"/>
          <w:szCs w:val="19"/>
        </w:rPr>
      </w:pPr>
    </w:p>
    <w:p>
      <w:pPr>
        <w:spacing w:before="35"/>
        <w:ind w:left="154" w:right="1032" w:firstLine="0"/>
        <w:jc w:val="left"/>
        <w:rPr>
          <w:rFonts w:ascii="宋体" w:hAnsi="宋体" w:cs="宋体" w:eastAsia="宋体" w:hint="default"/>
          <w:sz w:val="21"/>
          <w:szCs w:val="21"/>
        </w:rPr>
      </w:pPr>
      <w:bookmarkStart w:name="2、独立董事对公司有关事项提出异议的情况" w:id="137"/>
      <w:bookmarkEnd w:id="1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独立董事对公司有关事项是否提出异议</w:t>
      </w:r>
    </w:p>
    <w:p>
      <w:pPr>
        <w:pStyle w:val="BodyText"/>
        <w:spacing w:line="357" w:lineRule="auto" w:before="116"/>
        <w:ind w:right="6972"/>
        <w:jc w:val="left"/>
      </w:pPr>
      <w:r>
        <w:rPr/>
        <w:t>□ 是 √ 否 报告期内独立董事对公司有关事项未提出异议。</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独立董事对公司有关建议是否被采纳</w:t>
      </w:r>
    </w:p>
    <w:p>
      <w:pPr>
        <w:pStyle w:val="BodyText"/>
        <w:spacing w:line="357" w:lineRule="auto" w:before="117"/>
        <w:ind w:right="6792"/>
        <w:jc w:val="left"/>
      </w:pPr>
      <w:r>
        <w:rPr/>
        <w:t>√ 是 □ 否 独立董事对公司有关建议被采纳或未被采纳的说明</w:t>
      </w:r>
    </w:p>
    <w:p>
      <w:pPr>
        <w:pStyle w:val="BodyText"/>
        <w:spacing w:line="319" w:lineRule="auto" w:before="26"/>
        <w:ind w:right="1032" w:firstLine="420"/>
        <w:jc w:val="left"/>
      </w:pPr>
      <w:r>
        <w:rPr/>
        <w:t>公司独立董事密切关注公司日常生产经营状况及财务状况，并多次对公司进行实地考察，监督董事会决议的执行情况 等；同时积极与其他董事、监事、高管及相关工作人员保持密切联系，关注外部环境及市场变化对公司的影响，关注传媒、 </w:t>
      </w:r>
      <w:r>
        <w:rPr>
          <w:spacing w:val="-2"/>
        </w:rPr>
        <w:t>网络上出现的与公司有关的报道；并利用自身的专业优势，向公司传递同行业龙头企业最新发展动态，在公司的发展战略提</w:t>
      </w:r>
      <w:r>
        <w:rPr>
          <w:spacing w:val="-66"/>
        </w:rPr>
        <w:t> </w:t>
      </w:r>
      <w:r>
        <w:rPr>
          <w:spacing w:val="-66"/>
        </w:rPr>
      </w:r>
      <w:r>
        <w:rPr/>
        <w:t>出宝贵意见。</w:t>
      </w:r>
    </w:p>
    <w:p>
      <w:pPr>
        <w:spacing w:line="240" w:lineRule="auto" w:before="7"/>
        <w:rPr>
          <w:rFonts w:ascii="宋体" w:hAnsi="宋体" w:cs="宋体" w:eastAsia="宋体" w:hint="default"/>
          <w:sz w:val="20"/>
          <w:szCs w:val="20"/>
        </w:rPr>
      </w:pPr>
    </w:p>
    <w:p>
      <w:pPr>
        <w:pStyle w:val="Heading2"/>
        <w:spacing w:line="240" w:lineRule="auto"/>
        <w:ind w:right="1032"/>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公司董事会下设审计委员会、提名委员会、薪酬与考核委员会、战略委员会四个专门委员会，并为各专门委员会的有效</w:t>
      </w:r>
      <w:r>
        <w:rPr/>
        <w:t> </w:t>
      </w:r>
      <w:r>
        <w:rPr>
          <w:spacing w:val="-2"/>
        </w:rPr>
        <w:t>履职制定了相应的工作细则。各专门委员会的产生、人员组成及议事程序，均符合相关法律法规、《公司章程》等规定，报</w:t>
      </w:r>
      <w:r>
        <w:rPr>
          <w:spacing w:val="-72"/>
        </w:rPr>
        <w:t> </w:t>
      </w:r>
      <w:r>
        <w:rPr>
          <w:spacing w:val="-72"/>
        </w:rPr>
      </w:r>
      <w:r>
        <w:rPr/>
        <w:t>告期内，公司董事会各专门委员会按照各自工作细则规定，以认真负责的态度忠实勤勉地履行各自职责。</w:t>
      </w:r>
    </w:p>
    <w:p>
      <w:pPr>
        <w:spacing w:line="240" w:lineRule="auto" w:before="3"/>
        <w:rPr>
          <w:rFonts w:ascii="宋体" w:hAnsi="宋体" w:cs="宋体" w:eastAsia="宋体" w:hint="default"/>
          <w:sz w:val="24"/>
          <w:szCs w:val="24"/>
        </w:rPr>
      </w:pPr>
    </w:p>
    <w:p>
      <w:pPr>
        <w:pStyle w:val="BodyText"/>
        <w:spacing w:line="240" w:lineRule="auto"/>
        <w:ind w:right="1032"/>
        <w:jc w:val="left"/>
      </w:pPr>
      <w:r>
        <w:rPr/>
        <w:t>（</w:t>
      </w:r>
      <w:r>
        <w:rPr>
          <w:rFonts w:ascii="宋体" w:hAnsi="宋体" w:cs="宋体" w:eastAsia="宋体" w:hint="default"/>
        </w:rPr>
        <w:t>1</w:t>
      </w:r>
      <w:r>
        <w:rPr/>
        <w:t>）审计委员会</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360"/>
        <w:jc w:val="both"/>
      </w:pPr>
      <w:r>
        <w:rPr>
          <w:spacing w:val="-2"/>
        </w:rPr>
        <w:t>审计委员会严格按照中国证监会、深圳证券交易所有关规定及公司《董事会审计委员会工作细则》履行相关职责。报告</w:t>
      </w:r>
      <w:r>
        <w:rPr/>
        <w:t> </w:t>
      </w:r>
      <w:r>
        <w:rPr>
          <w:spacing w:val="-2"/>
        </w:rPr>
        <w:t>期内，审计委员会对公司关联交易、财务状况等重大事项进行了审议和监督。在公司年度和半年度审计过程中对公司定期报</w:t>
      </w:r>
      <w:r>
        <w:rPr>
          <w:spacing w:val="-66"/>
        </w:rPr>
        <w:t> </w:t>
      </w:r>
      <w:r>
        <w:rPr>
          <w:spacing w:val="-66"/>
        </w:rPr>
      </w:r>
      <w:r>
        <w:rPr/>
        <w:t>告进行认真审核；对公司内部控制制度建设情况严格把关。</w:t>
      </w:r>
    </w:p>
    <w:p>
      <w:pPr>
        <w:pStyle w:val="BodyText"/>
        <w:spacing w:line="612" w:lineRule="exact" w:before="40"/>
        <w:ind w:left="514" w:right="1032" w:hanging="360"/>
        <w:jc w:val="left"/>
      </w:pPr>
      <w:r>
        <w:rPr/>
        <w:t>（</w:t>
      </w:r>
      <w:r>
        <w:rPr>
          <w:rFonts w:ascii="宋体" w:hAnsi="宋体" w:cs="宋体" w:eastAsia="宋体" w:hint="default"/>
        </w:rPr>
        <w:t>2</w:t>
      </w:r>
      <w:r>
        <w:rPr/>
        <w:t>）提名委员会 </w:t>
      </w:r>
      <w:r>
        <w:rPr>
          <w:spacing w:val="-2"/>
        </w:rPr>
        <w:t>提名委员会严格按照中国证监会、深圳证券交易所有关规定及公司《董事会提名委员会工作细则》履行相关职责，根据</w:t>
      </w:r>
    </w:p>
    <w:p>
      <w:pPr>
        <w:pStyle w:val="BodyText"/>
        <w:spacing w:line="215" w:lineRule="exact"/>
        <w:ind w:right="0"/>
        <w:jc w:val="left"/>
      </w:pPr>
      <w:r>
        <w:rPr/>
        <w:t>公司发展的需要，确定董事、高级管理人员人选的选择标准，广泛搜寻合格的董事和经理人员的后备人选，保证了公司未来</w:t>
      </w:r>
    </w:p>
    <w:p>
      <w:pPr>
        <w:pStyle w:val="BodyText"/>
        <w:spacing w:line="240" w:lineRule="auto" w:before="76"/>
        <w:ind w:right="1032"/>
        <w:jc w:val="left"/>
      </w:pPr>
      <w:r>
        <w:rPr/>
        <w:t>运营的人才需求。</w:t>
      </w:r>
    </w:p>
    <w:p>
      <w:pPr>
        <w:pStyle w:val="BodyText"/>
        <w:spacing w:line="610" w:lineRule="atLeast" w:before="2"/>
        <w:ind w:left="514" w:right="1032" w:hanging="360"/>
        <w:jc w:val="left"/>
      </w:pPr>
      <w:r>
        <w:rPr/>
        <w:t>（</w:t>
      </w:r>
      <w:r>
        <w:rPr>
          <w:rFonts w:ascii="宋体" w:hAnsi="宋体" w:cs="宋体" w:eastAsia="宋体" w:hint="default"/>
        </w:rPr>
        <w:t>3</w:t>
      </w:r>
      <w:r>
        <w:rPr/>
        <w:t>）薪酬与考核委员会 </w:t>
      </w:r>
      <w:r>
        <w:rPr>
          <w:spacing w:val="-2"/>
        </w:rPr>
        <w:t>薪酬与考核委员会严格按照中国证监会、深圳证券交易所有关规定及公司《董事会薪酬与考核委员会工作细则》履行相</w:t>
      </w:r>
    </w:p>
    <w:p>
      <w:pPr>
        <w:pStyle w:val="BodyText"/>
        <w:spacing w:line="240" w:lineRule="auto" w:before="76"/>
        <w:ind w:right="1032"/>
        <w:jc w:val="left"/>
      </w:pPr>
      <w:r>
        <w:rPr/>
        <w:t>关职责，审查公司董事及高级管理人员的履行职责情况，对公司薪酬制度执行情况进行监督。</w:t>
      </w:r>
    </w:p>
    <w:p>
      <w:pPr>
        <w:pStyle w:val="BodyText"/>
        <w:spacing w:line="610" w:lineRule="atLeast" w:before="2"/>
        <w:ind w:left="514" w:right="1032" w:hanging="360"/>
        <w:jc w:val="left"/>
      </w:pPr>
      <w:r>
        <w:rPr/>
        <w:t>（</w:t>
      </w:r>
      <w:r>
        <w:rPr>
          <w:rFonts w:ascii="宋体" w:hAnsi="宋体" w:cs="宋体" w:eastAsia="宋体" w:hint="default"/>
        </w:rPr>
        <w:t>4</w:t>
      </w:r>
      <w:r>
        <w:rPr/>
        <w:t>）战略委员会 </w:t>
      </w:r>
      <w:r>
        <w:rPr>
          <w:spacing w:val="-2"/>
        </w:rPr>
        <w:t>战略委员会严格按照中国证监会、深圳证券交易所有关规定及公司《董事会战略委员会工作细则》履行相关职责，积极</w:t>
      </w:r>
    </w:p>
    <w:p>
      <w:pPr>
        <w:pStyle w:val="BodyText"/>
        <w:spacing w:line="240" w:lineRule="auto" w:before="76"/>
        <w:ind w:right="1032"/>
        <w:jc w:val="left"/>
      </w:pPr>
      <w:r>
        <w:rPr/>
        <w:t>推进上市进度，对影响公司发展的重大事项的实施进行检查和提出建议。</w:t>
      </w:r>
    </w:p>
    <w:p>
      <w:pPr>
        <w:spacing w:line="240" w:lineRule="auto" w:before="2"/>
        <w:rPr>
          <w:rFonts w:ascii="宋体" w:hAnsi="宋体" w:cs="宋体" w:eastAsia="宋体" w:hint="default"/>
          <w:sz w:val="25"/>
          <w:szCs w:val="25"/>
        </w:rPr>
      </w:pPr>
    </w:p>
    <w:p>
      <w:pPr>
        <w:pStyle w:val="Heading2"/>
        <w:spacing w:line="240" w:lineRule="auto"/>
        <w:ind w:right="1032"/>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监事会在报告期内的监督活动中发现公司是否存在风险</w:t>
      </w:r>
    </w:p>
    <w:p>
      <w:pPr>
        <w:pStyle w:val="BodyText"/>
        <w:spacing w:line="360" w:lineRule="auto" w:before="116"/>
        <w:ind w:right="7692"/>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1032"/>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50" w:firstLine="360"/>
        <w:jc w:val="both"/>
      </w:pPr>
      <w:r>
        <w:rPr/>
        <w:t>公司由董事会薪酬与考核委员会参考同行业薪资水平、通胀水平、公司盈利状况等，对高级管理人员的个人工作能力、 履职情况、工作目标完成情况等进行综合考评并形成年度薪酬方案，报董事会批准。</w:t>
      </w:r>
    </w:p>
    <w:p>
      <w:pPr>
        <w:pStyle w:val="BodyText"/>
        <w:spacing w:line="319" w:lineRule="auto" w:before="55"/>
        <w:ind w:right="1132" w:firstLine="290"/>
        <w:jc w:val="both"/>
      </w:pPr>
      <w:r>
        <w:rPr>
          <w:spacing w:val="-1"/>
        </w:rPr>
        <w:t>报告期内，公司高级管理人员领取的薪酬与披露的情况一致，符合行业发展及公司发展现状，不存在违反法律法规及相</w:t>
      </w:r>
      <w:r>
        <w:rPr/>
        <w:t> 关规定的情形。</w:t>
      </w:r>
    </w:p>
    <w:p>
      <w:pPr>
        <w:spacing w:line="240" w:lineRule="auto" w:before="6"/>
        <w:rPr>
          <w:rFonts w:ascii="宋体" w:hAnsi="宋体" w:cs="宋体" w:eastAsia="宋体" w:hint="default"/>
          <w:sz w:val="20"/>
          <w:szCs w:val="20"/>
        </w:rPr>
      </w:pPr>
    </w:p>
    <w:p>
      <w:pPr>
        <w:pStyle w:val="Heading2"/>
        <w:spacing w:line="240" w:lineRule="auto"/>
        <w:ind w:right="1032"/>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年</w:t>
            </w:r>
            <w:r>
              <w:rPr>
                <w:rFonts w:ascii="宋体" w:hAnsi="宋体" w:cs="宋体" w:eastAsia="宋体" w:hint="default"/>
                <w:sz w:val="18"/>
                <w:szCs w:val="18"/>
              </w:rPr>
              <w:t>度内部控制评价报告</w:t>
            </w:r>
            <w:r>
              <w:rPr>
                <w:rFonts w:ascii="宋体" w:hAnsi="宋体" w:cs="宋体" w:eastAsia="宋体" w:hint="default"/>
                <w:spacing w:val="-90"/>
                <w:sz w:val="18"/>
                <w:szCs w:val="18"/>
              </w:rPr>
              <w:t>》</w:t>
            </w:r>
            <w:r>
              <w:rPr>
                <w:rFonts w:ascii="宋体" w:hAnsi="宋体" w:cs="宋体" w:eastAsia="宋体" w:hint="default"/>
                <w:sz w:val="18"/>
                <w:szCs w:val="18"/>
              </w:rPr>
              <w:t>详见巨潮资讯</w:t>
            </w:r>
            <w:r>
              <w:rPr>
                <w:rFonts w:ascii="宋体" w:hAnsi="宋体" w:cs="宋体" w:eastAsia="宋体" w:hint="default"/>
                <w:spacing w:val="-90"/>
                <w:sz w:val="18"/>
                <w:szCs w:val="18"/>
              </w:rPr>
              <w:t>网</w:t>
            </w: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1"/>
                  <w:sz w:val="18"/>
                  <w:szCs w:val="18"/>
                </w:rPr>
                <w:t>om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33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重大缺陷：导致不能及时防止、发现并 </w:t>
            </w:r>
            <w:r>
              <w:rPr>
                <w:rFonts w:ascii="宋体" w:hAnsi="宋体" w:cs="宋体" w:eastAsia="宋体" w:hint="default"/>
                <w:spacing w:val="-3"/>
                <w:sz w:val="18"/>
                <w:szCs w:val="18"/>
              </w:rPr>
              <w:t>纠正财务报表中的重大错报；重要缺陷：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虽然未达到和超过重要性水平、但仍应 引起董事会和经理层重视的错报；一般 缺陷：不构成重大缺陷和重要缺陷的财 务报告内部控制缺陷。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重大缺陷为关于企业安全、环保、社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会责任、执业道德、经营状况的负面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消息流传全国各地，被政府或监管机</w:t>
            </w:r>
            <w:r>
              <w:rPr>
                <w:rFonts w:ascii="宋体" w:hAnsi="宋体" w:cs="宋体" w:eastAsia="宋体" w:hint="default"/>
                <w:sz w:val="18"/>
                <w:szCs w:val="18"/>
              </w:rPr>
              <w:t> </w:t>
            </w:r>
            <w:r>
              <w:rPr>
                <w:rFonts w:ascii="宋体" w:hAnsi="宋体" w:cs="宋体" w:eastAsia="宋体" w:hint="default"/>
                <w:spacing w:val="-3"/>
                <w:sz w:val="18"/>
                <w:szCs w:val="18"/>
              </w:rPr>
              <w:t>构专项调查，引起公众媒体连续专题</w:t>
            </w:r>
            <w:r>
              <w:rPr>
                <w:rFonts w:ascii="宋体" w:hAnsi="宋体" w:cs="宋体" w:eastAsia="宋体" w:hint="default"/>
                <w:sz w:val="18"/>
                <w:szCs w:val="18"/>
              </w:rPr>
              <w:t> 报道，企业因此出现资金借贷和回 </w:t>
            </w:r>
            <w:r>
              <w:rPr>
                <w:rFonts w:ascii="宋体" w:hAnsi="宋体" w:cs="宋体" w:eastAsia="宋体" w:hint="default"/>
                <w:spacing w:val="-3"/>
                <w:sz w:val="18"/>
                <w:szCs w:val="18"/>
              </w:rPr>
              <w:t>收、行政许可被暂停或吊销、资产被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质押、大量索偿等不利条件（发生Ⅰ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级群体事件）；重要缺陷为关于企业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安全、环保、社会责任、执业道德、 </w:t>
            </w:r>
            <w:r>
              <w:rPr>
                <w:rFonts w:ascii="宋体" w:hAnsi="宋体" w:cs="宋体" w:eastAsia="宋体" w:hint="default"/>
                <w:spacing w:val="-3"/>
                <w:sz w:val="18"/>
                <w:szCs w:val="18"/>
              </w:rPr>
              <w:t>经营状况的负面消息，被全国性媒体</w:t>
            </w:r>
            <w:r>
              <w:rPr>
                <w:rFonts w:ascii="宋体" w:hAnsi="宋体" w:cs="宋体" w:eastAsia="宋体" w:hint="default"/>
                <w:sz w:val="18"/>
                <w:szCs w:val="18"/>
              </w:rPr>
              <w:t> 持续报道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次以上，受到行业或监管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机构关注、调查、在行业范围内造成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较大不良影响（发生Ⅱ群体性事件）；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一般缺陷为关于企业安全、环保、社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会责任、执业道德、经营状况的负面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消息，被全国性媒体持续报道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（含）以下，省、自治区、直辖市政</w:t>
            </w:r>
            <w:r>
              <w:rPr>
                <w:rFonts w:ascii="宋体" w:hAnsi="宋体" w:cs="宋体" w:eastAsia="宋体" w:hint="default"/>
                <w:sz w:val="18"/>
                <w:szCs w:val="18"/>
              </w:rPr>
              <w:t> </w:t>
            </w:r>
            <w:r>
              <w:rPr>
                <w:rFonts w:ascii="宋体" w:hAnsi="宋体" w:cs="宋体" w:eastAsia="宋体" w:hint="default"/>
                <w:spacing w:val="-3"/>
                <w:sz w:val="18"/>
                <w:szCs w:val="18"/>
              </w:rPr>
              <w:t>府部门或企业要求报告，对企业声誉</w:t>
            </w:r>
            <w:r>
              <w:rPr>
                <w:rFonts w:ascii="宋体" w:hAnsi="宋体" w:cs="宋体" w:eastAsia="宋体" w:hint="default"/>
                <w:sz w:val="18"/>
                <w:szCs w:val="18"/>
              </w:rPr>
              <w:t> </w:t>
            </w:r>
            <w:r>
              <w:rPr>
                <w:rFonts w:ascii="宋体" w:hAnsi="宋体" w:cs="宋体" w:eastAsia="宋体" w:hint="default"/>
                <w:spacing w:val="-3"/>
                <w:sz w:val="18"/>
                <w:szCs w:val="18"/>
              </w:rPr>
              <w:t>造成一定不良影响（发生Ⅲ或Ⅳ级群</w:t>
            </w:r>
            <w:r>
              <w:rPr>
                <w:rFonts w:ascii="宋体" w:hAnsi="宋体" w:cs="宋体" w:eastAsia="宋体" w:hint="default"/>
                <w:sz w:val="18"/>
                <w:szCs w:val="18"/>
              </w:rPr>
              <w:t> </w:t>
            </w:r>
            <w:r>
              <w:rPr>
                <w:rFonts w:ascii="宋体" w:hAnsi="宋体" w:cs="宋体" w:eastAsia="宋体" w:hint="default"/>
                <w:spacing w:val="-15"/>
                <w:sz w:val="18"/>
                <w:szCs w:val="18"/>
              </w:rPr>
              <w:t>体性事件）。</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7" w:lineRule="auto"/>
              <w:ind w:left="103" w:right="101"/>
              <w:jc w:val="both"/>
              <w:rPr>
                <w:rFonts w:ascii="宋体" w:hAnsi="宋体" w:cs="宋体" w:eastAsia="宋体" w:hint="default"/>
                <w:sz w:val="18"/>
                <w:szCs w:val="18"/>
              </w:rPr>
            </w:pPr>
            <w:r>
              <w:rPr>
                <w:rFonts w:ascii="宋体" w:hAnsi="宋体" w:cs="宋体" w:eastAsia="宋体" w:hint="default"/>
                <w:sz w:val="18"/>
                <w:szCs w:val="18"/>
              </w:rPr>
              <w:t>重大缺陷为错报金额高于上年税前利润 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以上；重要缺陷为错报金额高于上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年税前利润的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3-5%</w:t>
            </w:r>
            <w:r>
              <w:rPr>
                <w:rFonts w:ascii="宋体" w:hAnsi="宋体" w:cs="宋体" w:eastAsia="宋体" w:hint="default"/>
                <w:spacing w:val="-3"/>
                <w:sz w:val="18"/>
                <w:szCs w:val="18"/>
              </w:rPr>
              <w:t>；一般缺陷为错报金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额低于上年税前利润的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以下。</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重大缺陷为造成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万元以上直接 财产损失；重要缺陷为造成</w:t>
            </w:r>
          </w:p>
          <w:p>
            <w:pPr>
              <w:pStyle w:val="TableParagraph"/>
              <w:spacing w:line="240" w:lineRule="auto" w:before="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1,000-5,000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万元的直接财产损失；一</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般缺陷为造成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万元以下的直接 财产损失。</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54" w:right="1032" w:firstLine="0"/>
        <w:jc w:val="left"/>
        <w:rPr>
          <w:rFonts w:ascii="宋体" w:hAnsi="宋体" w:cs="宋体" w:eastAsia="宋体" w:hint="default"/>
          <w:sz w:val="24"/>
          <w:szCs w:val="24"/>
        </w:rPr>
      </w:pPr>
      <w:bookmarkStart w:name="十、内部控制审计报告或鉴证报告" w:id="145"/>
      <w:bookmarkEnd w:id="145"/>
      <w:r>
        <w:rPr/>
      </w: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我们认为，中装建设按照《企业内部控制基本规范》及相关规范于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日在所有重大方面保持了有效的与 财务报告有关的内部控制。</w:t>
            </w:r>
          </w:p>
        </w:tc>
      </w:tr>
    </w:tbl>
    <w:p>
      <w:pPr>
        <w:spacing w:after="0" w:line="30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32"/>
        <w:jc w:val="left"/>
      </w:pPr>
      <w:r>
        <w:rPr/>
        <w:t>会计师事务所是否出具非标准意见的内部控制鉴证报告</w:t>
      </w:r>
    </w:p>
    <w:p>
      <w:pPr>
        <w:pStyle w:val="BodyText"/>
        <w:spacing w:line="357" w:lineRule="auto" w:before="117"/>
        <w:ind w:right="4632"/>
        <w:jc w:val="left"/>
      </w:pPr>
      <w:r>
        <w:rPr/>
        <w:t>□ 是 √ 否 会计师事务所出具的内部控制鉴证报告与董事会的自我评价报告意见是否一致</w:t>
      </w:r>
    </w:p>
    <w:p>
      <w:pPr>
        <w:pStyle w:val="BodyText"/>
        <w:spacing w:line="240" w:lineRule="auto" w:before="29"/>
        <w:ind w:right="1032"/>
        <w:jc w:val="left"/>
      </w:pPr>
      <w:r>
        <w:rPr/>
        <w:t>√ 是 □ 否</w:t>
      </w:r>
    </w:p>
    <w:p>
      <w:pPr>
        <w:spacing w:after="0" w:line="24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126" w:right="1032"/>
        <w:jc w:val="left"/>
        <w:rPr>
          <w:b w:val="0"/>
          <w:bCs w:val="0"/>
        </w:rPr>
      </w:pPr>
      <w:bookmarkStart w:name="第十节 公司债券相关情况" w:id="146"/>
      <w:bookmarkEnd w:id="146"/>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608" w:right="1032"/>
        <w:jc w:val="left"/>
        <w:rPr>
          <w:b w:val="0"/>
          <w:bCs w:val="0"/>
        </w:rPr>
      </w:pPr>
      <w:bookmarkStart w:name="第十一节 财务报告" w:id="147"/>
      <w:bookmarkEnd w:id="14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审计报告" w:id="148"/>
      <w:bookmarkEnd w:id="14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[2019]22881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屈先富 唐亚波</w:t>
            </w:r>
          </w:p>
        </w:tc>
      </w:tr>
    </w:tbl>
    <w:p>
      <w:pPr>
        <w:pStyle w:val="BodyText"/>
        <w:spacing w:line="240" w:lineRule="auto" w:before="51"/>
        <w:ind w:left="2243" w:right="3219"/>
        <w:jc w:val="center"/>
      </w:pPr>
      <w:r>
        <w:rPr/>
        <w:t>审计报告正文</w:t>
      </w:r>
    </w:p>
    <w:p>
      <w:pPr>
        <w:spacing w:line="240" w:lineRule="auto" w:before="3"/>
        <w:rPr>
          <w:rFonts w:ascii="宋体" w:hAnsi="宋体" w:cs="宋体" w:eastAsia="宋体" w:hint="default"/>
          <w:sz w:val="26"/>
          <w:szCs w:val="26"/>
        </w:rPr>
      </w:pPr>
    </w:p>
    <w:p>
      <w:pPr>
        <w:spacing w:line="636" w:lineRule="auto" w:before="44"/>
        <w:ind w:left="636" w:right="7153" w:hanging="483"/>
        <w:jc w:val="left"/>
        <w:rPr>
          <w:rFonts w:ascii="宋体" w:hAnsi="宋体" w:cs="宋体" w:eastAsia="宋体" w:hint="default"/>
          <w:sz w:val="18"/>
          <w:szCs w:val="18"/>
        </w:rPr>
      </w:pPr>
      <w:r>
        <w:rPr>
          <w:rFonts w:ascii="宋体" w:hAnsi="宋体" w:cs="宋体" w:eastAsia="宋体" w:hint="default"/>
          <w:sz w:val="18"/>
          <w:szCs w:val="18"/>
        </w:rPr>
        <w:t>深圳市中装建设集团股份有限公司全体股东：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16" w:lineRule="auto" w:before="91"/>
        <w:ind w:right="1131" w:firstLine="420"/>
        <w:jc w:val="both"/>
      </w:pPr>
      <w:r>
        <w:rPr>
          <w:spacing w:val="-3"/>
        </w:rPr>
        <w:t>我们审计了后附的深圳市中装建设集团股份有限公司（以下简称“中装建设”）财务报表，包括</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w:t>
      </w:r>
      <w:r>
        <w:rPr/>
        <w:t> </w:t>
      </w:r>
      <w:r>
        <w:rPr>
          <w:spacing w:val="-2"/>
        </w:rPr>
        <w:t>及母公司资产负债表，</w:t>
      </w:r>
      <w:r>
        <w:rPr>
          <w:rFonts w:ascii="宋体" w:hAnsi="宋体" w:cs="宋体" w:eastAsia="宋体" w:hint="default"/>
          <w:spacing w:val="-2"/>
        </w:rPr>
        <w:t>2018</w:t>
      </w:r>
      <w:r>
        <w:rPr>
          <w:spacing w:val="-2"/>
        </w:rPr>
        <w:t>年度的合并及母公司利润表、合并及母公司现金流量表、合并及母公司股东权益变动表，以及财</w:t>
      </w:r>
      <w:r>
        <w:rPr>
          <w:spacing w:val="-61"/>
        </w:rPr>
        <w:t> </w:t>
      </w:r>
      <w:r>
        <w:rPr>
          <w:spacing w:val="-61"/>
        </w:rPr>
      </w:r>
      <w:r>
        <w:rPr/>
        <w:t>务报表附注。</w:t>
      </w:r>
    </w:p>
    <w:p>
      <w:pPr>
        <w:spacing w:line="240" w:lineRule="auto" w:before="5"/>
        <w:rPr>
          <w:rFonts w:ascii="宋体" w:hAnsi="宋体" w:cs="宋体" w:eastAsia="宋体" w:hint="default"/>
          <w:sz w:val="13"/>
          <w:szCs w:val="13"/>
        </w:rPr>
      </w:pPr>
    </w:p>
    <w:p>
      <w:pPr>
        <w:pStyle w:val="BodyText"/>
        <w:spacing w:line="316" w:lineRule="auto"/>
        <w:ind w:right="1129" w:firstLine="420"/>
        <w:jc w:val="both"/>
      </w:pPr>
      <w:r>
        <w:rPr/>
        <w:t>我们认为，后附的财务报表在所有重大方面按照企业会计准则的规定编制，公允反映了中装建设</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 并及母公司财务状况以及</w:t>
      </w:r>
      <w:r>
        <w:rPr>
          <w:rFonts w:ascii="宋体" w:hAnsi="宋体" w:cs="宋体" w:eastAsia="宋体" w:hint="default"/>
        </w:rPr>
        <w:t>2018</w:t>
      </w:r>
      <w:r>
        <w:rPr/>
        <w:t>年度的合并及母公司经营成果和现金流量。</w:t>
      </w:r>
    </w:p>
    <w:p>
      <w:pPr>
        <w:pStyle w:val="BodyText"/>
        <w:spacing w:line="622" w:lineRule="exact" w:before="44"/>
        <w:ind w:left="574" w:right="1032" w:firstLine="6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我们按照中国注册会计师审计准则的规定执行了审计工作。审计报告的“注册会计师对财务报表审计的责任”部分进</w:t>
      </w:r>
    </w:p>
    <w:p>
      <w:pPr>
        <w:pStyle w:val="BodyText"/>
        <w:spacing w:line="213" w:lineRule="exact"/>
        <w:ind w:right="0"/>
        <w:jc w:val="left"/>
      </w:pPr>
      <w:r>
        <w:rPr/>
        <w:t>一步阐述了我们在这些准则下的责任。按照中国注册会计师职业道德守则，我们独立于中装建设，并履行了职业道德方面的</w:t>
      </w:r>
    </w:p>
    <w:p>
      <w:pPr>
        <w:pStyle w:val="BodyText"/>
        <w:spacing w:line="636" w:lineRule="auto" w:before="76"/>
        <w:ind w:left="636" w:right="3553" w:hanging="483"/>
        <w:jc w:val="left"/>
        <w:rPr>
          <w:rFonts w:ascii="宋体" w:hAnsi="宋体" w:cs="宋体" w:eastAsia="宋体" w:hint="default"/>
        </w:rPr>
      </w:pPr>
      <w:r>
        <w:rPr/>
        <w:t>其他责任。我们相信，我们获取的审计证据是充分、适当的，为发表审计意见提供了基础。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0"/>
        <w:ind w:right="1133" w:firstLine="420"/>
        <w:jc w:val="both"/>
      </w:pPr>
      <w:r>
        <w:rPr/>
        <w:t>关键审计事项是我们根据职业判断，认为对本期财务报表审计最为重要的事项。这些事项的应对以对财务报表整体进 行审计并形成审计意见为背景，我们不对这些事项单独发表意见。</w:t>
      </w:r>
    </w:p>
    <w:p>
      <w:pPr>
        <w:spacing w:line="240" w:lineRule="auto" w:before="7"/>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4674"/>
        <w:gridCol w:w="4679"/>
      </w:tblGrid>
      <w:tr>
        <w:trPr>
          <w:trHeight w:val="329" w:hRule="exact"/>
        </w:trPr>
        <w:tc>
          <w:tcPr>
            <w:tcW w:w="46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115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52" w:hRule="exact"/>
        </w:trPr>
        <w:tc>
          <w:tcPr>
            <w:tcW w:w="9353" w:type="dxa"/>
            <w:gridSpan w:val="2"/>
            <w:tcBorders>
              <w:top w:val="single" w:sz="10"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、建造合同收入及成本确认</w:t>
            </w:r>
          </w:p>
        </w:tc>
      </w:tr>
      <w:tr>
        <w:trPr>
          <w:trHeight w:val="1908"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 w:firstLine="420"/>
              <w:jc w:val="both"/>
              <w:rPr>
                <w:rFonts w:ascii="宋体" w:hAnsi="宋体" w:cs="宋体" w:eastAsia="宋体" w:hint="default"/>
                <w:sz w:val="18"/>
                <w:szCs w:val="18"/>
              </w:rPr>
            </w:pPr>
            <w:r>
              <w:rPr>
                <w:rFonts w:ascii="宋体" w:hAnsi="宋体" w:cs="宋体" w:eastAsia="宋体" w:hint="default"/>
                <w:spacing w:val="-4"/>
                <w:sz w:val="18"/>
                <w:szCs w:val="18"/>
              </w:rPr>
              <w:t>中装建设的装饰及园林工程项目按照《企业会计准则第</w:t>
            </w:r>
            <w:r>
              <w:rPr>
                <w:rFonts w:ascii="宋体" w:hAnsi="宋体" w:cs="宋体" w:eastAsia="宋体" w:hint="default"/>
                <w:sz w:val="18"/>
                <w:szCs w:val="18"/>
              </w:rPr>
              <w:t> </w:t>
            </w:r>
            <w:r>
              <w:rPr>
                <w:rFonts w:ascii="宋体" w:hAnsi="宋体" w:cs="宋体" w:eastAsia="宋体" w:hint="default"/>
                <w:spacing w:val="-4"/>
                <w:sz w:val="18"/>
                <w:szCs w:val="18"/>
              </w:rPr>
              <w:t>15</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建造合同》的规定按完工百分比法确认收入和成本。建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造合同完工百分比法的确定涉及管理层重要的判断及会计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估计，包括但不限于建造合同预计总收入、预计总成本、已</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完成工作量、剩余工程成本、合同风险等，且在合同执行过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程中需要持续评估和修订。因此我们将建造合同收入及成本</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firstLine="420"/>
              <w:jc w:val="left"/>
              <w:rPr>
                <w:rFonts w:ascii="宋体" w:hAnsi="宋体" w:cs="宋体" w:eastAsia="宋体" w:hint="default"/>
                <w:sz w:val="18"/>
                <w:szCs w:val="18"/>
              </w:rPr>
            </w:pPr>
            <w:r>
              <w:rPr>
                <w:rFonts w:ascii="宋体" w:hAnsi="宋体" w:cs="宋体" w:eastAsia="宋体" w:hint="default"/>
                <w:spacing w:val="3"/>
                <w:sz w:val="18"/>
                <w:szCs w:val="18"/>
              </w:rPr>
              <w:t>我们针对建造合同收入及成本确认执行的主要审计程</w:t>
            </w:r>
            <w:r>
              <w:rPr>
                <w:rFonts w:ascii="宋体" w:hAnsi="宋体" w:cs="宋体" w:eastAsia="宋体" w:hint="default"/>
                <w:sz w:val="18"/>
                <w:szCs w:val="18"/>
              </w:rPr>
              <w:t> 序如下：</w:t>
            </w:r>
          </w:p>
          <w:p>
            <w:pPr>
              <w:pStyle w:val="TableParagraph"/>
              <w:spacing w:line="316" w:lineRule="auto" w:before="139"/>
              <w:ind w:left="2" w:right="3" w:firstLine="42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、了解、评估并测试与建造合同预算编制和收入确认 相关的内部控制；</w:t>
            </w:r>
          </w:p>
          <w:p>
            <w:pPr>
              <w:pStyle w:val="TableParagraph"/>
              <w:spacing w:line="240" w:lineRule="auto" w:before="139"/>
              <w:ind w:left="4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、对营业收入实施分析性程序，与历史同期、同行业</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338"/>
        <w:jc w:val="right"/>
      </w:pPr>
      <w:r>
        <w:rPr/>
        <w:pict>
          <v:shape style="position:absolute;margin-left:56.34pt;margin-top:-158.008270pt;width:468.75pt;height:549.6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4"/>
                    <w:gridCol w:w="4679"/>
                  </w:tblGrid>
                  <w:tr>
                    <w:trPr>
                      <w:trHeight w:val="5939"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确认认定为关键审计事项。</w:t>
                        </w:r>
                      </w:p>
                      <w:p>
                        <w:pPr>
                          <w:pStyle w:val="TableParagraph"/>
                          <w:spacing w:line="240" w:lineRule="auto"/>
                          <w:ind w:right="0"/>
                          <w:jc w:val="left"/>
                          <w:rPr>
                            <w:rFonts w:ascii="宋体" w:hAnsi="宋体" w:cs="宋体" w:eastAsia="宋体" w:hint="default"/>
                            <w:sz w:val="15"/>
                            <w:szCs w:val="15"/>
                          </w:rPr>
                        </w:pPr>
                      </w:p>
                      <w:p>
                        <w:pPr>
                          <w:pStyle w:val="TableParagraph"/>
                          <w:spacing w:line="316" w:lineRule="auto"/>
                          <w:ind w:left="2" w:right="1" w:firstLine="420"/>
                          <w:jc w:val="left"/>
                          <w:rPr>
                            <w:rFonts w:ascii="宋体" w:hAnsi="宋体" w:cs="宋体" w:eastAsia="宋体" w:hint="default"/>
                            <w:sz w:val="18"/>
                            <w:szCs w:val="18"/>
                          </w:rPr>
                        </w:pPr>
                        <w:r>
                          <w:rPr>
                            <w:rFonts w:ascii="宋体" w:hAnsi="宋体" w:cs="宋体" w:eastAsia="宋体" w:hint="default"/>
                            <w:spacing w:val="-11"/>
                            <w:sz w:val="18"/>
                            <w:szCs w:val="18"/>
                          </w:rPr>
                          <w:t>关于收入确认的会计政策见附注三、（二十二）；关于收</w:t>
                        </w:r>
                        <w:r>
                          <w:rPr>
                            <w:rFonts w:ascii="宋体" w:hAnsi="宋体" w:cs="宋体" w:eastAsia="宋体" w:hint="default"/>
                            <w:sz w:val="18"/>
                            <w:szCs w:val="18"/>
                          </w:rPr>
                          <w:t> 入类别披露见附注六、</w:t>
                        </w:r>
                        <w:r>
                          <w:rPr>
                            <w:rFonts w:ascii="宋体" w:hAnsi="宋体" w:cs="宋体" w:eastAsia="宋体" w:hint="default"/>
                            <w:sz w:val="18"/>
                            <w:szCs w:val="18"/>
                          </w:rPr>
                          <w:t>31</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
                            <w:sz w:val="18"/>
                            <w:szCs w:val="18"/>
                          </w:rPr>
                          <w:t>的毛利率进行对比，分析毛利率变动情况，复核收入的合理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w:t>
                        </w:r>
                      </w:p>
                      <w:p>
                        <w:pPr>
                          <w:pStyle w:val="TableParagraph"/>
                          <w:spacing w:line="319"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、选取建造合同样本，检查建造合同和成本预算等资 </w:t>
                        </w:r>
                        <w:r>
                          <w:rPr>
                            <w:rFonts w:ascii="宋体" w:hAnsi="宋体" w:cs="宋体" w:eastAsia="宋体" w:hint="default"/>
                            <w:spacing w:val="-1"/>
                            <w:sz w:val="18"/>
                            <w:szCs w:val="18"/>
                          </w:rPr>
                          <w:t>料，通过与项目工程师讨论及审阅相关支持性文件，评估管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理层对预计总收入和预计总成本的估计及依据是否充分、合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理，评估已完工未结算的工程成本的可回收性；</w:t>
                        </w:r>
                      </w:p>
                      <w:p>
                        <w:pPr>
                          <w:pStyle w:val="TableParagraph"/>
                          <w:spacing w:line="316" w:lineRule="auto" w:before="137"/>
                          <w:ind w:left="2" w:right="3" w:firstLine="42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、选取建造合同样本，向项目发包方（即客户）函证 </w:t>
                        </w:r>
                        <w:r>
                          <w:rPr>
                            <w:rFonts w:ascii="宋体" w:hAnsi="宋体" w:cs="宋体" w:eastAsia="宋体" w:hint="default"/>
                            <w:spacing w:val="-1"/>
                            <w:sz w:val="18"/>
                            <w:szCs w:val="18"/>
                          </w:rPr>
                          <w:t>工程执行情况，包括结算情况、回款情况等，对未回函样本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进行替代测试；</w:t>
                        </w:r>
                      </w:p>
                      <w:p>
                        <w:pPr>
                          <w:pStyle w:val="TableParagraph"/>
                          <w:spacing w:line="316" w:lineRule="auto" w:before="139"/>
                          <w:ind w:left="2" w:right="92" w:firstLine="420"/>
                          <w:jc w:val="both"/>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、选取建造合同样本，对工程形象进度进行现场查看</w:t>
                        </w:r>
                        <w:r>
                          <w:rPr>
                            <w:rFonts w:ascii="宋体" w:hAnsi="宋体" w:cs="宋体" w:eastAsia="宋体" w:hint="default"/>
                            <w:sz w:val="18"/>
                            <w:szCs w:val="18"/>
                          </w:rPr>
                          <w:t> 通过询问、观察等程序，核实项目形象进度；</w:t>
                        </w:r>
                      </w:p>
                      <w:p>
                        <w:pPr>
                          <w:pStyle w:val="TableParagraph"/>
                          <w:spacing w:line="316" w:lineRule="auto" w:before="139"/>
                          <w:ind w:left="2" w:right="3" w:firstLine="420"/>
                          <w:jc w:val="left"/>
                          <w:rPr>
                            <w:rFonts w:ascii="宋体" w:hAnsi="宋体" w:cs="宋体" w:eastAsia="宋体" w:hint="default"/>
                            <w:sz w:val="18"/>
                            <w:szCs w:val="18"/>
                          </w:rPr>
                        </w:pPr>
                        <w:r>
                          <w:rPr>
                            <w:rFonts w:ascii="宋体" w:hAnsi="宋体" w:cs="宋体" w:eastAsia="宋体" w:hint="default"/>
                            <w:spacing w:val="-4"/>
                            <w:sz w:val="18"/>
                            <w:szCs w:val="18"/>
                          </w:rPr>
                          <w:t>6</w:t>
                        </w:r>
                        <w:r>
                          <w:rPr>
                            <w:rFonts w:ascii="宋体" w:hAnsi="宋体" w:cs="宋体" w:eastAsia="宋体" w:hint="default"/>
                            <w:spacing w:val="-4"/>
                            <w:sz w:val="18"/>
                            <w:szCs w:val="18"/>
                          </w:rPr>
                          <w:t>、选取建造合同样本，检查实际工程成本的投入情况</w:t>
                        </w:r>
                        <w:r>
                          <w:rPr>
                            <w:rFonts w:ascii="宋体" w:hAnsi="宋体" w:cs="宋体" w:eastAsia="宋体" w:hint="default"/>
                            <w:sz w:val="18"/>
                            <w:szCs w:val="18"/>
                          </w:rPr>
                          <w:t> </w:t>
                        </w:r>
                        <w:r>
                          <w:rPr>
                            <w:rFonts w:ascii="宋体" w:hAnsi="宋体" w:cs="宋体" w:eastAsia="宋体" w:hint="default"/>
                            <w:spacing w:val="-5"/>
                            <w:sz w:val="18"/>
                            <w:szCs w:val="18"/>
                          </w:rPr>
                          <w:t>包括但不限于发生工程成本的合同、发票、材料采购入库单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结算单等支持性文件，并对比成本预算资料，评估建造合同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成本的确认；</w:t>
                        </w:r>
                        <w:r>
                          <w:rPr>
                            <w:rFonts w:ascii="宋体" w:hAnsi="宋体" w:cs="宋体" w:eastAsia="宋体" w:hint="default"/>
                            <w:spacing w:val="18"/>
                            <w:sz w:val="18"/>
                            <w:szCs w:val="18"/>
                          </w:rPr>
                          <w:t> </w:t>
                        </w:r>
                        <w:r>
                          <w:rPr>
                            <w:rFonts w:ascii="宋体" w:hAnsi="宋体" w:cs="宋体" w:eastAsia="宋体" w:hint="default"/>
                            <w:spacing w:val="2"/>
                            <w:sz w:val="18"/>
                            <w:szCs w:val="18"/>
                          </w:rPr>
                          <w:t>针对资产负债表日前后确认的实际发生的工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程成本核对至材料采购入库单、结算单等支持性文件，以评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估实际成本是否在恰当的期间确认。</w:t>
                        </w:r>
                      </w:p>
                    </w:tc>
                  </w:tr>
                  <w:tr>
                    <w:trPr>
                      <w:trHeight w:val="347"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应收账款坏账准备</w:t>
                        </w:r>
                        <w:r>
                          <w:rPr>
                            <w:rFonts w:ascii="宋体" w:hAnsi="宋体" w:cs="宋体" w:eastAsia="宋体" w:hint="default"/>
                            <w:sz w:val="18"/>
                            <w:szCs w:val="18"/>
                          </w:rPr>
                        </w:r>
                      </w:p>
                    </w:tc>
                  </w:tr>
                  <w:tr>
                    <w:trPr>
                      <w:trHeight w:val="4692"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firstLine="420"/>
                          <w:jc w:val="both"/>
                          <w:rPr>
                            <w:rFonts w:ascii="宋体" w:hAnsi="宋体" w:cs="宋体" w:eastAsia="宋体" w:hint="default"/>
                            <w:sz w:val="18"/>
                            <w:szCs w:val="18"/>
                          </w:rPr>
                        </w:pPr>
                        <w:r>
                          <w:rPr>
                            <w:rFonts w:ascii="宋体" w:hAnsi="宋体" w:cs="宋体" w:eastAsia="宋体" w:hint="default"/>
                            <w:spacing w:val="17"/>
                            <w:sz w:val="18"/>
                            <w:szCs w:val="18"/>
                          </w:rPr>
                          <w:t>截至</w:t>
                        </w:r>
                        <w:r>
                          <w:rPr>
                            <w:rFonts w:ascii="宋体" w:hAnsi="宋体" w:cs="宋体" w:eastAsia="宋体" w:hint="default"/>
                            <w:spacing w:val="-55"/>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z w:val="18"/>
                            <w:szCs w:val="18"/>
                          </w:rPr>
                          <w:t>日</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5"/>
                            <w:sz w:val="18"/>
                            <w:szCs w:val="18"/>
                          </w:rPr>
                          <w:t> </w:t>
                        </w:r>
                        <w:r>
                          <w:rPr>
                            <w:rFonts w:ascii="宋体" w:hAnsi="宋体" w:cs="宋体" w:eastAsia="宋体" w:hint="default"/>
                            <w:sz w:val="18"/>
                            <w:szCs w:val="18"/>
                          </w:rPr>
                          <w:t>装</w:t>
                        </w:r>
                        <w:r>
                          <w:rPr>
                            <w:rFonts w:ascii="宋体" w:hAnsi="宋体" w:cs="宋体" w:eastAsia="宋体" w:hint="default"/>
                            <w:spacing w:val="-56"/>
                            <w:sz w:val="18"/>
                            <w:szCs w:val="18"/>
                          </w:rPr>
                          <w:t> </w:t>
                        </w:r>
                        <w:r>
                          <w:rPr>
                            <w:rFonts w:ascii="宋体" w:hAnsi="宋体" w:cs="宋体" w:eastAsia="宋体" w:hint="default"/>
                            <w:sz w:val="18"/>
                            <w:szCs w:val="18"/>
                          </w:rPr>
                          <w:t>建</w:t>
                        </w:r>
                        <w:r>
                          <w:rPr>
                            <w:rFonts w:ascii="宋体" w:hAnsi="宋体" w:cs="宋体" w:eastAsia="宋体" w:hint="default"/>
                            <w:spacing w:val="-56"/>
                            <w:sz w:val="18"/>
                            <w:szCs w:val="18"/>
                          </w:rPr>
                          <w:t> </w:t>
                        </w:r>
                        <w:r>
                          <w:rPr>
                            <w:rFonts w:ascii="宋体" w:hAnsi="宋体" w:cs="宋体" w:eastAsia="宋体" w:hint="default"/>
                            <w:sz w:val="18"/>
                            <w:szCs w:val="18"/>
                          </w:rPr>
                          <w:t>设</w:t>
                        </w:r>
                        <w:r>
                          <w:rPr>
                            <w:rFonts w:ascii="宋体" w:hAnsi="宋体" w:cs="宋体" w:eastAsia="宋体" w:hint="default"/>
                            <w:spacing w:val="-56"/>
                            <w:sz w:val="18"/>
                            <w:szCs w:val="18"/>
                          </w:rPr>
                          <w:t> </w:t>
                        </w:r>
                        <w:r>
                          <w:rPr>
                            <w:rFonts w:ascii="宋体" w:hAnsi="宋体" w:cs="宋体" w:eastAsia="宋体" w:hint="default"/>
                            <w:sz w:val="18"/>
                            <w:szCs w:val="18"/>
                          </w:rPr>
                          <w:t>应</w:t>
                        </w:r>
                        <w:r>
                          <w:rPr>
                            <w:rFonts w:ascii="宋体" w:hAnsi="宋体" w:cs="宋体" w:eastAsia="宋体" w:hint="default"/>
                            <w:spacing w:val="-56"/>
                            <w:sz w:val="18"/>
                            <w:szCs w:val="18"/>
                          </w:rPr>
                          <w:t> </w:t>
                        </w: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账</w:t>
                        </w:r>
                        <w:r>
                          <w:rPr>
                            <w:rFonts w:ascii="宋体" w:hAnsi="宋体" w:cs="宋体" w:eastAsia="宋体" w:hint="default"/>
                            <w:spacing w:val="-56"/>
                            <w:sz w:val="18"/>
                            <w:szCs w:val="18"/>
                          </w:rPr>
                          <w:t> </w:t>
                        </w:r>
                        <w:r>
                          <w:rPr>
                            <w:rFonts w:ascii="宋体" w:hAnsi="宋体" w:cs="宋体" w:eastAsia="宋体" w:hint="default"/>
                            <w:sz w:val="18"/>
                            <w:szCs w:val="18"/>
                          </w:rPr>
                          <w:t>款</w:t>
                        </w:r>
                        <w:r>
                          <w:rPr>
                            <w:rFonts w:ascii="宋体" w:hAnsi="宋体" w:cs="宋体" w:eastAsia="宋体" w:hint="default"/>
                            <w:spacing w:val="-56"/>
                            <w:sz w:val="18"/>
                            <w:szCs w:val="18"/>
                          </w:rPr>
                          <w:t> </w:t>
                        </w:r>
                        <w:r>
                          <w:rPr>
                            <w:rFonts w:ascii="宋体" w:hAnsi="宋体" w:cs="宋体" w:eastAsia="宋体" w:hint="default"/>
                            <w:sz w:val="18"/>
                            <w:szCs w:val="18"/>
                          </w:rPr>
                          <w:t>余</w:t>
                        </w:r>
                        <w:r>
                          <w:rPr>
                            <w:rFonts w:ascii="宋体" w:hAnsi="宋体" w:cs="宋体" w:eastAsia="宋体" w:hint="default"/>
                            <w:spacing w:val="-56"/>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z w:val="18"/>
                            <w:szCs w:val="18"/>
                          </w:rPr>
                          <w:t>316,064.61</w:t>
                        </w:r>
                        <w:r>
                          <w:rPr>
                            <w:rFonts w:ascii="宋体" w:hAnsi="宋体" w:cs="宋体" w:eastAsia="宋体" w:hint="default"/>
                            <w:sz w:val="18"/>
                            <w:szCs w:val="18"/>
                          </w:rPr>
                          <w:t>万元，坏账准备余额</w:t>
                        </w:r>
                        <w:r>
                          <w:rPr>
                            <w:rFonts w:ascii="宋体" w:hAnsi="宋体" w:cs="宋体" w:eastAsia="宋体" w:hint="default"/>
                            <w:sz w:val="18"/>
                            <w:szCs w:val="18"/>
                          </w:rPr>
                          <w:t>37,153.92</w:t>
                        </w:r>
                        <w:r>
                          <w:rPr>
                            <w:rFonts w:ascii="宋体" w:hAnsi="宋体" w:cs="宋体" w:eastAsia="宋体" w:hint="default"/>
                            <w:sz w:val="18"/>
                            <w:szCs w:val="18"/>
                          </w:rPr>
                          <w:t>万元。中装建设</w:t>
                        </w:r>
                        <w:r>
                          <w:rPr>
                            <w:rFonts w:ascii="宋体" w:hAnsi="宋体" w:cs="宋体" w:eastAsia="宋体" w:hint="default"/>
                            <w:spacing w:val="-36"/>
                            <w:sz w:val="18"/>
                            <w:szCs w:val="18"/>
                          </w:rPr>
                          <w:t> </w:t>
                        </w:r>
                        <w:r>
                          <w:rPr>
                            <w:rFonts w:ascii="宋体" w:hAnsi="宋体" w:cs="宋体" w:eastAsia="宋体" w:hint="default"/>
                            <w:sz w:val="18"/>
                            <w:szCs w:val="18"/>
                          </w:rPr>
                          <w:t>以应收账款的可收回性为判断基础确认坏账准备。应收账款</w:t>
                        </w:r>
                        <w:r>
                          <w:rPr>
                            <w:rFonts w:ascii="宋体" w:hAnsi="宋体" w:cs="宋体" w:eastAsia="宋体" w:hint="default"/>
                            <w:sz w:val="18"/>
                            <w:szCs w:val="18"/>
                          </w:rPr>
                          <w:t> </w:t>
                        </w:r>
                        <w:r>
                          <w:rPr>
                            <w:rFonts w:ascii="宋体" w:hAnsi="宋体" w:cs="宋体" w:eastAsia="宋体" w:hint="default"/>
                            <w:spacing w:val="5"/>
                            <w:sz w:val="18"/>
                            <w:szCs w:val="18"/>
                          </w:rPr>
                          <w:t>年末账面价值的确定需要管理层识别已发生减值的项目和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客观证据、评估预期未来可获取的现金流量并确定其现值， 涉及管理层运用重大会计估计和判断，且应收账款坏账准备</w:t>
                        </w:r>
                        <w:r>
                          <w:rPr>
                            <w:rFonts w:ascii="宋体" w:hAnsi="宋体" w:cs="宋体" w:eastAsia="宋体" w:hint="default"/>
                            <w:sz w:val="18"/>
                            <w:szCs w:val="18"/>
                          </w:rPr>
                          <w:t> 对于财务报表具有重要性，因此，我们将应收账款坏账准备 认定为关键审计事项。</w:t>
                        </w:r>
                      </w:p>
                      <w:p>
                        <w:pPr>
                          <w:pStyle w:val="TableParagraph"/>
                          <w:spacing w:line="316" w:lineRule="auto" w:before="139"/>
                          <w:ind w:left="2" w:right="-17" w:firstLine="420"/>
                          <w:jc w:val="both"/>
                          <w:rPr>
                            <w:rFonts w:ascii="宋体" w:hAnsi="宋体" w:cs="宋体" w:eastAsia="宋体" w:hint="default"/>
                            <w:sz w:val="18"/>
                            <w:szCs w:val="18"/>
                          </w:rPr>
                        </w:pPr>
                        <w:r>
                          <w:rPr>
                            <w:rFonts w:ascii="宋体" w:hAnsi="宋体" w:cs="宋体" w:eastAsia="宋体" w:hint="default"/>
                            <w:spacing w:val="-10"/>
                            <w:sz w:val="18"/>
                            <w:szCs w:val="18"/>
                          </w:rPr>
                          <w:t>关于应收账款坏账准备得会计政策见附注三、（十一）；</w:t>
                        </w:r>
                        <w:r>
                          <w:rPr>
                            <w:rFonts w:ascii="宋体" w:hAnsi="宋体" w:cs="宋体" w:eastAsia="宋体" w:hint="default"/>
                            <w:spacing w:val="-67"/>
                            <w:sz w:val="18"/>
                            <w:szCs w:val="18"/>
                          </w:rPr>
                          <w:t> </w:t>
                        </w:r>
                        <w:r>
                          <w:rPr>
                            <w:rFonts w:ascii="宋体" w:hAnsi="宋体" w:cs="宋体" w:eastAsia="宋体" w:hint="default"/>
                            <w:sz w:val="18"/>
                            <w:szCs w:val="18"/>
                          </w:rPr>
                          <w:t>关于应收账款账面余额及坏账准备见附注六、</w:t>
                        </w:r>
                        <w:r>
                          <w:rPr>
                            <w:rFonts w:ascii="宋体" w:hAnsi="宋体" w:cs="宋体" w:eastAsia="宋体" w:hint="default"/>
                            <w:sz w:val="18"/>
                            <w:szCs w:val="18"/>
                          </w:rPr>
                          <w:t>2</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我们针对应收账款坏账准备执行的主要审计程序如下</w:t>
                        </w:r>
                      </w:p>
                      <w:p>
                        <w:pPr>
                          <w:pStyle w:val="TableParagraph"/>
                          <w:spacing w:line="240" w:lineRule="auto"/>
                          <w:ind w:right="0"/>
                          <w:jc w:val="left"/>
                          <w:rPr>
                            <w:rFonts w:ascii="宋体" w:hAnsi="宋体" w:cs="宋体" w:eastAsia="宋体" w:hint="default"/>
                            <w:sz w:val="15"/>
                            <w:szCs w:val="15"/>
                          </w:rPr>
                        </w:pPr>
                      </w:p>
                      <w:p>
                        <w:pPr>
                          <w:pStyle w:val="TableParagraph"/>
                          <w:spacing w:line="319" w:lineRule="auto"/>
                          <w:ind w:left="2" w:right="3" w:firstLine="42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、对信用政策及应收账款管理相关内部控制的设计及 运行有效性进行了评估和测试；</w:t>
                        </w:r>
                      </w:p>
                      <w:p>
                        <w:pPr>
                          <w:pStyle w:val="TableParagraph"/>
                          <w:spacing w:line="316" w:lineRule="auto" w:before="137"/>
                          <w:ind w:left="2" w:right="3" w:firstLine="42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、分析应收账款坏账准备会计政策的合理性，包括确 </w:t>
                        </w:r>
                        <w:r>
                          <w:rPr>
                            <w:rFonts w:ascii="宋体" w:hAnsi="宋体" w:cs="宋体" w:eastAsia="宋体" w:hint="default"/>
                            <w:spacing w:val="-1"/>
                            <w:sz w:val="18"/>
                            <w:szCs w:val="18"/>
                          </w:rPr>
                          <w:t>定应收账款组合的依据、金额重大的判断、单独计提坏账准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备的判断等，复核相关会计政策是否一贯地运用；</w:t>
                        </w:r>
                      </w:p>
                      <w:p>
                        <w:pPr>
                          <w:pStyle w:val="TableParagraph"/>
                          <w:spacing w:line="316"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、对于单独计提坏账准备的应收账款，选取样本获取 </w:t>
                        </w:r>
                        <w:r>
                          <w:rPr>
                            <w:rFonts w:ascii="宋体" w:hAnsi="宋体" w:cs="宋体" w:eastAsia="宋体" w:hint="default"/>
                            <w:spacing w:val="-1"/>
                            <w:sz w:val="18"/>
                            <w:szCs w:val="18"/>
                          </w:rPr>
                          <w:t>管理层对预计未来可收回金额做出估计的依据，包括客户信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用记录、违约或延迟付款记录及期后实际还款情况，并复核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其合理性。</w:t>
                        </w:r>
                      </w:p>
                      <w:p>
                        <w:pPr>
                          <w:pStyle w:val="TableParagraph"/>
                          <w:spacing w:line="316" w:lineRule="auto" w:before="139"/>
                          <w:ind w:left="2" w:right="3" w:firstLine="42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、对于按账龄分析法计提坏账准备的应收账款，分析 </w:t>
                        </w:r>
                        <w:r>
                          <w:rPr>
                            <w:rFonts w:ascii="宋体" w:hAnsi="宋体" w:cs="宋体" w:eastAsia="宋体" w:hint="default"/>
                            <w:spacing w:val="-1"/>
                            <w:sz w:val="18"/>
                            <w:szCs w:val="18"/>
                          </w:rPr>
                          <w:t>中装建设应收账款坏账准备会计估计的合理性，并选取样本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对账龄准确性进行测试，复核坏账准备计提是否准确。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338"/>
        <w:jc w:val="right"/>
      </w:pPr>
      <w:r>
        <w:rPr/>
        <w:t>，</w:t>
      </w:r>
    </w:p>
    <w:p>
      <w:pPr>
        <w:pStyle w:val="BodyText"/>
        <w:spacing w:line="240" w:lineRule="auto" w:before="76"/>
        <w:ind w:left="0" w:right="13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34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ind w:left="636" w:right="1032"/>
        <w:jc w:val="left"/>
        <w:rPr>
          <w:b w:val="0"/>
          <w:bCs w:val="0"/>
        </w:rPr>
      </w:pPr>
      <w:r>
        <w:rPr/>
        <w:t>四、其他信息</w:t>
      </w:r>
      <w:r>
        <w:rPr>
          <w:b w:val="0"/>
          <w:bCs w:val="0"/>
        </w:rPr>
      </w:r>
    </w:p>
    <w:p>
      <w:pPr>
        <w:spacing w:line="240" w:lineRule="auto" w:before="2"/>
        <w:rPr>
          <w:rFonts w:ascii="宋体" w:hAnsi="宋体" w:cs="宋体" w:eastAsia="宋体" w:hint="default"/>
          <w:b/>
          <w:bCs/>
          <w:sz w:val="24"/>
          <w:szCs w:val="24"/>
        </w:rPr>
      </w:pPr>
    </w:p>
    <w:p>
      <w:pPr>
        <w:pStyle w:val="BodyText"/>
        <w:spacing w:line="316" w:lineRule="auto"/>
        <w:ind w:right="1032" w:firstLine="420"/>
        <w:jc w:val="left"/>
      </w:pPr>
      <w:r>
        <w:rPr/>
        <w:t>中装建设管理层（以下简称管理层）对其他信息负责。其他信息包括中装建设</w:t>
      </w:r>
      <w:r>
        <w:rPr>
          <w:rFonts w:ascii="宋体" w:hAnsi="宋体" w:cs="宋体" w:eastAsia="宋体" w:hint="default"/>
        </w:rPr>
        <w:t>2018</w:t>
      </w:r>
      <w:r>
        <w:rPr/>
        <w:t>年度报告中涵盖的信息，但不包括 财务报表和我们的审计报告。</w:t>
      </w:r>
    </w:p>
    <w:p>
      <w:pPr>
        <w:pStyle w:val="BodyText"/>
        <w:spacing w:line="432" w:lineRule="exact" w:before="4"/>
        <w:ind w:left="574" w:right="1032"/>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240" w:lineRule="auto" w:before="15"/>
        <w:ind w:right="1032"/>
        <w:jc w:val="left"/>
      </w:pPr>
      <w:r>
        <w:rPr/>
        <w:t>过程中了解到的情况存在重大不一致或者似乎存在重大错报。</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33" w:firstLine="420"/>
        <w:jc w:val="both"/>
      </w:pPr>
      <w:r>
        <w:rPr/>
        <w:t>基于我们已执行的工作，如果我们确定其他信息存在重大错报，我们应当报告该事实。在这方面，我们无任何事项需 要报告。</w:t>
      </w:r>
    </w:p>
    <w:p>
      <w:pPr>
        <w:spacing w:line="552" w:lineRule="exact" w:before="27"/>
        <w:ind w:left="574" w:right="1032" w:firstLine="6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227" w:lineRule="exact"/>
        <w:ind w:right="1032"/>
        <w:jc w:val="left"/>
      </w:pPr>
      <w:r>
        <w:rPr/>
        <w:t>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3"/>
        </w:rPr>
        <w:t>在编制财务报表时，管理层负责评估中装建设的持续经营能力，披露与持续经营相关的事项（如适用），并运用持续经</w:t>
      </w:r>
      <w:r>
        <w:rPr/>
        <w:t> 营假设，除非计划进行清算、终止运营或别无其他现实的选择。</w:t>
      </w:r>
    </w:p>
    <w:p>
      <w:pPr>
        <w:spacing w:line="561" w:lineRule="auto" w:before="139"/>
        <w:ind w:left="636" w:right="6913" w:hanging="63"/>
        <w:jc w:val="left"/>
        <w:rPr>
          <w:rFonts w:ascii="宋体" w:hAnsi="宋体" w:cs="宋体" w:eastAsia="宋体" w:hint="default"/>
          <w:sz w:val="18"/>
          <w:szCs w:val="18"/>
        </w:rPr>
      </w:pPr>
      <w:r>
        <w:rPr>
          <w:rFonts w:ascii="宋体" w:hAnsi="宋体" w:cs="宋体" w:eastAsia="宋体" w:hint="default"/>
          <w:sz w:val="18"/>
          <w:szCs w:val="18"/>
        </w:rPr>
        <w:t>治理层负责监督中装建设的财务报告过程。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75"/>
        <w:ind w:right="1129" w:firstLine="42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574" w:right="1032"/>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6" w:lineRule="auto"/>
        <w:ind w:right="1049" w:firstLine="420"/>
        <w:jc w:val="both"/>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39"/>
        <w:ind w:left="574" w:right="1032"/>
        <w:jc w:val="left"/>
      </w:pP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0"/>
        <w:rPr>
          <w:rFonts w:ascii="宋体" w:hAnsi="宋体" w:cs="宋体" w:eastAsia="宋体" w:hint="default"/>
          <w:sz w:val="15"/>
          <w:szCs w:val="15"/>
        </w:rPr>
      </w:pPr>
    </w:p>
    <w:p>
      <w:pPr>
        <w:pStyle w:val="BodyText"/>
        <w:spacing w:line="240" w:lineRule="auto"/>
        <w:ind w:left="574" w:right="1032"/>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）对管理层使用持续经营假设的恰当性得出结论。同时，根据获取的审计证据，就可能导致对中装建设持续经营能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于截至审计报告日可获得的信息。然而，未来的事项或情况可能导致中装建设不能持续经营。</w:t>
      </w:r>
    </w:p>
    <w:p>
      <w:pPr>
        <w:pStyle w:val="BodyText"/>
        <w:spacing w:line="240" w:lineRule="auto" w:before="139"/>
        <w:ind w:left="574" w:right="1032"/>
        <w:jc w:val="left"/>
      </w:pP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6</w:t>
      </w:r>
      <w:r>
        <w:rPr>
          <w:spacing w:val="-2"/>
        </w:rPr>
        <w:t>）就中装建设中实体或业务活动的财务信息获取充分、适当的审计证据，以对财务报表发表审计意见。我们负责指</w:t>
      </w:r>
      <w:r>
        <w:rPr/>
        <w:t> 导、监督和执行集团审计，并对审计意见承担全部责任。</w:t>
      </w:r>
    </w:p>
    <w:p>
      <w:pPr>
        <w:pStyle w:val="BodyText"/>
        <w:spacing w:line="316" w:lineRule="auto" w:before="139"/>
        <w:ind w:right="1129" w:firstLine="420"/>
        <w:jc w:val="both"/>
      </w:pPr>
      <w:r>
        <w:rPr/>
        <w:t>我们与治理层就计划的审计范围、时间安排和重大审计发现等事项进行沟通，包括沟通我们在审计中识别出的值得关 注的内部控制缺陷。</w:t>
      </w:r>
    </w:p>
    <w:p>
      <w:pPr>
        <w:pStyle w:val="BodyText"/>
        <w:spacing w:line="316" w:lineRule="auto" w:before="139"/>
        <w:ind w:right="1133" w:firstLine="420"/>
        <w:jc w:val="both"/>
      </w:pPr>
      <w:r>
        <w:rPr/>
        <w:t>我们还就已遵守与独立性相关的职业道德要求向治理层提供声明，并与治理层沟通可能被合理认为影响我们独立性的 </w:t>
      </w:r>
      <w:r>
        <w:rPr>
          <w:spacing w:val="-4"/>
        </w:rPr>
        <w:t>所有关系和其他事项，以及相关的防范措施（如适用）。</w:t>
      </w:r>
    </w:p>
    <w:p>
      <w:pPr>
        <w:pStyle w:val="BodyText"/>
        <w:spacing w:line="319" w:lineRule="auto" w:before="139"/>
        <w:ind w:right="1133" w:firstLine="420"/>
        <w:jc w:val="both"/>
      </w:pPr>
      <w:r>
        <w:rPr/>
        <w:t>从与治理层沟通过的事项中，我们确定哪些事项对本期合并财务报表审计最为重要，因而构成关键审计事项。我们在 </w:t>
      </w:r>
      <w:r>
        <w:rPr>
          <w:spacing w:val="-2"/>
        </w:rPr>
        <w:t>审计报告中描述这些事项，除非法律法规禁止公开披露这些事项，或在极少数情形下，如果合理预期在审计报告中沟通某事</w:t>
      </w:r>
      <w:r>
        <w:rPr>
          <w:spacing w:val="-66"/>
        </w:rPr>
        <w:t> </w:t>
      </w:r>
      <w:r>
        <w:rPr>
          <w:spacing w:val="-66"/>
        </w:rPr>
      </w:r>
      <w:r>
        <w:rPr/>
        <w:t>项造成的负面后果超过在公众利益方面产生的益处，我们确定不应在审计报告中沟通该事项。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664" w:right="1032"/>
        <w:jc w:val="left"/>
        <w:rPr>
          <w:rFonts w:ascii="宋体" w:hAnsi="宋体" w:cs="宋体" w:eastAsia="宋体" w:hint="default"/>
        </w:rPr>
      </w:pPr>
      <w:r>
        <w:rPr>
          <w:rFonts w:ascii="宋体" w:hAnsi="宋体" w:cs="宋体" w:eastAsia="宋体" w:hint="default"/>
        </w:rPr>
        <w:t>[</w:t>
      </w:r>
      <w:r>
        <w:rPr/>
        <w:t>此页无正文</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1094" w:type="dxa"/>
        <w:tblLayout w:type="fixed"/>
        <w:tblCellMar>
          <w:top w:w="0" w:type="dxa"/>
          <w:left w:w="0" w:type="dxa"/>
          <w:bottom w:w="0" w:type="dxa"/>
          <w:right w:w="0" w:type="dxa"/>
        </w:tblCellMar>
        <w:tblLook w:val="01E0"/>
      </w:tblPr>
      <w:tblGrid>
        <w:gridCol w:w="3322"/>
        <w:gridCol w:w="2374"/>
        <w:gridCol w:w="1888"/>
      </w:tblGrid>
      <w:tr>
        <w:trPr>
          <w:trHeight w:val="606"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316" w:lineRule="auto" w:before="28"/>
              <w:ind w:left="200" w:right="1139" w:firstLine="540"/>
              <w:jc w:val="left"/>
              <w:rPr>
                <w:rFonts w:ascii="宋体" w:hAnsi="宋体" w:cs="宋体" w:eastAsia="宋体" w:hint="default"/>
                <w:sz w:val="18"/>
                <w:szCs w:val="18"/>
              </w:rPr>
            </w:pPr>
            <w:r>
              <w:rPr>
                <w:rFonts w:ascii="宋体" w:hAnsi="宋体" w:cs="宋体" w:eastAsia="宋体" w:hint="default"/>
                <w:sz w:val="18"/>
                <w:szCs w:val="18"/>
              </w:rPr>
              <w:t>中国·北京 二○一九年四月二十五日</w:t>
            </w:r>
          </w:p>
        </w:tc>
        <w:tc>
          <w:tcPr>
            <w:tcW w:w="2374" w:type="dxa"/>
            <w:vMerge w:val="restart"/>
            <w:tcBorders>
              <w:top w:val="nil" w:sz="6" w:space="0" w:color="auto"/>
              <w:left w:val="nil" w:sz="6" w:space="0" w:color="auto"/>
              <w:right w:val="nil" w:sz="6" w:space="0" w:color="auto"/>
            </w:tcBorders>
          </w:tcPr>
          <w:p>
            <w:pPr>
              <w:pStyle w:val="TableParagraph"/>
              <w:spacing w:line="240" w:lineRule="auto" w:before="148"/>
              <w:ind w:left="628"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（项目合伙人</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88" w:type="dxa"/>
            <w:tcBorders>
              <w:top w:val="nil" w:sz="6" w:space="0" w:color="auto"/>
              <w:left w:val="nil" w:sz="6" w:space="0" w:color="auto"/>
              <w:bottom w:val="nil" w:sz="6" w:space="0" w:color="auto"/>
              <w:right w:val="nil" w:sz="6" w:space="0" w:color="auto"/>
            </w:tcBorders>
          </w:tcPr>
          <w:p>
            <w:pPr/>
          </w:p>
        </w:tc>
      </w:tr>
      <w:tr>
        <w:trPr>
          <w:trHeight w:val="293" w:hRule="exact"/>
        </w:trPr>
        <w:tc>
          <w:tcPr>
            <w:tcW w:w="3322" w:type="dxa"/>
            <w:tcBorders>
              <w:top w:val="nil" w:sz="6" w:space="0" w:color="auto"/>
              <w:left w:val="nil" w:sz="6" w:space="0" w:color="auto"/>
              <w:bottom w:val="nil" w:sz="6" w:space="0" w:color="auto"/>
              <w:right w:val="nil" w:sz="6" w:space="0" w:color="auto"/>
            </w:tcBorders>
          </w:tcPr>
          <w:p>
            <w:pPr/>
          </w:p>
        </w:tc>
        <w:tc>
          <w:tcPr>
            <w:tcW w:w="2374" w:type="dxa"/>
            <w:vMerge/>
            <w:tcBorders>
              <w:left w:val="nil" w:sz="6" w:space="0" w:color="auto"/>
              <w:bottom w:val="single" w:sz="6" w:space="0" w:color="000000"/>
              <w:right w:val="nil" w:sz="6" w:space="0" w:color="auto"/>
            </w:tcBorders>
          </w:tcPr>
          <w:p>
            <w:pPr/>
          </w:p>
        </w:tc>
        <w:tc>
          <w:tcPr>
            <w:tcW w:w="1888" w:type="dxa"/>
            <w:tcBorders>
              <w:top w:val="nil" w:sz="6" w:space="0" w:color="auto"/>
              <w:left w:val="nil" w:sz="6" w:space="0" w:color="auto"/>
              <w:bottom w:val="single" w:sz="6" w:space="0" w:color="000000"/>
              <w:right w:val="nil" w:sz="6" w:space="0" w:color="auto"/>
            </w:tcBorders>
          </w:tcPr>
          <w:p>
            <w:pPr>
              <w:pStyle w:val="TableParagraph"/>
              <w:spacing w:line="210" w:lineRule="exact"/>
              <w:ind w:right="63"/>
              <w:jc w:val="center"/>
              <w:rPr>
                <w:rFonts w:ascii="宋体" w:hAnsi="宋体" w:cs="宋体" w:eastAsia="宋体" w:hint="default"/>
                <w:sz w:val="18"/>
                <w:szCs w:val="18"/>
              </w:rPr>
            </w:pPr>
            <w:r>
              <w:rPr>
                <w:rFonts w:ascii="宋体" w:hAnsi="宋体" w:cs="宋体" w:eastAsia="宋体" w:hint="default"/>
                <w:sz w:val="18"/>
                <w:szCs w:val="18"/>
              </w:rPr>
              <w:t>屈先富</w:t>
            </w:r>
          </w:p>
        </w:tc>
      </w:tr>
      <w:tr>
        <w:trPr>
          <w:trHeight w:val="468" w:hRule="exact"/>
        </w:trPr>
        <w:tc>
          <w:tcPr>
            <w:tcW w:w="3322" w:type="dxa"/>
            <w:tcBorders>
              <w:top w:val="nil" w:sz="6" w:space="0" w:color="auto"/>
              <w:left w:val="nil" w:sz="6" w:space="0" w:color="auto"/>
              <w:bottom w:val="nil" w:sz="6" w:space="0" w:color="auto"/>
              <w:right w:val="nil" w:sz="6" w:space="0" w:color="auto"/>
            </w:tcBorders>
          </w:tcPr>
          <w:p>
            <w:pPr/>
          </w:p>
        </w:tc>
        <w:tc>
          <w:tcPr>
            <w:tcW w:w="2374"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left="538"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c>
          <w:tcPr>
            <w:tcW w:w="1888"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left="394" w:right="0"/>
              <w:jc w:val="left"/>
              <w:rPr>
                <w:rFonts w:ascii="宋体" w:hAnsi="宋体" w:cs="宋体" w:eastAsia="宋体" w:hint="default"/>
                <w:sz w:val="18"/>
                <w:szCs w:val="18"/>
              </w:rPr>
            </w:pPr>
            <w:r>
              <w:rPr>
                <w:rFonts w:ascii="宋体" w:hAnsi="宋体" w:cs="宋体" w:eastAsia="宋体" w:hint="default"/>
                <w:sz w:val="18"/>
                <w:szCs w:val="18"/>
              </w:rPr>
              <w:t>唐亚波</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before="26"/>
        <w:ind w:right="1032"/>
        <w:jc w:val="left"/>
        <w:rPr>
          <w:b w:val="0"/>
          <w:bCs w:val="0"/>
        </w:rPr>
      </w:pPr>
      <w:r>
        <w:rPr/>
        <w:pict>
          <v:group style="position:absolute;margin-left:56.34pt;margin-top:-75.60437pt;width:426.9pt;height:.75pt;mso-position-horizontal-relative:page;mso-position-vertical-relative:paragraph;z-index:-1091272" coordorigin="1127,-1512" coordsize="8538,15">
            <v:group style="position:absolute;left:1134;top:-1505;width:4262;height:2" coordorigin="1134,-1505" coordsize="4262,2">
              <v:shape style="position:absolute;left:1134;top:-1505;width:4262;height:2" coordorigin="1134,-1505" coordsize="4262,0" path="m1134,-1505l5396,-1505e" filled="false" stroked="true" strokeweight=".72pt" strokecolor="#000000">
                <v:path arrowok="t"/>
              </v:shape>
            </v:group>
            <v:group style="position:absolute;left:5396;top:-1505;width:15;height:2" coordorigin="5396,-1505" coordsize="15,2">
              <v:shape style="position:absolute;left:5396;top:-1505;width:15;height:2" coordorigin="5396,-1505" coordsize="15,0" path="m5396,-1505l5410,-1505e" filled="false" stroked="true" strokeweight=".72pt" strokecolor="#000000">
                <v:path arrowok="t"/>
              </v:shape>
            </v:group>
            <v:group style="position:absolute;left:5410;top:-1505;width:2295;height:2" coordorigin="5410,-1505" coordsize="2295,2">
              <v:shape style="position:absolute;left:5410;top:-1505;width:2295;height:2" coordorigin="5410,-1505" coordsize="2295,0" path="m5410,-1505l7705,-1505e" filled="false" stroked="true" strokeweight=".72pt" strokecolor="#000000">
                <v:path arrowok="t"/>
              </v:shape>
            </v:group>
            <v:group style="position:absolute;left:7705;top:-1505;width:15;height:2" coordorigin="7705,-1505" coordsize="15,2">
              <v:shape style="position:absolute;left:7705;top:-1505;width:15;height:2" coordorigin="7705,-1505" coordsize="15,0" path="m7705,-1505l7719,-1505e" filled="false" stroked="true" strokeweight=".72pt" strokecolor="#000000">
                <v:path arrowok="t"/>
              </v:shape>
            </v:group>
            <v:group style="position:absolute;left:7719;top:-1505;width:1939;height:2" coordorigin="7719,-1505" coordsize="1939,2">
              <v:shape style="position:absolute;left:7719;top:-1505;width:1939;height:2" coordorigin="7719,-1505" coordsize="1939,0" path="m7719,-1505l9658,-1505e" filled="false" stroked="true" strokeweight=".72pt" strokecolor="#000000">
                <v:path arrowok="t"/>
              </v:shape>
            </v:group>
            <w10:wrap type="none"/>
          </v:group>
        </w:pict>
      </w:r>
      <w:bookmarkStart w:name="二、财务报表" w:id="149"/>
      <w:bookmarkEnd w:id="14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合并资产负债表" w:id="150"/>
      <w:bookmarkEnd w:id="15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7" w:footer="1019" w:top="1100" w:bottom="1200" w:left="980" w:right="0"/>
        </w:sectPr>
      </w:pPr>
    </w:p>
    <w:p>
      <w:pPr>
        <w:pStyle w:val="BodyText"/>
        <w:spacing w:line="240" w:lineRule="auto" w:before="44"/>
        <w:ind w:right="-20"/>
        <w:jc w:val="left"/>
      </w:pPr>
      <w:r>
        <w:rPr/>
        <w:t>编制单位：深圳市中装建设集团股份有限公司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r>
        <w:rPr/>
        <w:pict>
          <v:group style="position:absolute;margin-left:56.34pt;margin-top:321.619995pt;width:426.9pt;height:.75pt;mso-position-horizontal-relative:page;mso-position-vertical-relative:page;z-index:-1091296" coordorigin="1127,6432" coordsize="8538,15">
            <v:group style="position:absolute;left:1134;top:6440;width:4262;height:2" coordorigin="1134,6440" coordsize="4262,2">
              <v:shape style="position:absolute;left:1134;top:6440;width:4262;height:2" coordorigin="1134,6440" coordsize="4262,0" path="m1134,6440l5396,6440e" filled="false" stroked="true" strokeweight=".72pt" strokecolor="#000000">
                <v:path arrowok="t"/>
              </v:shape>
            </v:group>
            <v:group style="position:absolute;left:5396;top:6440;width:15;height:2" coordorigin="5396,6440" coordsize="15,2">
              <v:shape style="position:absolute;left:5396;top:6440;width:15;height:2" coordorigin="5396,6440" coordsize="15,0" path="m5396,6440l5410,6440e" filled="false" stroked="true" strokeweight=".72pt" strokecolor="#000000">
                <v:path arrowok="t"/>
              </v:shape>
            </v:group>
            <v:group style="position:absolute;left:5410;top:6440;width:2295;height:2" coordorigin="5410,6440" coordsize="2295,2">
              <v:shape style="position:absolute;left:5410;top:6440;width:2295;height:2" coordorigin="5410,6440" coordsize="2295,0" path="m5410,6440l7705,6440e" filled="false" stroked="true" strokeweight=".72pt" strokecolor="#000000">
                <v:path arrowok="t"/>
              </v:shape>
            </v:group>
            <v:group style="position:absolute;left:7705;top:6440;width:15;height:2" coordorigin="7705,6440" coordsize="15,2">
              <v:shape style="position:absolute;left:7705;top:6440;width:15;height:2" coordorigin="7705,6440" coordsize="15,0" path="m7705,6440l7719,6440e" filled="false" stroked="true" strokeweight=".72pt" strokecolor="#000000">
                <v:path arrowok="t"/>
              </v:shape>
            </v:group>
            <v:group style="position:absolute;left:7719;top:6440;width:1939;height:2" coordorigin="7719,6440" coordsize="1939,2">
              <v:shape style="position:absolute;left:7719;top:6440;width:1939;height:2" coordorigin="7719,6440" coordsize="1939,0" path="m7719,6440l9658,6440e" filled="false" stroked="true" strokeweight=".72pt" strokecolor="#000000">
                <v:path arrowok="t"/>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1,086,445,701.82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5" w:right="0"/>
              <w:jc w:val="left"/>
              <w:rPr>
                <w:rFonts w:ascii="Times New Roman" w:hAnsi="Times New Roman" w:cs="Times New Roman" w:eastAsia="Times New Roman" w:hint="default"/>
                <w:sz w:val="18"/>
                <w:szCs w:val="18"/>
              </w:rPr>
            </w:pPr>
            <w:r>
              <w:rPr>
                <w:rFonts w:ascii="Times New Roman"/>
                <w:sz w:val="18"/>
              </w:rPr>
              <w:t>1,280,185,824.46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2,836,849,751.12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2,350,756,619.71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47,742,808.90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12,725,874.00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2,789,106,942.22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2,338,030,745.71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29,200,384.54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15,820,065.65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73,262,386.57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68,597,178.82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189,239,181.27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123,982,177.00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147,906.49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35,579.25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4,215,145,311.81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3,839,377,444.89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2,494,700.00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63,040,274.84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50,377,882.17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153,550,996.42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160,635,723.88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12,853,407.10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761,233.92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266,132,403.68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73,835,524.85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144,882.75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144,882.75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1,307,868.31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1,718,110.10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1,291,902.38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407,978.74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26,336,243.19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2,693,517.18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527,152,678.67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290,574,853.59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4,742,297,990.48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4,129,952,298.48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753,511,218.38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750,474,113.95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81,687,719.55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54,684,857.34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14,244,319.10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11,902,565.39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272,550,950.98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186,122,163.86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22,323,313.92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17,519,460.70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2,464,317,521.93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1,990,703,161.24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3,216,471.60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4,331,389.25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4,335,305.00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107,047,860.85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104,335,305.00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2,571,365,382.78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2,095,038,466.24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660,660,373.06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660,660,373.06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-29,166.27</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1,178.01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99,116,494.80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82,964,825.54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812,704,656.20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691,765,585.13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2,172,452,357.79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2,035,391,961.74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-1,519,750.09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-478,129.50</w:t>
            </w:r>
            <w:r>
              <w:rPr>
                <w:rFonts w:ascii="Times New Roman"/>
                <w:sz w:val="18"/>
              </w:rPr>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2,170,932,607.70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2,034,913,832.24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4,742,297,990.48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4,129,952,298.48</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法定代表人：庄重</w:t>
        <w:tab/>
        <w:t>主管会计工作负责人：于桂添</w:t>
        <w:tab/>
        <w:t>会计机构负责人：房新芬</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母公司资产负债表" w:id="151"/>
      <w:bookmarkEnd w:id="15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1,063,099,143.33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1,271,062,678.94</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2,754,918,538.51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2,289,583,303.03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47,742,808.90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12,521,574.00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2,707,175,729.61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2,277,061,729.03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27,048,079.04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15,157,129.65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138,712,254.78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97,709,671.24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176,859,091.55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122,818,050.92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4,160,637,107.21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3,796,330,833.78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2,494,700.00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214,975,815.26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202,813,422.59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144,679,501.58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150,920,893.17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197,972,231.68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2,216,100.85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1,307,868.31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1,718,110.10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1,291,902.38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407,978.74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3,792,668.12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2,693,517.18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566,514,687.33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360,770,022.63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4,727,151,794.54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4,157,100,856.41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970,000,000.00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713,935,735.17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723,064,681.94</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80,917,219.40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54,684,857.34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12,657,371.63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11,639,378.47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265,004,904.90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179,275,373.31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65,754,770.25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83,784,020.61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2,458,270,001.35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2,022,448,311.67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3,216,471.60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4,331,389.25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4,335,305.00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107,047,860.85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104,335,305.00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2,565,317,862.20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2,126,783,616.67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660,654,003.33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660,654,003.33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99,116,494.80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82,964,825.54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802,063,434.21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686,698,410.87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2,161,833,932.34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2,030,317,239.74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4,727,151,794.54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4,157,100,856.41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3、合并利润表" w:id="152"/>
      <w:bookmarkEnd w:id="15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4,145,695,271.65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3,172,996,288.26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4,145,695,271.65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3,172,996,288.26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3,909,186,428.53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2,974,352,597.33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3,541,342,194.42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2,708,228,113.56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9"/>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26,831,218.11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31,137,073.49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39,300,528.18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32,510,823.64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99,023,178.29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86,854,259.37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11,952,402.67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9,802,472.02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72,037,616.20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43,168,798.91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73,872,983.88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51,382,264.67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6,806,579.69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10,019,988.43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118,699,290.66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62,651,056.34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2,511,904.72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3,073,493.08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13,448,874.01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3,985,289.82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7,585,359.56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2,487,883.69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-4,228.63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-14,801.61</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252,465,393.22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205,687,672.22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174,092.52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526,008.88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7,149,778.25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3,934,931.06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245,489,707.49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202,278,750.04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80,411,433.43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42,060,894.62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165,078,274.06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160,217,855.42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165,078,274.06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160,217,855.42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167,090,740.33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160,749,979.46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-2,012,466.27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-532,124.04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-59,498.60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70,286.10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-30,344.28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35,845.91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-30,344.28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35,845.91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9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现金流量套期损益的</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-30,344.28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35,845.91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-29,154.32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34,440.19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165,018,775.46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160,288,141.52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167,060,396.05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160,785,825.37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-2,041,620.59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-497,683.85</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r>
    </w:tbl>
    <w:p>
      <w:pPr>
        <w:pStyle w:val="BodyText"/>
        <w:tabs>
          <w:tab w:pos="348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法定代表人：庄重</w:t>
        <w:tab/>
        <w:t>主管会计工作负责人：于桂添</w:t>
        <w:tab/>
        <w:t>会计机构负责人：房新芬 </w:t>
      </w:r>
      <w:bookmarkStart w:name="4、母公司利润表" w:id="153"/>
      <w:bookmarkEnd w:id="15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4,010,655,165.80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3,087,493,354.35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3,428,269,867.17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2,637,869,137.68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25,838,546.96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30,059,684.59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37,509,437.37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31,002,091.43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85,752,873.04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78,051,815.07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11,952,402.67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9,802,472.02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72,064,107.38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43,179,980.33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73,872,983.88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51,715,484.42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6,753,680.51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9,990,457.83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117,172,611.32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60,721,185.54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2,498,086.14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3,062,091.62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12,154,111.85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1,937,324.05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7,585,359.56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2,487,883.69</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-12,147.24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246,758,003.88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201,794,256.12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171,471.16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526,008.74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7,057,952.89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3,878,907.42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239,871,522.15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198,441,357.44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78,354,829.55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39,846,577.69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161,516,692.60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158,594,779.75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161,516,692.60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158,594,779.75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161,516,692.60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158,594,779.75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5、合并现金流量表" w:id="154"/>
      <w:bookmarkEnd w:id="15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3,871,139,777.23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2,776,352,912.35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9,488,661.18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13,417,157.96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3,880,628,438.41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2,789,770,070.31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3,753,029,199.71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2,678,455,094.51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99,605,056.10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72,449,956.40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140,732,737.97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130,567,306.55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132,767,981.28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86,596,285.27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4,126,134,975.06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2,968,068,642.73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-245,506,536.65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-178,298,572.42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9,922,947.00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99,684,542.42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87,378.64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885,863,534.34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481,812,863.71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895,873,859.98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581,497,406.13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246,071,526.56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63,685,712.60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17,494,700.00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147,889,998.48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1,143,566,226.56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697,575,711.08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-247,692,366.58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-116,078,304.95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1,289,000,000.00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103,872,983.88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111,382,264.67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7,071,981.11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1,345,262,983.88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1,407,454,245.78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245,737,016.12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282,545,754.22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12,764.72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-247,449,122.39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-11,831,123.29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1,254,371,054.51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1,266,202,177.80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1,006,921,932.12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1,254,371,054.51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6、母公司现金流量表" w:id="155"/>
      <w:bookmarkEnd w:id="15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3,748,104,447.44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2,708,219,932.68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9,419,322.06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17,082,219.07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3,757,523,769.50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2,725,302,151.75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3,632,707,228.49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2,614,596,367.08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91,101,093.81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69,464,412.56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133,936,129.52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124,935,934.71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193,123,386.90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58,976,080.87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4,050,867,838.72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2,867,972,795.22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-293,344,069.22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-142,670,643.47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9,922,947.00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101,636,576.65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885,863,534.34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481,812,863.71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895,786,481.34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583,449,440.36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211,370,028.32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52,689,822.13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17,494,700.00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203,889,998.48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1,108,864,728.32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742,579,820.61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-213,078,246.98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-159,130,380.25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1,289,000,000.00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103,872,983.88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111,397,999.44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7,071,981.11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1,345,262,983.88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1,407,469,980.55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244,737,016.12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282,530,019.45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12,764.72</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-261,672,535.36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-19,271,004.27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1,245,247,908.99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1,264,518,913.26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983,575,373.63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1,245,247,908.99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7、合并所有者权益变动表" w:id="156"/>
      <w:bookmarkEnd w:id="15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82,96</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4,825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691,7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65,58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2,034</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832.2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82,96</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4,825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691,7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65,58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2,034</w:t>
            </w:r>
          </w:p>
          <w:p>
            <w:pPr>
              <w:pStyle w:val="TableParagraph"/>
              <w:spacing w:line="240" w:lineRule="auto" w:before="104"/>
              <w:ind w:left="185"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832.2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44.28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16,15</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120,9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39,07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1,620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5.46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44.28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167,0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90,74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-2,04</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1,620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7" w:right="0"/>
              <w:jc w:val="left"/>
              <w:rPr>
                <w:rFonts w:ascii="Times New Roman" w:hAnsi="Times New Roman" w:cs="Times New Roman" w:eastAsia="Times New Roman" w:hint="default"/>
                <w:sz w:val="18"/>
                <w:szCs w:val="18"/>
              </w:rPr>
            </w:pPr>
            <w:r>
              <w:rPr>
                <w:rFonts w:ascii="Times New Roman"/>
                <w:sz w:val="18"/>
              </w:rPr>
              <w:t>1,000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16,15</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-46,1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51,66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16,15</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51,66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019" w:header="917"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81,71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9,199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.36</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81,71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9,199</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.36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-81,7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9.36</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-81,7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9.36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66.27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99,11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6,494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812,7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04,65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9,750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5"/>
              <w:ind w:left="185" w:right="0"/>
              <w:jc w:val="left"/>
              <w:rPr>
                <w:rFonts w:ascii="Times New Roman" w:hAnsi="Times New Roman" w:cs="Times New Roman" w:eastAsia="Times New Roman" w:hint="default"/>
                <w:sz w:val="18"/>
                <w:szCs w:val="18"/>
              </w:rPr>
            </w:pPr>
            <w:r>
              <w:rPr>
                <w:rFonts w:ascii="Times New Roman"/>
                <w:sz w:val="18"/>
              </w:rPr>
              <w:t>,932,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607.7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960,6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-34,6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5,347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606,8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75,08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507,5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4"/>
              <w:ind w:left="193"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699.2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960,6</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-34,6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5,347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606,8</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75,08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507,5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4"/>
              <w:ind w:left="193"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699.2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3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35,84</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15,85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9,477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84,89</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0,501.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692.4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0,132</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.97</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1019" w:header="917" w:top="1100" w:bottom="1200" w:left="980" w:right="0"/>
          <w:pgNumType w:start="101"/>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35,84</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683.8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160,2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88,14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15,85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9,477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-75,8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7.98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15,85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9,477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7.98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62,43</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62,43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-62,4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31,96</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31,96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82,96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4,825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691,7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65,58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2,034</w:t>
            </w:r>
          </w:p>
          <w:p>
            <w:pPr>
              <w:pStyle w:val="TableParagraph"/>
              <w:spacing w:line="240" w:lineRule="auto" w:before="105"/>
              <w:ind w:left="185"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832.2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8、母公司所有者权益变动表" w:id="157"/>
      <w:bookmarkEnd w:id="15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4,003.3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82,964,</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825.54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686,6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98,41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2,030,3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17,239.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4,003.3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82,964,</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825.54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686,6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98,41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2,030,3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17,239.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16,151,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4" w:right="0"/>
              <w:jc w:val="left"/>
              <w:rPr>
                <w:rFonts w:ascii="Times New Roman" w:hAnsi="Times New Roman" w:cs="Times New Roman" w:eastAsia="Times New Roman" w:hint="default"/>
                <w:sz w:val="18"/>
                <w:szCs w:val="18"/>
              </w:rPr>
            </w:pPr>
            <w:r>
              <w:rPr>
                <w:rFonts w:ascii="Times New Roman"/>
                <w:sz w:val="18"/>
              </w:rPr>
              <w:t>115,3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131,51</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66"/>
              <w:jc w:val="left"/>
              <w:rPr>
                <w:rFonts w:ascii="宋体" w:hAnsi="宋体" w:cs="宋体" w:eastAsia="宋体" w:hint="default"/>
                <w:sz w:val="18"/>
                <w:szCs w:val="18"/>
              </w:rPr>
            </w:pP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669.26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65,02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6,692.6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161,5</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6,692.6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16,151,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669.26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-46,1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51,66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16,151,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669.26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51,66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9.26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79,014,</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577.66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79,014,</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577.66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-79,014</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,577.66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-79,014</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,577.66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4,003.3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99,116,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494.80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802,0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63,43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2,161,8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51"/>
        <w:ind w:right="10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960,65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4,003.3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67,105,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347.56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603,9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1,931,7</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22,459.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46"/>
              <w:jc w:val="righ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960,65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4,003.3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67,105,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347.56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603,9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1,931,7</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22,459.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477.98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82,73</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5,301.</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98,594,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779.75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158,5</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94,77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4,779.7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6"/>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477.98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-75,8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15,859,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477.98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60,719,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821.23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60,719,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821.23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-60,719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,821.23</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-60,719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,821.23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660,65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4,003.3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82,964,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825.54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18"/>
                <w:szCs w:val="18"/>
              </w:rPr>
            </w:pPr>
            <w:r>
              <w:rPr>
                <w:rFonts w:ascii="Times New Roman"/>
                <w:sz w:val="18"/>
              </w:rPr>
              <w:t>686,6</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98,41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2,030,3</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17,239.</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0.87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8" w:right="0"/>
              <w:jc w:val="left"/>
              <w:rPr>
                <w:rFonts w:ascii="Times New Roman" w:hAnsi="Times New Roman" w:cs="Times New Roman" w:eastAsia="Times New Roman" w:hint="default"/>
                <w:sz w:val="18"/>
                <w:szCs w:val="18"/>
              </w:rPr>
            </w:pPr>
            <w:r>
              <w:rPr>
                <w:rFonts w:ascii="Times New Roman"/>
                <w:sz w:val="18"/>
              </w:rPr>
              <w:t>74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58"/>
      <w:bookmarkEnd w:id="158"/>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深圳市中装建设集团股份有限公司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前身深圳市福腾设计装饰公司</w:t>
      </w:r>
      <w:r>
        <w:rPr>
          <w:rFonts w:ascii="宋体" w:hAnsi="宋体" w:cs="宋体" w:eastAsia="宋体" w:hint="default"/>
          <w:spacing w:val="-2"/>
        </w:rPr>
        <w:t>(</w:t>
      </w:r>
      <w:r>
        <w:rPr>
          <w:spacing w:val="-2"/>
        </w:rPr>
        <w:t>以下简称福腾装饰</w:t>
      </w:r>
      <w:r>
        <w:rPr>
          <w:rFonts w:ascii="宋体" w:hAnsi="宋体" w:cs="宋体" w:eastAsia="宋体" w:hint="default"/>
          <w:spacing w:val="-2"/>
        </w:rPr>
        <w:t>)</w:t>
      </w:r>
      <w:r>
        <w:rPr>
          <w:spacing w:val="-2"/>
        </w:rPr>
        <w:t>，于</w:t>
      </w:r>
      <w:r>
        <w:rPr>
          <w:rFonts w:ascii="宋体" w:hAnsi="宋体" w:cs="宋体" w:eastAsia="宋体" w:hint="default"/>
          <w:spacing w:val="-2"/>
        </w:rPr>
        <w:t>1994</w:t>
      </w:r>
      <w:r>
        <w:rPr>
          <w:rFonts w:ascii="宋体" w:hAnsi="宋体" w:cs="宋体" w:eastAsia="宋体" w:hint="default"/>
        </w:rPr>
        <w:t> </w:t>
      </w:r>
      <w:r>
        <w:rPr/>
        <w:t>年</w:t>
      </w:r>
      <w:r>
        <w:rPr>
          <w:rFonts w:ascii="宋体" w:hAnsi="宋体" w:cs="宋体" w:eastAsia="宋体" w:hint="default"/>
        </w:rPr>
        <w:t>4</w:t>
      </w:r>
      <w:r>
        <w:rPr/>
        <w:t>月</w:t>
      </w:r>
      <w:r>
        <w:rPr>
          <w:rFonts w:ascii="宋体" w:hAnsi="宋体" w:cs="宋体" w:eastAsia="宋体" w:hint="default"/>
        </w:rPr>
        <w:t>29</w:t>
      </w:r>
      <w:r>
        <w:rPr/>
        <w:t>日经深圳市工商行政管理局批准，由深圳民富实业发展公司</w:t>
      </w:r>
      <w:r>
        <w:rPr>
          <w:rFonts w:ascii="宋体" w:hAnsi="宋体" w:cs="宋体" w:eastAsia="宋体" w:hint="default"/>
        </w:rPr>
        <w:t>(</w:t>
      </w:r>
      <w:r>
        <w:rPr/>
        <w:t>以下简称民富实业</w:t>
      </w:r>
      <w:r>
        <w:rPr>
          <w:rFonts w:ascii="宋体" w:hAnsi="宋体" w:cs="宋体" w:eastAsia="宋体" w:hint="default"/>
        </w:rPr>
        <w:t>)</w:t>
      </w:r>
      <w:r>
        <w:rPr/>
        <w:t>出资组建的企业，</w:t>
      </w:r>
      <w:r>
        <w:rPr>
          <w:rFonts w:ascii="宋体" w:hAnsi="宋体" w:cs="宋体" w:eastAsia="宋体" w:hint="default"/>
        </w:rPr>
        <w:t>2001</w:t>
      </w:r>
      <w:r>
        <w:rPr/>
        <w:t>年</w:t>
      </w:r>
      <w:r>
        <w:rPr>
          <w:rFonts w:ascii="宋体" w:hAnsi="宋体" w:cs="宋体" w:eastAsia="宋体" w:hint="default"/>
        </w:rPr>
        <w:t>6</w:t>
      </w:r>
      <w:r>
        <w:rPr/>
        <w:t>月</w:t>
      </w:r>
      <w:r>
        <w:rPr>
          <w:rFonts w:ascii="宋体" w:hAnsi="宋体" w:cs="宋体" w:eastAsia="宋体" w:hint="default"/>
        </w:rPr>
        <w:t>21</w:t>
      </w:r>
      <w:r>
        <w:rPr/>
        <w:t>日， </w:t>
      </w:r>
      <w:r>
        <w:rPr>
          <w:spacing w:val="-2"/>
        </w:rPr>
        <w:t>福腾装饰更名为深圳市中装设计装饰工程有限公司</w:t>
      </w:r>
      <w:r>
        <w:rPr>
          <w:rFonts w:ascii="宋体" w:hAnsi="宋体" w:cs="宋体" w:eastAsia="宋体" w:hint="default"/>
          <w:spacing w:val="-2"/>
        </w:rPr>
        <w:t>(</w:t>
      </w:r>
      <w:r>
        <w:rPr>
          <w:spacing w:val="-2"/>
        </w:rPr>
        <w:t>以下简称为中装有限</w:t>
      </w:r>
      <w:r>
        <w:rPr>
          <w:rFonts w:ascii="宋体" w:hAnsi="宋体" w:cs="宋体" w:eastAsia="宋体" w:hint="default"/>
          <w:spacing w:val="-2"/>
        </w:rPr>
        <w:t>)</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26</w:t>
      </w:r>
      <w:r>
        <w:rPr>
          <w:spacing w:val="-2"/>
        </w:rPr>
        <w:t>日，中装有限以</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日为基</w:t>
      </w:r>
      <w:r>
        <w:rPr>
          <w:spacing w:val="-48"/>
        </w:rPr>
        <w:t> </w:t>
      </w:r>
      <w:r>
        <w:rPr/>
        <w:t>准日整体变更为股份有限公司，于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16</w:t>
      </w:r>
      <w:r>
        <w:rPr/>
        <w:t>日在深圳市市场监督管理局办妥相关变更登记手续，同时本公司名称变更为</w:t>
      </w:r>
      <w:r>
        <w:rPr>
          <w:spacing w:val="-83"/>
        </w:rPr>
        <w:t> </w:t>
      </w:r>
      <w:r>
        <w:rPr>
          <w:spacing w:val="-83"/>
        </w:rPr>
      </w:r>
      <w:r>
        <w:rPr/>
        <w:t>深圳市中装建设集团股份有限公司。</w:t>
      </w:r>
    </w:p>
    <w:p>
      <w:pPr>
        <w:pStyle w:val="BodyText"/>
        <w:spacing w:line="316" w:lineRule="auto" w:before="139"/>
        <w:ind w:right="1116" w:firstLine="360"/>
        <w:jc w:val="left"/>
      </w:pP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4</w:t>
      </w:r>
      <w:r>
        <w:rPr>
          <w:rFonts w:ascii="宋体" w:hAnsi="宋体" w:cs="宋体" w:eastAsia="宋体" w:hint="default"/>
          <w:spacing w:val="6"/>
        </w:rPr>
        <w:t> </w:t>
      </w:r>
      <w:r>
        <w:rPr/>
        <w:t>日，经中国证券监督管理委员会证监许可</w:t>
      </w:r>
      <w:r>
        <w:rPr>
          <w:rFonts w:ascii="宋体" w:hAnsi="宋体" w:cs="宋体" w:eastAsia="宋体" w:hint="default"/>
        </w:rPr>
        <w:t>[2016]2351</w:t>
      </w:r>
      <w:r>
        <w:rPr/>
        <w:t>号文的核准，公司首次公开发行</w:t>
      </w:r>
      <w:r>
        <w:rPr>
          <w:rFonts w:ascii="宋体" w:hAnsi="宋体" w:cs="宋体" w:eastAsia="宋体" w:hint="default"/>
        </w:rPr>
        <w:t>7,500</w:t>
      </w:r>
      <w:r>
        <w:rPr/>
        <w:t>万股人民币普 通股股票，</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29</w:t>
      </w:r>
      <w:r>
        <w:rPr/>
        <w:t>日，公司股票在深圳证券交易所挂牌交易。</w:t>
      </w:r>
    </w:p>
    <w:p>
      <w:pPr>
        <w:pStyle w:val="BodyText"/>
        <w:spacing w:line="316" w:lineRule="auto" w:before="139"/>
        <w:ind w:right="1130"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日，根据股东大会决议，公司以</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日股份总数</w:t>
      </w:r>
      <w:r>
        <w:rPr>
          <w:rFonts w:ascii="宋体" w:hAnsi="宋体" w:cs="宋体" w:eastAsia="宋体" w:hint="default"/>
          <w:spacing w:val="-2"/>
        </w:rPr>
        <w:t>30,000.00</w:t>
      </w:r>
      <w:r>
        <w:rPr>
          <w:spacing w:val="-2"/>
        </w:rPr>
        <w:t>万股为基数，以资本公积金向每位股东</w:t>
      </w:r>
      <w:r>
        <w:rPr/>
        <w:t> 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30,000.00</w:t>
      </w:r>
      <w:r>
        <w:rPr/>
        <w:t>万股，变更后的注册资本为</w:t>
      </w:r>
      <w:r>
        <w:rPr>
          <w:rFonts w:ascii="宋体" w:hAnsi="宋体" w:cs="宋体" w:eastAsia="宋体" w:hint="default"/>
        </w:rPr>
        <w:t>60,000.00</w:t>
      </w:r>
      <w:r>
        <w:rPr/>
        <w:t>万元，公司已于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30</w:t>
      </w:r>
      <w:r>
        <w:rPr/>
        <w:t>日办理完工商变更</w:t>
      </w:r>
      <w:r>
        <w:rPr>
          <w:spacing w:val="-84"/>
        </w:rPr>
        <w:t> </w:t>
      </w:r>
      <w:r>
        <w:rPr>
          <w:spacing w:val="-84"/>
        </w:rPr>
      </w:r>
      <w:r>
        <w:rPr/>
        <w:t>登记手续。</w:t>
      </w:r>
    </w:p>
    <w:p>
      <w:pPr>
        <w:pStyle w:val="BodyText"/>
        <w:spacing w:line="439" w:lineRule="auto" w:before="139"/>
        <w:ind w:left="514" w:right="4272"/>
        <w:jc w:val="left"/>
      </w:pPr>
      <w:r>
        <w:rPr>
          <w:spacing w:val="-3"/>
        </w:rPr>
        <w:t>公司现有注册资本</w:t>
      </w:r>
      <w:r>
        <w:rPr>
          <w:rFonts w:ascii="宋体" w:hAnsi="宋体" w:cs="宋体" w:eastAsia="宋体" w:hint="default"/>
          <w:spacing w:val="-3"/>
        </w:rPr>
        <w:t>60,000</w:t>
      </w:r>
      <w:r>
        <w:rPr>
          <w:spacing w:val="-3"/>
        </w:rPr>
        <w:t>万元，股份总额</w:t>
      </w:r>
      <w:r>
        <w:rPr>
          <w:rFonts w:ascii="宋体" w:hAnsi="宋体" w:cs="宋体" w:eastAsia="宋体" w:hint="default"/>
          <w:spacing w:val="-3"/>
        </w:rPr>
        <w:t>60,000</w:t>
      </w:r>
      <w:r>
        <w:rPr>
          <w:spacing w:val="-3"/>
        </w:rPr>
        <w:t>万股（每股面值</w:t>
      </w:r>
      <w:r>
        <w:rPr>
          <w:rFonts w:ascii="宋体" w:hAnsi="宋体" w:cs="宋体" w:eastAsia="宋体" w:hint="default"/>
          <w:spacing w:val="-3"/>
        </w:rPr>
        <w:t>1</w:t>
      </w:r>
      <w:r>
        <w:rPr>
          <w:spacing w:val="-3"/>
        </w:rPr>
        <w:t>元）。</w:t>
      </w:r>
      <w:r>
        <w:rPr>
          <w:spacing w:val="-66"/>
        </w:rPr>
        <w:t> </w:t>
      </w:r>
      <w:r>
        <w:rPr>
          <w:spacing w:val="-66"/>
        </w:rPr>
      </w:r>
      <w:r>
        <w:rPr/>
        <w:t>注册地址：深圳市罗湖区深南东路</w:t>
      </w:r>
      <w:r>
        <w:rPr>
          <w:rFonts w:ascii="宋体" w:hAnsi="宋体" w:cs="宋体" w:eastAsia="宋体" w:hint="default"/>
        </w:rPr>
        <w:t>4002</w:t>
      </w:r>
      <w:r>
        <w:rPr/>
        <w:t>号鸿隆世纪广场四—五层</w:t>
      </w:r>
      <w:r>
        <w:rPr>
          <w:rFonts w:ascii="宋体" w:hAnsi="宋体" w:cs="宋体" w:eastAsia="宋体" w:hint="default"/>
        </w:rPr>
        <w:t>(</w:t>
      </w:r>
      <w:r>
        <w:rPr/>
        <w:t>仅限办公</w:t>
      </w:r>
      <w:r>
        <w:rPr>
          <w:rFonts w:ascii="宋体" w:hAnsi="宋体" w:cs="宋体" w:eastAsia="宋体" w:hint="default"/>
        </w:rPr>
        <w:t>)</w:t>
      </w:r>
      <w:r>
        <w:rPr/>
        <w:t>。 公司所处行业：建筑装饰业。</w:t>
      </w:r>
    </w:p>
    <w:p>
      <w:pPr>
        <w:pStyle w:val="BodyText"/>
        <w:spacing w:line="316" w:lineRule="auto" w:before="47"/>
        <w:ind w:right="1122" w:firstLine="360"/>
        <w:jc w:val="left"/>
      </w:pPr>
      <w:r>
        <w:rPr/>
        <w:t>经营范围：建筑装修装饰工程专业承包壹级</w:t>
      </w:r>
      <w:r>
        <w:rPr>
          <w:rFonts w:ascii="宋体" w:hAnsi="宋体" w:cs="宋体" w:eastAsia="宋体" w:hint="default"/>
        </w:rPr>
        <w:t>;</w:t>
      </w:r>
      <w:r>
        <w:rPr/>
        <w:t>电子与智能化工程专业承包壹级</w:t>
      </w:r>
      <w:r>
        <w:rPr>
          <w:rFonts w:ascii="宋体" w:hAnsi="宋体" w:cs="宋体" w:eastAsia="宋体" w:hint="default"/>
        </w:rPr>
        <w:t>;</w:t>
      </w:r>
      <w:r>
        <w:rPr/>
        <w:t>建筑机电安装工程专业承包壹级</w:t>
      </w:r>
      <w:r>
        <w:rPr>
          <w:rFonts w:ascii="宋体" w:hAnsi="宋体" w:cs="宋体" w:eastAsia="宋体" w:hint="default"/>
        </w:rPr>
        <w:t>;</w:t>
      </w:r>
      <w:r>
        <w:rPr/>
        <w:t>建筑幕 墙工程专业承包壹级</w:t>
      </w:r>
      <w:r>
        <w:rPr>
          <w:rFonts w:ascii="宋体" w:hAnsi="宋体" w:cs="宋体" w:eastAsia="宋体" w:hint="default"/>
        </w:rPr>
        <w:t>;</w:t>
      </w:r>
      <w:r>
        <w:rPr/>
        <w:t>防水防腐保温工程专业承包壹级</w:t>
      </w:r>
      <w:r>
        <w:rPr>
          <w:rFonts w:ascii="宋体" w:hAnsi="宋体" w:cs="宋体" w:eastAsia="宋体" w:hint="default"/>
        </w:rPr>
        <w:t>(</w:t>
      </w:r>
      <w:r>
        <w:rPr/>
        <w:t>以上均按建设部</w:t>
      </w:r>
      <w:r>
        <w:rPr>
          <w:rFonts w:ascii="宋体" w:hAnsi="宋体" w:cs="宋体" w:eastAsia="宋体" w:hint="default"/>
        </w:rPr>
        <w:t>D244023230</w:t>
      </w:r>
      <w:r>
        <w:rPr/>
        <w:t>号建筑业企业资质证书经营</w:t>
      </w:r>
      <w:r>
        <w:rPr>
          <w:rFonts w:ascii="宋体" w:hAnsi="宋体" w:cs="宋体" w:eastAsia="宋体" w:hint="default"/>
        </w:rPr>
        <w:t>);</w:t>
      </w:r>
      <w:r>
        <w:rPr/>
        <w:t>消防设施 工程专业承包贰级、建筑工程施工总承包叁级</w:t>
      </w:r>
      <w:r>
        <w:rPr>
          <w:rFonts w:ascii="宋体" w:hAnsi="宋体" w:cs="宋体" w:eastAsia="宋体" w:hint="default"/>
        </w:rPr>
        <w:t>(</w:t>
      </w:r>
      <w:r>
        <w:rPr/>
        <w:t>凭建设部</w:t>
      </w:r>
      <w:r>
        <w:rPr>
          <w:rFonts w:ascii="宋体" w:hAnsi="宋体" w:cs="宋体" w:eastAsia="宋体" w:hint="default"/>
        </w:rPr>
        <w:t>D344045053</w:t>
      </w:r>
      <w:r>
        <w:rPr/>
        <w:t>号建筑业企业资质证书经营</w:t>
      </w:r>
      <w:r>
        <w:rPr>
          <w:rFonts w:ascii="宋体" w:hAnsi="宋体" w:cs="宋体" w:eastAsia="宋体" w:hint="default"/>
        </w:rPr>
        <w:t>);</w:t>
      </w:r>
      <w:r>
        <w:rPr/>
        <w:t>安全技术防范系统设计、 </w:t>
      </w:r>
      <w:r>
        <w:rPr>
          <w:spacing w:val="-2"/>
        </w:rPr>
        <w:t>施工、维修贰级</w:t>
      </w:r>
      <w:r>
        <w:rPr>
          <w:rFonts w:ascii="宋体" w:hAnsi="宋体" w:cs="宋体" w:eastAsia="宋体" w:hint="default"/>
          <w:spacing w:val="-2"/>
        </w:rPr>
        <w:t>(</w:t>
      </w:r>
      <w:r>
        <w:rPr>
          <w:spacing w:val="-2"/>
        </w:rPr>
        <w:t>凭广东省公安厅粤</w:t>
      </w:r>
      <w:r>
        <w:rPr>
          <w:rFonts w:ascii="宋体" w:hAnsi="宋体" w:cs="宋体" w:eastAsia="宋体" w:hint="default"/>
          <w:spacing w:val="-2"/>
        </w:rPr>
        <w:t>GB765</w:t>
      </w:r>
      <w:r>
        <w:rPr>
          <w:spacing w:val="-2"/>
        </w:rPr>
        <w:t>号广东省安全技术防范系统设计、施工、维修资格证经营</w:t>
      </w:r>
      <w:r>
        <w:rPr>
          <w:rFonts w:ascii="宋体" w:hAnsi="宋体" w:cs="宋体" w:eastAsia="宋体" w:hint="default"/>
          <w:spacing w:val="-2"/>
        </w:rPr>
        <w:t>);</w:t>
      </w:r>
      <w:r>
        <w:rPr>
          <w:spacing w:val="-2"/>
        </w:rPr>
        <w:t>建筑装饰工程设计专项</w:t>
      </w:r>
      <w:r>
        <w:rPr>
          <w:spacing w:val="-58"/>
        </w:rPr>
        <w:t> </w:t>
      </w:r>
      <w:r>
        <w:rPr/>
        <w:t>甲级</w:t>
      </w:r>
      <w:r>
        <w:rPr>
          <w:rFonts w:ascii="宋体" w:hAnsi="宋体" w:cs="宋体" w:eastAsia="宋体" w:hint="default"/>
        </w:rPr>
        <w:t>(</w:t>
      </w:r>
      <w:r>
        <w:rPr/>
        <w:t>凭建设部</w:t>
      </w:r>
      <w:r>
        <w:rPr>
          <w:rFonts w:ascii="宋体" w:hAnsi="宋体" w:cs="宋体" w:eastAsia="宋体" w:hint="default"/>
        </w:rPr>
        <w:t>A144002493</w:t>
      </w:r>
      <w:r>
        <w:rPr/>
        <w:t>工程设计资质证书经营</w:t>
      </w:r>
      <w:r>
        <w:rPr>
          <w:rFonts w:ascii="宋体" w:hAnsi="宋体" w:cs="宋体" w:eastAsia="宋体" w:hint="default"/>
        </w:rPr>
        <w:t>);</w:t>
      </w:r>
      <w:r>
        <w:rPr/>
        <w:t>建筑智能化系统设计专项乙级</w:t>
      </w:r>
      <w:r>
        <w:rPr>
          <w:rFonts w:ascii="宋体" w:hAnsi="宋体" w:cs="宋体" w:eastAsia="宋体" w:hint="default"/>
        </w:rPr>
        <w:t>;</w:t>
      </w:r>
      <w:r>
        <w:rPr/>
        <w:t>建筑幕墙工程设计专项乙级</w:t>
      </w:r>
      <w:r>
        <w:rPr>
          <w:rFonts w:ascii="宋体" w:hAnsi="宋体" w:cs="宋体" w:eastAsia="宋体" w:hint="default"/>
        </w:rPr>
        <w:t>;</w:t>
      </w:r>
      <w:r>
        <w:rPr/>
        <w:t>消防设施工 程设计专项乙级</w:t>
      </w:r>
      <w:r>
        <w:rPr>
          <w:rFonts w:ascii="宋体" w:hAnsi="宋体" w:cs="宋体" w:eastAsia="宋体" w:hint="default"/>
        </w:rPr>
        <w:t>(</w:t>
      </w:r>
      <w:r>
        <w:rPr/>
        <w:t>以上均按建设部</w:t>
      </w:r>
      <w:r>
        <w:rPr>
          <w:rFonts w:ascii="宋体" w:hAnsi="宋体" w:cs="宋体" w:eastAsia="宋体" w:hint="default"/>
        </w:rPr>
        <w:t>A244002490</w:t>
      </w:r>
      <w:r>
        <w:rPr/>
        <w:t>工程设计资质证书经营</w:t>
      </w:r>
      <w:r>
        <w:rPr>
          <w:rFonts w:ascii="宋体" w:hAnsi="宋体" w:cs="宋体" w:eastAsia="宋体" w:hint="default"/>
        </w:rPr>
        <w:t>);</w:t>
      </w:r>
      <w:r>
        <w:rPr/>
        <w:t>音、视频工程企业资质特级</w:t>
      </w:r>
      <w:r>
        <w:rPr>
          <w:rFonts w:ascii="宋体" w:hAnsi="宋体" w:cs="宋体" w:eastAsia="宋体" w:hint="default"/>
        </w:rPr>
        <w:t>(</w:t>
      </w:r>
      <w:r>
        <w:rPr/>
        <w:t>凭中国录音师协会 </w:t>
      </w:r>
      <w:r>
        <w:rPr>
          <w:rFonts w:ascii="宋体" w:hAnsi="宋体" w:cs="宋体" w:eastAsia="宋体" w:hint="default"/>
        </w:rPr>
        <w:t>NO.A074041</w:t>
      </w:r>
      <w:r>
        <w:rPr/>
        <w:t>资质证书经营</w:t>
      </w:r>
      <w:r>
        <w:rPr>
          <w:rFonts w:ascii="宋体" w:hAnsi="宋体" w:cs="宋体" w:eastAsia="宋体" w:hint="default"/>
        </w:rPr>
        <w:t>);</w:t>
      </w:r>
      <w:r>
        <w:rPr/>
        <w:t>净化工程叁级</w:t>
      </w:r>
      <w:r>
        <w:rPr>
          <w:rFonts w:ascii="宋体" w:hAnsi="宋体" w:cs="宋体" w:eastAsia="宋体" w:hint="default"/>
        </w:rPr>
        <w:t>(</w:t>
      </w:r>
      <w:r>
        <w:rPr/>
        <w:t>凭洁净行业协会</w:t>
      </w:r>
      <w:r>
        <w:rPr>
          <w:rFonts w:ascii="宋体" w:hAnsi="宋体" w:cs="宋体" w:eastAsia="宋体" w:hint="default"/>
        </w:rPr>
        <w:t>SZCA1128</w:t>
      </w:r>
      <w:r>
        <w:rPr/>
        <w:t>号资质证书经营</w:t>
      </w:r>
      <w:r>
        <w:rPr>
          <w:rFonts w:ascii="宋体" w:hAnsi="宋体" w:cs="宋体" w:eastAsia="宋体" w:hint="default"/>
        </w:rPr>
        <w:t>);</w:t>
      </w:r>
      <w:r>
        <w:rPr/>
        <w:t>展览陈列工程设计与施工一体化一级 </w:t>
      </w:r>
      <w:r>
        <w:rPr>
          <w:rFonts w:ascii="宋体" w:hAnsi="宋体" w:cs="宋体" w:eastAsia="宋体" w:hint="default"/>
        </w:rPr>
        <w:t>(</w:t>
      </w:r>
      <w:r>
        <w:rPr/>
        <w:t>凭中国展览馆协会</w:t>
      </w:r>
      <w:r>
        <w:rPr>
          <w:rFonts w:ascii="宋体" w:hAnsi="宋体" w:cs="宋体" w:eastAsia="宋体" w:hint="default"/>
        </w:rPr>
        <w:t>C20171457</w:t>
      </w:r>
      <w:r>
        <w:rPr/>
        <w:t>资质证书经营</w:t>
      </w:r>
      <w:r>
        <w:rPr>
          <w:rFonts w:ascii="宋体" w:hAnsi="宋体" w:cs="宋体" w:eastAsia="宋体" w:hint="default"/>
        </w:rPr>
        <w:t>);</w:t>
      </w:r>
      <w:r>
        <w:rPr/>
        <w:t>承装类、承修类电力设施许可证肆级</w:t>
      </w:r>
      <w:r>
        <w:rPr>
          <w:rFonts w:ascii="宋体" w:hAnsi="宋体" w:cs="宋体" w:eastAsia="宋体" w:hint="default"/>
        </w:rPr>
        <w:t>(</w:t>
      </w:r>
      <w:r>
        <w:rPr/>
        <w:t>凭国家能源局南方监管局</w:t>
      </w:r>
    </w:p>
    <w:p>
      <w:pPr>
        <w:pStyle w:val="BodyText"/>
        <w:spacing w:line="300" w:lineRule="auto" w:before="19"/>
        <w:ind w:right="1184"/>
        <w:jc w:val="both"/>
      </w:pPr>
      <w:r>
        <w:rPr>
          <w:rFonts w:ascii="宋体" w:hAnsi="宋体" w:cs="宋体" w:eastAsia="宋体" w:hint="default"/>
        </w:rPr>
        <w:t>6-1-00265-2017</w:t>
      </w:r>
      <w:r>
        <w:rPr/>
        <w:t>资质证书经营</w:t>
      </w:r>
      <w:r>
        <w:rPr>
          <w:rFonts w:ascii="宋体" w:hAnsi="宋体" w:cs="宋体" w:eastAsia="宋体" w:hint="default"/>
        </w:rPr>
        <w:t>);</w:t>
      </w:r>
      <w:r>
        <w:rPr/>
        <w:t>园林绿化、灯光音响、舞台设备安装</w:t>
      </w:r>
      <w:r>
        <w:rPr>
          <w:rFonts w:ascii="Times New Roman" w:hAnsi="Times New Roman" w:cs="Times New Roman" w:eastAsia="Times New Roman" w:hint="default"/>
        </w:rPr>
        <w:t>,</w:t>
      </w:r>
      <w:r>
        <w:rPr/>
        <w:t>建筑智能化产品的技术开发</w:t>
      </w:r>
      <w:r>
        <w:rPr>
          <w:rFonts w:ascii="宋体" w:hAnsi="宋体" w:cs="宋体" w:eastAsia="宋体" w:hint="default"/>
        </w:rPr>
        <w:t>;</w:t>
      </w:r>
      <w:r>
        <w:rPr/>
        <w:t>国内贸易</w:t>
      </w:r>
      <w:r>
        <w:rPr>
          <w:rFonts w:ascii="宋体" w:hAnsi="宋体" w:cs="宋体" w:eastAsia="宋体" w:hint="default"/>
        </w:rPr>
        <w:t>(</w:t>
      </w:r>
      <w:r>
        <w:rPr/>
        <w:t>不含专营、专 卖、专控商品</w:t>
      </w:r>
      <w:r>
        <w:rPr>
          <w:rFonts w:ascii="宋体" w:hAnsi="宋体" w:cs="宋体" w:eastAsia="宋体" w:hint="default"/>
        </w:rPr>
        <w:t>);</w:t>
      </w:r>
      <w:r>
        <w:rPr/>
        <w:t>经营进出口业务</w:t>
      </w:r>
      <w:r>
        <w:rPr>
          <w:rFonts w:ascii="宋体" w:hAnsi="宋体" w:cs="宋体" w:eastAsia="宋体" w:hint="default"/>
        </w:rPr>
        <w:t>(</w:t>
      </w:r>
      <w:r>
        <w:rPr/>
        <w:t>法律、行政法规、国务院决定禁止的项目除外</w:t>
      </w:r>
      <w:r>
        <w:rPr>
          <w:rFonts w:ascii="Times New Roman" w:hAnsi="Times New Roman" w:cs="Times New Roman" w:eastAsia="Times New Roman" w:hint="default"/>
        </w:rPr>
        <w:t>,</w:t>
      </w:r>
      <w:r>
        <w:rPr/>
        <w:t>限制的项目须取得许可后方可经营</w:t>
      </w:r>
      <w:r>
        <w:rPr>
          <w:rFonts w:ascii="宋体" w:hAnsi="宋体" w:cs="宋体" w:eastAsia="宋体" w:hint="default"/>
        </w:rPr>
        <w:t>)</w:t>
      </w:r>
      <w:r>
        <w:rPr/>
        <w:t>。医疗 器械销售、维修及售后服务。</w:t>
      </w:r>
    </w:p>
    <w:p>
      <w:pPr>
        <w:pStyle w:val="BodyText"/>
        <w:spacing w:line="240" w:lineRule="auto" w:before="151"/>
        <w:ind w:left="514" w:right="1032"/>
        <w:jc w:val="left"/>
      </w:pPr>
      <w:r>
        <w:rPr/>
        <w:t>本财务报表由本公司董事会于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日批准报出。</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四、财务报表的编制基础" w:id="159"/>
      <w:bookmarkEnd w:id="15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0"/>
      <w:bookmarkEnd w:id="16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持续经营" w:id="161"/>
      <w:bookmarkEnd w:id="16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t>本公司不存在导致对报告期末起</w:t>
      </w:r>
      <w:r>
        <w:rPr>
          <w:rFonts w:ascii="宋体" w:hAnsi="宋体" w:cs="宋体" w:eastAsia="宋体" w:hint="default"/>
        </w:rPr>
        <w:t>12</w:t>
      </w:r>
      <w:r>
        <w:rPr/>
        <w:t>个月内的持续经营假设产生重大疑虑的事项或情况。</w:t>
      </w:r>
    </w:p>
    <w:p>
      <w:pPr>
        <w:spacing w:after="0" w:line="24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26"/>
        <w:ind w:right="1032"/>
        <w:jc w:val="left"/>
        <w:rPr>
          <w:b w:val="0"/>
          <w:bCs w:val="0"/>
        </w:rPr>
      </w:pPr>
      <w:bookmarkStart w:name="五、重要会计政策及会计估计" w:id="162"/>
      <w:bookmarkEnd w:id="162"/>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1032"/>
        <w:jc w:val="left"/>
      </w:pPr>
      <w:r>
        <w:rPr/>
        <w:t>装修装饰业</w:t>
      </w:r>
    </w:p>
    <w:p>
      <w:pPr>
        <w:pStyle w:val="BodyText"/>
        <w:spacing w:line="338" w:lineRule="auto" w:before="116"/>
        <w:ind w:right="2113"/>
        <w:jc w:val="left"/>
      </w:pPr>
      <w:r>
        <w:rPr/>
        <w:t>公司需遵守《深圳证券交易所行业信息披露指引第</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号——上市公司从事固体矿产资源相关业务》的披露要求 具体会计政策和会计估计提示：无</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1、遵循企业会计准则的声明" w:id="163"/>
      <w:bookmarkEnd w:id="16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本公司基于上述编制基础编制的财务报表符合财政部已颁布的最新企业会计准则及其应用指南、解释以及其他相关规定</w:t>
      </w:r>
      <w:r>
        <w:rPr/>
        <w:t> </w:t>
      </w:r>
      <w:r>
        <w:rPr>
          <w:rFonts w:ascii="宋体" w:hAnsi="宋体" w:cs="宋体" w:eastAsia="宋体" w:hint="default"/>
        </w:rPr>
        <w:t>(</w:t>
      </w:r>
      <w:r>
        <w:rPr/>
        <w:t>统称“企业会计准则”</w:t>
      </w:r>
      <w:r>
        <w:rPr>
          <w:rFonts w:ascii="宋体" w:hAnsi="宋体" w:cs="宋体" w:eastAsia="宋体" w:hint="default"/>
        </w:rPr>
        <w:t>)</w:t>
      </w:r>
      <w:r>
        <w:rPr/>
        <w:t>的要求，真实完整地反映了公司的财务状况、经营成果和现金流量等有关信息。</w:t>
      </w:r>
    </w:p>
    <w:p>
      <w:pPr>
        <w:pStyle w:val="BodyText"/>
        <w:spacing w:line="316" w:lineRule="auto" w:before="139"/>
        <w:ind w:right="1129" w:firstLine="360"/>
        <w:jc w:val="both"/>
      </w:pPr>
      <w:r>
        <w:rPr/>
        <w:t>此外，本财务报表参照了《公开发行证券的公司信息披露编报规则第 </w:t>
      </w:r>
      <w:r>
        <w:rPr>
          <w:rFonts w:ascii="宋体" w:hAnsi="宋体" w:cs="宋体" w:eastAsia="宋体" w:hint="default"/>
        </w:rPr>
        <w:t>15 </w:t>
      </w:r>
      <w:r>
        <w:rPr/>
        <w:t>号</w:t>
      </w:r>
      <w:r>
        <w:rPr>
          <w:rFonts w:ascii="宋体" w:hAnsi="宋体" w:cs="宋体" w:eastAsia="宋体" w:hint="default"/>
        </w:rPr>
        <w:t>-</w:t>
      </w:r>
      <w:r>
        <w:rPr/>
        <w:t>财务报告的一般规定》</w:t>
      </w:r>
      <w:r>
        <w:rPr>
          <w:rFonts w:ascii="宋体" w:hAnsi="宋体" w:cs="宋体" w:eastAsia="宋体" w:hint="default"/>
        </w:rPr>
        <w:t>(2014</w:t>
      </w:r>
      <w:r>
        <w:rPr>
          <w:rFonts w:ascii="宋体" w:hAnsi="宋体" w:cs="宋体" w:eastAsia="宋体" w:hint="default"/>
          <w:spacing w:val="8"/>
        </w:rPr>
        <w:t> </w:t>
      </w:r>
      <w:r>
        <w:rPr/>
        <w:t>年修订</w:t>
      </w:r>
      <w:r>
        <w:rPr>
          <w:rFonts w:ascii="宋体" w:hAnsi="宋体" w:cs="宋体" w:eastAsia="宋体" w:hint="default"/>
        </w:rPr>
        <w:t>)(</w:t>
      </w:r>
      <w:r>
        <w:rPr/>
        <w:t>以 下简称“第 </w:t>
      </w:r>
      <w:r>
        <w:rPr>
          <w:rFonts w:ascii="宋体" w:hAnsi="宋体" w:cs="宋体" w:eastAsia="宋体" w:hint="default"/>
        </w:rPr>
        <w:t>15 </w:t>
      </w:r>
      <w:r>
        <w:rPr/>
        <w:t>号文</w:t>
      </w:r>
      <w:r>
        <w:rPr>
          <w:rFonts w:ascii="宋体" w:hAnsi="宋体" w:cs="宋体" w:eastAsia="宋体" w:hint="default"/>
        </w:rPr>
        <w:t>(2014</w:t>
      </w:r>
      <w:r>
        <w:rPr>
          <w:rFonts w:ascii="宋体" w:hAnsi="宋体" w:cs="宋体" w:eastAsia="宋体" w:hint="default"/>
          <w:spacing w:val="3"/>
        </w:rPr>
        <w:t> </w:t>
      </w:r>
      <w:r>
        <w:rPr>
          <w:spacing w:val="-2"/>
        </w:rPr>
        <w:t>年修订</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的列报和披露要求。以及《关于上市公司执行新企业会计准则有关事项的通知》（会</w:t>
      </w:r>
      <w:r>
        <w:rPr/>
        <w:t> </w:t>
      </w:r>
      <w:r>
        <w:rPr>
          <w:spacing w:val="-4"/>
        </w:rPr>
        <w:t>计部函</w:t>
      </w:r>
      <w:r>
        <w:rPr>
          <w:rFonts w:ascii="宋体" w:hAnsi="宋体" w:cs="宋体" w:eastAsia="宋体" w:hint="default"/>
          <w:spacing w:val="-4"/>
        </w:rPr>
        <w:t>[2018]453</w:t>
      </w:r>
      <w:r>
        <w:rPr>
          <w:spacing w:val="-4"/>
        </w:rPr>
        <w:t>号）的列报和披露要求”。</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会计期间" w:id="164"/>
      <w:bookmarkEnd w:id="16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0" w:firstLine="360"/>
        <w:jc w:val="both"/>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日止。本财务报表所载财务信息的会计期间为自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 </w:t>
      </w:r>
      <w:r>
        <w:rPr/>
        <w:t>月</w:t>
      </w:r>
      <w:r>
        <w:rPr>
          <w:rFonts w:ascii="宋体" w:hAnsi="宋体" w:cs="宋体" w:eastAsia="宋体" w:hint="default"/>
        </w:rPr>
        <w:t>31</w:t>
      </w:r>
      <w:r>
        <w:rPr/>
        <w:t>日止。</w:t>
      </w:r>
    </w:p>
    <w:p>
      <w:pPr>
        <w:spacing w:line="240" w:lineRule="auto" w:before="5"/>
        <w:rPr>
          <w:rFonts w:ascii="宋体" w:hAnsi="宋体" w:cs="宋体" w:eastAsia="宋体" w:hint="default"/>
          <w:sz w:val="22"/>
          <w:szCs w:val="22"/>
        </w:rPr>
      </w:pPr>
    </w:p>
    <w:p>
      <w:pPr>
        <w:pStyle w:val="Heading3"/>
        <w:spacing w:line="240" w:lineRule="auto"/>
        <w:ind w:right="1032"/>
        <w:jc w:val="left"/>
        <w:rPr>
          <w:b w:val="0"/>
          <w:bCs w:val="0"/>
        </w:rPr>
      </w:pPr>
      <w:bookmarkStart w:name="3、营业周期" w:id="165"/>
      <w:bookmarkEnd w:id="16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正常营业周期是指本公司按正常一个会计年度作为一个完整营业期间。本公司以</w:t>
      </w:r>
      <w:r>
        <w:rPr>
          <w:rFonts w:ascii="宋体" w:hAnsi="宋体" w:cs="宋体" w:eastAsia="宋体" w:hint="default"/>
        </w:rPr>
        <w:t>12</w:t>
      </w:r>
      <w:r>
        <w:rPr/>
        <w:t>个月作为一个营业周期。并以其作 为资产和负债的流动性划分标准。</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4、记账本位币" w:id="166"/>
      <w:bookmarkEnd w:id="16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本公司及境内子公司采用人民币作为记账本位币。本公司之境外子公司根据其所处的主要经济环境中的货币决定其记账</w:t>
      </w:r>
      <w:r>
        <w:rPr/>
        <w:t> 本位币，编制财务报表时折算成人民币。本公司编制本财务报表时所采用的列报货币为人民币。</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5、同一控制下和非同一控制下企业合并的会计处理方法" w:id="167"/>
      <w:bookmarkEnd w:id="16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30" w:lineRule="atLeast" w:before="152"/>
        <w:ind w:left="514" w:right="1032"/>
        <w:jc w:val="left"/>
      </w:pPr>
      <w:r>
        <w:rPr>
          <w:rFonts w:ascii="宋体" w:hAnsi="宋体" w:cs="宋体" w:eastAsia="宋体" w:hint="default"/>
        </w:rPr>
        <w:t>1. </w:t>
      </w:r>
      <w:r>
        <w:rPr/>
        <w:t>同一控制下企业合并的会计处理方法 </w:t>
      </w:r>
      <w:r>
        <w:rPr>
          <w:spacing w:val="-2"/>
        </w:rPr>
        <w:t>本公司在一次交易取得或通过多次交易分步实现同一控制下企业合并，企业合并中取得的资产和负债，按照合并日被合</w:t>
      </w:r>
    </w:p>
    <w:p>
      <w:pPr>
        <w:pStyle w:val="BodyText"/>
        <w:spacing w:line="316" w:lineRule="auto" w:before="76"/>
        <w:ind w:right="1032"/>
        <w:jc w:val="left"/>
      </w:pPr>
      <w:r>
        <w:rPr>
          <w:spacing w:val="-2"/>
        </w:rPr>
        <w:t>并方在最终控制方合并财务报表中的的账面价值计量。本公司取得的净资产账面价值与支付的合并对价账面价值（或发行股</w:t>
      </w:r>
      <w:r>
        <w:rPr>
          <w:spacing w:val="-64"/>
        </w:rPr>
        <w:t> </w:t>
      </w:r>
      <w:r>
        <w:rPr>
          <w:spacing w:val="-64"/>
        </w:rPr>
      </w:r>
      <w:r>
        <w:rPr/>
        <w:t>份面值总额）的差额，调整资本公积；资本公积不足冲减的，调整留存收益。</w:t>
      </w:r>
    </w:p>
    <w:p>
      <w:pPr>
        <w:pStyle w:val="BodyText"/>
        <w:spacing w:line="432" w:lineRule="exact" w:before="4"/>
        <w:ind w:left="514" w:right="1032"/>
        <w:jc w:val="left"/>
      </w:pPr>
      <w:r>
        <w:rPr>
          <w:rFonts w:ascii="宋体" w:hAnsi="宋体" w:cs="宋体" w:eastAsia="宋体" w:hint="default"/>
        </w:rPr>
        <w:t>2. </w:t>
      </w:r>
      <w:r>
        <w:rPr/>
        <w:t>非同一控制下企业合并的会计处理方法 </w:t>
      </w:r>
      <w:r>
        <w:rPr>
          <w:spacing w:val="-2"/>
        </w:rPr>
        <w:t>公司在购买日对合并成本大于合并中取得的被购买方可辨认净资产公允价值份额的差额，确认为商誉；如果合并成本小</w:t>
      </w:r>
    </w:p>
    <w:p>
      <w:pPr>
        <w:pStyle w:val="BodyText"/>
        <w:spacing w:line="316" w:lineRule="auto" w:before="15"/>
        <w:ind w:right="1032"/>
        <w:jc w:val="left"/>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p>
    <w:p>
      <w:pPr>
        <w:spacing w:after="0" w:line="316"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1032"/>
        <w:jc w:val="left"/>
      </w:pPr>
      <w:r>
        <w:rPr/>
        <w:t>当期损益。</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9" w:lineRule="auto"/>
        <w:ind w:right="1131" w:firstLine="360"/>
        <w:jc w:val="both"/>
      </w:pPr>
      <w:r>
        <w:rPr/>
        <w:t>（</w:t>
      </w:r>
      <w:r>
        <w:rPr>
          <w:rFonts w:ascii="宋体" w:hAnsi="宋体" w:cs="宋体" w:eastAsia="宋体" w:hint="default"/>
        </w:rPr>
        <w:t>1</w:t>
      </w:r>
      <w:r>
        <w:rPr/>
        <w:t>）调整长期股权投资初始投资成本。购买日之前持有股权采用权益法核算的，按照该股权在购买日的公允价值进行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16" w:lineRule="auto" w:before="137"/>
        <w:ind w:right="1132" w:firstLine="360"/>
        <w:jc w:val="both"/>
      </w:pPr>
      <w:r>
        <w:rPr>
          <w:spacing w:val="-4"/>
        </w:rPr>
        <w:t>（</w:t>
      </w:r>
      <w:r>
        <w:rPr>
          <w:rFonts w:ascii="宋体" w:hAnsi="宋体" w:cs="宋体" w:eastAsia="宋体" w:hint="default"/>
          <w:spacing w:val="-4"/>
        </w:rPr>
        <w:t>2</w:t>
      </w:r>
      <w:r>
        <w:rPr>
          <w:spacing w:val="-4"/>
        </w:rPr>
        <w:t>）确认商誉（或计入当期损益的金额）。将第一步调整后长期股权投资初始投资成本与购买日应享有子公司可辨认净</w:t>
      </w:r>
      <w:r>
        <w:rPr/>
        <w:t> 资产公允价值份额比较，前者大于后者，差额确认为商誉；前者小于后者，差额计入当期损益。</w:t>
      </w:r>
    </w:p>
    <w:p>
      <w:pPr>
        <w:pStyle w:val="BodyText"/>
        <w:spacing w:line="240" w:lineRule="auto" w:before="139"/>
        <w:ind w:left="514" w:right="1032"/>
        <w:jc w:val="left"/>
      </w:pPr>
      <w:r>
        <w:rPr/>
        <w:t>通过多次交易分步处置股权至丧失对子公司控制权的情形</w:t>
      </w:r>
    </w:p>
    <w:p>
      <w:pPr>
        <w:pStyle w:val="BodyText"/>
        <w:spacing w:line="430" w:lineRule="atLeast" w:before="2"/>
        <w:ind w:left="514" w:right="1032"/>
        <w:jc w:val="left"/>
      </w:pPr>
      <w:r>
        <w:rPr/>
        <w:t>（</w:t>
      </w:r>
      <w:r>
        <w:rPr>
          <w:rFonts w:ascii="宋体" w:hAnsi="宋体" w:cs="宋体" w:eastAsia="宋体" w:hint="default"/>
        </w:rPr>
        <w:t>1</w:t>
      </w:r>
      <w:r>
        <w:rPr/>
        <w:t>）判断分步处置股权至丧失对子公司控制权过程中的各项交易是否属于“一揽子交易”的原则 </w:t>
      </w:r>
      <w:r>
        <w:rPr>
          <w:spacing w:val="-2"/>
        </w:rPr>
        <w:t>处置对子公司股权投资的各项交易的条款、条件以及经济影响符合以下一种或多种情况，通常表明应将多次交易事项作</w:t>
      </w:r>
    </w:p>
    <w:p>
      <w:pPr>
        <w:pStyle w:val="BodyText"/>
        <w:spacing w:line="439" w:lineRule="auto" w:before="76"/>
        <w:ind w:left="514" w:right="5622" w:hanging="360"/>
        <w:jc w:val="left"/>
      </w:pPr>
      <w:r>
        <w:rPr/>
        <w:t>为一揽子交易进行会计处理： </w:t>
      </w:r>
      <w:r>
        <w:rPr>
          <w:rFonts w:ascii="宋体" w:hAnsi="宋体" w:cs="宋体" w:eastAsia="宋体" w:hint="default"/>
        </w:rPr>
        <w:t>1</w:t>
      </w:r>
      <w:r>
        <w:rPr/>
        <w:t>）这些交易是同时或者在考虑了彼此影响的情况下订立的；</w:t>
      </w:r>
    </w:p>
    <w:p>
      <w:pPr>
        <w:pStyle w:val="BodyText"/>
        <w:spacing w:line="240" w:lineRule="auto" w:before="47"/>
        <w:ind w:left="514" w:right="1032"/>
        <w:jc w:val="left"/>
      </w:pPr>
      <w:r>
        <w:rPr>
          <w:rFonts w:ascii="宋体" w:hAnsi="宋体" w:cs="宋体" w:eastAsia="宋体" w:hint="default"/>
        </w:rPr>
        <w:t>2</w:t>
      </w:r>
      <w:r>
        <w:rPr/>
        <w:t>）这些交易整体才能达成一项完整的商业结果；</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rFonts w:ascii="宋体" w:hAnsi="宋体" w:cs="宋体" w:eastAsia="宋体" w:hint="default"/>
        </w:rPr>
        <w:t>3</w:t>
      </w:r>
      <w:r>
        <w:rPr/>
        <w:t>）一项交易的发生取决于其他至少一项交易的发生；</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rFonts w:ascii="宋体" w:hAnsi="宋体" w:cs="宋体" w:eastAsia="宋体" w:hint="default"/>
        </w:rPr>
        <w:t>4</w:t>
      </w:r>
      <w:r>
        <w:rPr/>
        <w:t>）一项交易单独看是不经济的，但是和其他交易一并考虑时是经济的。</w:t>
      </w:r>
    </w:p>
    <w:p>
      <w:pPr>
        <w:pStyle w:val="BodyText"/>
        <w:spacing w:line="430" w:lineRule="atLeast" w:before="2"/>
        <w:ind w:left="514" w:right="1032"/>
        <w:jc w:val="left"/>
      </w:pPr>
      <w:r>
        <w:rPr/>
        <w:t>（</w:t>
      </w:r>
      <w:r>
        <w:rPr>
          <w:rFonts w:ascii="宋体" w:hAnsi="宋体" w:cs="宋体" w:eastAsia="宋体" w:hint="default"/>
        </w:rPr>
        <w:t>2</w:t>
      </w:r>
      <w:r>
        <w:rPr/>
        <w:t>）分步处置股权至丧失对子公司控制权过程中的各项交易属于“一揽子交易”的会计处理方法 </w:t>
      </w:r>
      <w:r>
        <w:rPr>
          <w:spacing w:val="-2"/>
        </w:rPr>
        <w:t>处置对子公司股权投资直至丧失控制权的各项交易属于一揽子交易的，应当将各项交易作为一项处置子公司并丧失控制</w:t>
      </w:r>
    </w:p>
    <w:p>
      <w:pPr>
        <w:pStyle w:val="BodyText"/>
        <w:spacing w:line="316" w:lineRule="auto" w:before="77"/>
        <w:ind w:right="1032"/>
        <w:jc w:val="left"/>
      </w:pP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并财务报表中应当确认为其他综合收益，在丧失控制权时一并转入丧失控制权当期的损益。</w:t>
      </w:r>
    </w:p>
    <w:p>
      <w:pPr>
        <w:pStyle w:val="BodyText"/>
        <w:spacing w:line="316" w:lineRule="auto" w:before="139"/>
        <w:ind w:right="1132" w:firstLine="360"/>
        <w:jc w:val="both"/>
      </w:pPr>
      <w:r>
        <w:rPr>
          <w:spacing w:val="-2"/>
        </w:rPr>
        <w:t>在合并财务报表中，对于剩余股权，应当按照其在丧失控制权日的公允价值进行重新计量。处置股权取得的对价与剩余</w:t>
      </w:r>
      <w:r>
        <w:rPr/>
        <w:t> </w:t>
      </w:r>
      <w:r>
        <w:rPr>
          <w:spacing w:val="-2"/>
        </w:rPr>
        <w:t>股权公允价值之和，减去按原持股比例计算应享有原子公司自购买日开始持续计算的净资产的份额之间的差额，计入丧失控</w:t>
      </w:r>
      <w:r>
        <w:rPr>
          <w:spacing w:val="-64"/>
        </w:rPr>
        <w:t> </w:t>
      </w:r>
      <w:r>
        <w:rPr>
          <w:spacing w:val="-64"/>
        </w:rPr>
      </w:r>
      <w:r>
        <w:rPr/>
        <w:t>制权当期的投资收益。与原子公司股权投资相关的其他综合收益，应当在丧失控制权时转为当期投资收益。</w:t>
      </w:r>
    </w:p>
    <w:p>
      <w:pPr>
        <w:pStyle w:val="BodyText"/>
        <w:spacing w:line="432" w:lineRule="exact" w:before="3"/>
        <w:ind w:left="514" w:right="1032"/>
        <w:jc w:val="left"/>
      </w:pPr>
      <w:r>
        <w:rPr/>
        <w:t>（</w:t>
      </w:r>
      <w:r>
        <w:rPr>
          <w:rFonts w:ascii="宋体" w:hAnsi="宋体" w:cs="宋体" w:eastAsia="宋体" w:hint="default"/>
        </w:rPr>
        <w:t>3</w:t>
      </w:r>
      <w:r>
        <w:rPr/>
        <w:t>）分步处置股权至丧失对子公司控制权过程中的各项交易不属于“一揽子交易”的会计处理方法 </w:t>
      </w:r>
      <w:r>
        <w:rPr>
          <w:spacing w:val="-2"/>
        </w:rPr>
        <w:t>处置对子公司的投资未丧失控制权的，合并财务报表中处置价款与处置投资对应的享有该子公司净资产份额的差额计入</w:t>
      </w:r>
    </w:p>
    <w:p>
      <w:pPr>
        <w:pStyle w:val="BodyText"/>
        <w:spacing w:line="240" w:lineRule="auto" w:before="15"/>
        <w:ind w:right="1032"/>
        <w:jc w:val="left"/>
      </w:pPr>
      <w:r>
        <w:rPr/>
        <w:t>资本公积（资本溢价或股本溢价</w:t>
      </w:r>
      <w:r>
        <w:rPr>
          <w:spacing w:val="-90"/>
        </w:rPr>
        <w:t>）</w:t>
      </w:r>
      <w:r>
        <w:rPr/>
        <w:t>，资本溢价不足冲减的，应当调整留存收益。</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处置对子公司的投资丧失控制权的，在合并财务报表中，对于剩余股权，应当按照其在丧失控制权日的公允价值进行重</w:t>
      </w:r>
      <w:r>
        <w:rPr/>
        <w:t> </w:t>
      </w:r>
      <w:r>
        <w:rPr>
          <w:spacing w:val="-2"/>
        </w:rPr>
        <w:t>新计量。处置股权取得的对价与剩余股权公允价值之和，减去按原持股比例计算应享有原有子公司自购买日开始持续计算的</w:t>
      </w:r>
      <w:r>
        <w:rPr>
          <w:spacing w:val="-64"/>
        </w:rPr>
        <w:t> </w:t>
      </w:r>
      <w:r>
        <w:rPr>
          <w:spacing w:val="-64"/>
        </w:rPr>
      </w:r>
      <w:r>
        <w:rPr>
          <w:spacing w:val="-2"/>
        </w:rPr>
        <w:t>净资产的份额之间的差额，计入丧失控制权当期的投资收益。与原有子公司股权投资相关的其他综合收益，应当在丧失控制</w:t>
      </w:r>
      <w:r>
        <w:rPr>
          <w:spacing w:val="-66"/>
        </w:rPr>
        <w:t> </w:t>
      </w:r>
      <w:r>
        <w:rPr>
          <w:spacing w:val="-66"/>
        </w:rPr>
      </w:r>
      <w:r>
        <w:rPr/>
        <w:t>权时转为当期投资收益。</w:t>
      </w:r>
    </w:p>
    <w:p>
      <w:pPr>
        <w:pStyle w:val="BodyText"/>
        <w:spacing w:line="432" w:lineRule="exact" w:before="3"/>
        <w:ind w:left="514" w:right="7782"/>
        <w:jc w:val="left"/>
      </w:pPr>
      <w:r>
        <w:rPr/>
        <w:t>（六）合并财务报表的编制方法 </w:t>
      </w:r>
      <w:r>
        <w:rPr>
          <w:rFonts w:ascii="宋体" w:hAnsi="宋体" w:cs="宋体" w:eastAsia="宋体" w:hint="default"/>
        </w:rPr>
        <w:t>1. </w:t>
      </w:r>
      <w:r>
        <w:rPr/>
        <w:t>合并财务报表范围的确定原则</w:t>
      </w:r>
    </w:p>
    <w:p>
      <w:pPr>
        <w:pStyle w:val="BodyText"/>
        <w:spacing w:line="319" w:lineRule="auto" w:before="15"/>
        <w:ind w:right="1131" w:firstLine="360"/>
        <w:jc w:val="both"/>
      </w:pPr>
      <w:r>
        <w:rPr>
          <w:spacing w:val="-2"/>
        </w:rPr>
        <w:t>合并财务报表的合并范围以控制为基础予以确定。控制是指本公司能够决定另一个企业的财务和经营政策，并能据以从</w:t>
      </w:r>
      <w:r>
        <w:rPr/>
        <w:t> 该企业的经营活动中获取利益的权力。</w:t>
      </w:r>
    </w:p>
    <w:p>
      <w:pPr>
        <w:pStyle w:val="BodyText"/>
        <w:spacing w:line="432" w:lineRule="exact" w:before="1"/>
        <w:ind w:left="514" w:right="1032"/>
        <w:jc w:val="left"/>
      </w:pPr>
      <w:r>
        <w:rPr>
          <w:rFonts w:ascii="宋体" w:hAnsi="宋体" w:cs="宋体" w:eastAsia="宋体" w:hint="default"/>
        </w:rPr>
        <w:t>2</w:t>
      </w:r>
      <w:r>
        <w:rPr/>
        <w:t>．合并财务报表的编制方法 </w:t>
      </w:r>
      <w:r>
        <w:rPr>
          <w:spacing w:val="-2"/>
        </w:rPr>
        <w:t>母公司将其控制的所有子公司纳入合并财务报表的合并范围。合并财务报表以母公司及其子公司的财务报表为基础，根</w:t>
      </w:r>
    </w:p>
    <w:p>
      <w:pPr>
        <w:pStyle w:val="BodyText"/>
        <w:spacing w:line="240" w:lineRule="auto" w:before="15"/>
        <w:ind w:right="0"/>
        <w:jc w:val="left"/>
      </w:pPr>
      <w:r>
        <w:rPr/>
        <w:t>据其他有关资料，按照权益法调整对子公司的长期股权投资后，由母公司按照《企业会计准则第</w:t>
      </w:r>
      <w:r>
        <w:rPr>
          <w:rFonts w:ascii="宋体" w:hAnsi="宋体" w:cs="宋体" w:eastAsia="宋体" w:hint="default"/>
        </w:rPr>
        <w:t>33</w:t>
      </w:r>
      <w:r>
        <w:rPr/>
        <w:t>号——合并财务报表》编</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1032"/>
        <w:jc w:val="left"/>
      </w:pPr>
      <w:r>
        <w:rPr/>
        <w:t>制。</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spacing w:val="-2"/>
        </w:rPr>
        <w:t>对于通过非同一控制下的企业合并取得的子公司，其自购买日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spacing w:val="-2"/>
        </w:rPr>
        <w:t>起的经营成果及现金流量已经适当地</w:t>
      </w:r>
      <w:r>
        <w:rPr/>
        <w:t> 包括在合并利润表和合并现金流量表中，不调整合并财务报表的期初数和对比数。</w:t>
      </w:r>
    </w:p>
    <w:p>
      <w:pPr>
        <w:pStyle w:val="BodyText"/>
        <w:spacing w:line="316" w:lineRule="auto" w:before="139"/>
        <w:ind w:right="1131" w:firstLine="360"/>
        <w:jc w:val="both"/>
      </w:pPr>
      <w:r>
        <w:rPr>
          <w:spacing w:val="-2"/>
        </w:rPr>
        <w:t>对于通过同一控制下的企业合并取得的子公司，无论该项企业合并发生在报告期的任一时点，视同该子公司同受最终控</w:t>
      </w:r>
      <w:r>
        <w:rPr/>
        <w:t> </w:t>
      </w:r>
      <w:r>
        <w:rPr>
          <w:spacing w:val="-2"/>
        </w:rPr>
        <w:t>制方控制之日起纳入本公司的合并范围，其自报告期最早期间期初起的经营成果和现金流量已适当地包括在合并利润表和合</w:t>
      </w:r>
      <w:r>
        <w:rPr>
          <w:spacing w:val="-64"/>
        </w:rPr>
        <w:t> </w:t>
      </w:r>
      <w:r>
        <w:rPr>
          <w:spacing w:val="-64"/>
        </w:rPr>
      </w:r>
      <w:r>
        <w:rPr/>
        <w:t>并现金流量表中。</w:t>
      </w:r>
    </w:p>
    <w:p>
      <w:pPr>
        <w:pStyle w:val="BodyText"/>
        <w:spacing w:line="316" w:lineRule="auto" w:before="139"/>
        <w:ind w:right="1131" w:firstLine="360"/>
        <w:jc w:val="both"/>
      </w:pPr>
      <w:r>
        <w:rPr>
          <w:spacing w:val="-2"/>
        </w:rPr>
        <w:t>对于本公司处置的子公司，处置日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前的经营成果和现金流量已经适当地包括在合并利润表和合并现</w:t>
      </w:r>
      <w:r>
        <w:rPr/>
        <w:t> 金流量表中。</w:t>
      </w:r>
    </w:p>
    <w:p>
      <w:pPr>
        <w:pStyle w:val="BodyText"/>
        <w:spacing w:line="432" w:lineRule="exact" w:before="3"/>
        <w:ind w:left="514" w:right="1032"/>
        <w:jc w:val="left"/>
      </w:pPr>
      <w:r>
        <w:rPr/>
        <w:t>子公司采用的主要会计政策和会计期间按照公司统一规定的会计政策和会计期间厘定。 公司与子公司及子公司相互之间的所有重大账目及交易于合并时抵销。 </w:t>
      </w:r>
      <w:r>
        <w:rPr>
          <w:spacing w:val="-2"/>
        </w:rPr>
        <w:t>子公司股东权益中不属于母公司的份额作为少数股东权益，在合并资产负债表中股东权益项目下以“少数股东权益”项</w:t>
      </w:r>
    </w:p>
    <w:p>
      <w:pPr>
        <w:pStyle w:val="BodyText"/>
        <w:spacing w:line="316" w:lineRule="auto" w:before="15"/>
        <w:ind w:right="1032"/>
        <w:jc w:val="left"/>
      </w:pPr>
      <w:r>
        <w:rPr>
          <w:spacing w:val="-2"/>
        </w:rPr>
        <w:t>目列示。子公司当期净损益中属于少数股东权益的份额，在合并利润表中净利润项目下以“少数股东损益”项目列示。少数</w:t>
      </w:r>
      <w:r>
        <w:rPr>
          <w:spacing w:val="-66"/>
        </w:rPr>
        <w:t> </w:t>
      </w:r>
      <w:r>
        <w:rPr>
          <w:spacing w:val="-66"/>
        </w:rPr>
      </w:r>
      <w:r>
        <w:rPr/>
        <w:t>股东分担的子公司的亏损超过了少数股东在该子公司期初股东权益中所享有的份额，其余额仍冲减少数股东权益。</w:t>
      </w:r>
    </w:p>
    <w:p>
      <w:pPr>
        <w:pStyle w:val="BodyText"/>
        <w:spacing w:line="316" w:lineRule="auto" w:before="139"/>
        <w:ind w:right="113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w:t>
      </w:r>
    </w:p>
    <w:p>
      <w:pPr>
        <w:pStyle w:val="BodyText"/>
        <w:spacing w:line="240" w:lineRule="auto" w:before="139"/>
        <w:ind w:left="0" w:right="1131"/>
        <w:jc w:val="right"/>
      </w:pPr>
      <w:r>
        <w:rPr/>
        <w:t>少数股东权益的调整额与支付</w:t>
      </w:r>
      <w:r>
        <w:rPr>
          <w:rFonts w:ascii="宋体" w:hAnsi="宋体" w:cs="宋体" w:eastAsia="宋体" w:hint="default"/>
        </w:rPr>
        <w:t>/</w:t>
      </w:r>
      <w:r>
        <w:rPr/>
        <w:t>收到对价的公允价值之间的差额调整资本公积，资本公积不足冲减的，调整留存收益。</w:t>
      </w:r>
    </w:p>
    <w:p>
      <w:pPr>
        <w:spacing w:line="240" w:lineRule="auto" w:before="0"/>
        <w:rPr>
          <w:rFonts w:ascii="宋体" w:hAnsi="宋体" w:cs="宋体" w:eastAsia="宋体" w:hint="default"/>
          <w:sz w:val="15"/>
          <w:szCs w:val="15"/>
        </w:rPr>
      </w:pPr>
    </w:p>
    <w:p>
      <w:pPr>
        <w:pStyle w:val="BodyText"/>
        <w:spacing w:line="319" w:lineRule="auto"/>
        <w:ind w:right="1131" w:firstLine="360"/>
        <w:jc w:val="both"/>
      </w:pPr>
      <w:r>
        <w:rPr>
          <w:spacing w:val="-2"/>
        </w:rPr>
        <w:t>因处置部分股权投资或其他原因丧失了对原有子公司控制权的，剩余股权按照其在丧失控制权日的公允价值进行重新计</w:t>
      </w:r>
      <w:r>
        <w:rPr/>
        <w:t> </w:t>
      </w:r>
      <w:r>
        <w:rPr>
          <w:spacing w:val="-2"/>
        </w:rPr>
        <w:t>量。处置股权取得的对价与剩余股权公允价值之和，减去按原持股比例计算应享有原子公司自购买日开始持续计算的净资产</w:t>
      </w:r>
      <w:r>
        <w:rPr>
          <w:spacing w:val="-64"/>
        </w:rPr>
        <w:t> </w:t>
      </w:r>
      <w:r>
        <w:rPr>
          <w:spacing w:val="-64"/>
        </w:rPr>
      </w:r>
      <w:r>
        <w:rPr>
          <w:spacing w:val="-2"/>
        </w:rPr>
        <w:t>的份额之间的差额，计入丧失控制权当期的投资收益。与原有子公司股权投资相关的其他综合收益，在丧失控制权时转为当</w:t>
      </w:r>
      <w:r>
        <w:rPr>
          <w:spacing w:val="-66"/>
        </w:rPr>
        <w:t> </w:t>
      </w:r>
      <w:r>
        <w:rPr>
          <w:spacing w:val="-66"/>
        </w:rPr>
      </w:r>
      <w:r>
        <w:rPr/>
        <w:t>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Heading3"/>
        <w:spacing w:line="240" w:lineRule="auto"/>
        <w:ind w:right="1032"/>
        <w:jc w:val="left"/>
        <w:rPr>
          <w:b w:val="0"/>
          <w:bCs w:val="0"/>
        </w:rPr>
      </w:pPr>
      <w:bookmarkStart w:name="6、合并财务报表的编制方法" w:id="168"/>
      <w:bookmarkEnd w:id="16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32"/>
        <w:jc w:val="left"/>
      </w:pPr>
      <w:r>
        <w:rPr>
          <w:rFonts w:ascii="宋体" w:hAnsi="宋体" w:cs="宋体" w:eastAsia="宋体" w:hint="default"/>
        </w:rPr>
        <w:t>1. </w:t>
      </w:r>
      <w:r>
        <w:rPr/>
        <w:t>合并财务报表范围的确定原则 </w:t>
      </w:r>
      <w:r>
        <w:rPr>
          <w:spacing w:val="-2"/>
        </w:rPr>
        <w:t>合并财务报表的合并范围以控制为基础予以确定。控制是指本公司能够决定另一个企业的财务和经营政策，并能据以从</w:t>
      </w:r>
    </w:p>
    <w:p>
      <w:pPr>
        <w:pStyle w:val="BodyText"/>
        <w:spacing w:line="439" w:lineRule="auto" w:before="19"/>
        <w:ind w:left="514" w:right="7692" w:hanging="360"/>
        <w:jc w:val="left"/>
      </w:pPr>
      <w:r>
        <w:rPr/>
        <w:t>该企业的经营活动中获取利益的权力。 </w:t>
      </w:r>
      <w:r>
        <w:rPr>
          <w:rFonts w:ascii="宋体" w:hAnsi="宋体" w:cs="宋体" w:eastAsia="宋体" w:hint="default"/>
        </w:rPr>
        <w:t>2</w:t>
      </w:r>
      <w:r>
        <w:rPr/>
        <w:t>．合并财务报表的编制方法</w:t>
      </w:r>
    </w:p>
    <w:p>
      <w:pPr>
        <w:pStyle w:val="BodyText"/>
        <w:spacing w:line="316" w:lineRule="auto" w:before="47"/>
        <w:ind w:right="1130" w:firstLine="360"/>
        <w:jc w:val="both"/>
      </w:pPr>
      <w:r>
        <w:rPr>
          <w:spacing w:val="-2"/>
        </w:rPr>
        <w:t>母公司将其控制的所有子公司纳入合并财务报表的合并范围。合并财务报表以母公司及其子公司的财务报表为基础，根</w:t>
      </w:r>
      <w:r>
        <w:rPr/>
        <w:t> </w:t>
      </w:r>
      <w:r>
        <w:rPr>
          <w:spacing w:val="-2"/>
        </w:rPr>
        <w:t>据其他有关资料，按照权益法调整对子公司的长期股权投资后，由母公司按照《企业会计准则第</w:t>
      </w:r>
      <w:r>
        <w:rPr>
          <w:rFonts w:ascii="宋体" w:hAnsi="宋体" w:cs="宋体" w:eastAsia="宋体" w:hint="default"/>
          <w:spacing w:val="-2"/>
        </w:rPr>
        <w:t>33</w:t>
      </w:r>
      <w:r>
        <w:rPr>
          <w:spacing w:val="-2"/>
        </w:rPr>
        <w:t>号——合并财务报表》编</w:t>
      </w:r>
      <w:r>
        <w:rPr>
          <w:spacing w:val="-63"/>
        </w:rPr>
        <w:t> </w:t>
      </w:r>
      <w:r>
        <w:rPr>
          <w:spacing w:val="-63"/>
        </w:rPr>
      </w:r>
      <w:r>
        <w:rPr/>
        <w:t>制。</w:t>
      </w:r>
    </w:p>
    <w:p>
      <w:pPr>
        <w:pStyle w:val="BodyText"/>
        <w:spacing w:line="316" w:lineRule="auto" w:before="139"/>
        <w:ind w:right="1131" w:firstLine="360"/>
        <w:jc w:val="both"/>
      </w:pPr>
      <w:r>
        <w:rPr>
          <w:spacing w:val="-2"/>
        </w:rPr>
        <w:t>对于通过非同一控制下的企业合并取得的子公司，其自购买日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spacing w:val="-2"/>
        </w:rPr>
        <w:t>起的经营成果及现金流量已经适当地</w:t>
      </w:r>
      <w:r>
        <w:rPr/>
        <w:t> 包括在合并利润表和合并现金流量表中，不调整合并财务报表的期初数和对比数。</w:t>
      </w:r>
    </w:p>
    <w:p>
      <w:pPr>
        <w:pStyle w:val="BodyText"/>
        <w:spacing w:line="319" w:lineRule="auto" w:before="139"/>
        <w:ind w:right="1131" w:firstLine="360"/>
        <w:jc w:val="both"/>
      </w:pPr>
      <w:r>
        <w:rPr>
          <w:spacing w:val="-2"/>
        </w:rPr>
        <w:t>对于通过同一控制下的企业合并取得的子公司，无论该项企业合并发生在报告期的任一时点，视同该子公司同受最终控</w:t>
      </w:r>
      <w:r>
        <w:rPr/>
        <w:t> </w:t>
      </w:r>
      <w:r>
        <w:rPr>
          <w:spacing w:val="-2"/>
        </w:rPr>
        <w:t>制方控制之日起纳入本公司的合并范围，其自报告期最早期间期初起的经营成果和现金流量已适当地包括在合并利润表和合</w:t>
      </w:r>
      <w:r>
        <w:rPr>
          <w:spacing w:val="-64"/>
        </w:rPr>
        <w:t> </w:t>
      </w:r>
      <w:r>
        <w:rPr>
          <w:spacing w:val="-64"/>
        </w:rPr>
      </w:r>
      <w:r>
        <w:rPr/>
        <w:t>并现金流量表中。</w:t>
      </w:r>
    </w:p>
    <w:p>
      <w:pPr>
        <w:pStyle w:val="BodyText"/>
        <w:spacing w:line="316" w:lineRule="auto" w:before="137"/>
        <w:ind w:right="1131" w:firstLine="360"/>
        <w:jc w:val="both"/>
      </w:pPr>
      <w:r>
        <w:rPr>
          <w:spacing w:val="-2"/>
        </w:rPr>
        <w:t>对于本公司处置的子公司，处置日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前的经营成果和现金流量已经适当地包括在合并利润表和合并现</w:t>
      </w:r>
      <w:r>
        <w:rPr/>
        <w:t> 金流量表中。</w:t>
      </w:r>
    </w:p>
    <w:p>
      <w:pPr>
        <w:spacing w:after="0" w:line="316" w:lineRule="auto"/>
        <w:jc w:val="both"/>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439" w:lineRule="auto" w:before="44"/>
        <w:ind w:left="514" w:right="1032"/>
        <w:jc w:val="left"/>
      </w:pPr>
      <w:r>
        <w:rPr/>
        <w:t>子公司采用的主要会计政策和会计期间按照公司统一规定的会计政策和会计期间厘定。 公司与子公司及子公司相互之间的所有重大账目及交易于合并时抵销。</w:t>
      </w:r>
    </w:p>
    <w:p>
      <w:pPr>
        <w:pStyle w:val="BodyText"/>
        <w:spacing w:line="319" w:lineRule="auto" w:before="47"/>
        <w:ind w:right="1132" w:firstLine="360"/>
        <w:jc w:val="both"/>
      </w:pPr>
      <w:r>
        <w:rPr>
          <w:spacing w:val="-2"/>
        </w:rPr>
        <w:t>子公司股东权益中不属于母公司的份额作为少数股东权益，在合并资产负债表中股东权益项目下以“少数股东权益”项</w:t>
      </w:r>
      <w:r>
        <w:rPr/>
        <w:t> </w:t>
      </w:r>
      <w:r>
        <w:rPr>
          <w:spacing w:val="-2"/>
        </w:rPr>
        <w:t>目列示。子公司当期净损益中属于少数股东权益的份额，在合并利润表中净利润项目下以“少数股东损益”项目列示。少数</w:t>
      </w:r>
      <w:r>
        <w:rPr>
          <w:spacing w:val="-66"/>
        </w:rPr>
        <w:t> </w:t>
      </w:r>
      <w:r>
        <w:rPr>
          <w:spacing w:val="-66"/>
        </w:rPr>
      </w:r>
      <w:r>
        <w:rPr/>
        <w:t>股东分担的子公司的亏损超过了少数股东在该子公司期初股东权益中所享有的份额，其余额仍冲减少数股东权益。</w:t>
      </w:r>
    </w:p>
    <w:p>
      <w:pPr>
        <w:pStyle w:val="BodyText"/>
        <w:spacing w:line="316" w:lineRule="auto" w:before="137"/>
        <w:ind w:right="113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w:t>
      </w:r>
    </w:p>
    <w:p>
      <w:pPr>
        <w:pStyle w:val="BodyText"/>
        <w:spacing w:line="240" w:lineRule="auto" w:before="139"/>
        <w:ind w:left="0" w:right="1131"/>
        <w:jc w:val="right"/>
      </w:pPr>
      <w:r>
        <w:rPr/>
        <w:t>少数股东权益的调整额与支付</w:t>
      </w:r>
      <w:r>
        <w:rPr>
          <w:rFonts w:ascii="宋体" w:hAnsi="宋体" w:cs="宋体" w:eastAsia="宋体" w:hint="default"/>
        </w:rPr>
        <w:t>/</w:t>
      </w:r>
      <w:r>
        <w:rPr/>
        <w:t>收到对价的公允价值之间的差额调整资本公积，资本公积不足冲减的，调整留存收益。</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spacing w:val="-2"/>
        </w:rPr>
        <w:t>因处置部分股权投资或其他原因丧失了对原有子公司控制权的，剩余股权按照其在丧失控制权日的公允价值进行重新计</w:t>
      </w:r>
      <w:r>
        <w:rPr/>
        <w:t> </w:t>
      </w:r>
      <w:r>
        <w:rPr>
          <w:spacing w:val="-2"/>
        </w:rPr>
        <w:t>量。处置股权取得的对价与剩余股权公允价值之和，减去按原持股比例计算应享有原子公司自购买日开始持续计算的净资产</w:t>
      </w:r>
      <w:r>
        <w:rPr>
          <w:spacing w:val="-64"/>
        </w:rPr>
        <w:t> </w:t>
      </w:r>
      <w:r>
        <w:rPr>
          <w:spacing w:val="-64"/>
        </w:rPr>
      </w:r>
      <w:r>
        <w:rPr>
          <w:spacing w:val="-2"/>
        </w:rPr>
        <w:t>的份额之间的差额，计入丧失控制权当期的投资收益。与原有子公司股权投资相关的其他综合收益，在丧失控制权时转为当</w:t>
      </w:r>
      <w:r>
        <w:rPr>
          <w:spacing w:val="-66"/>
        </w:rPr>
        <w:t> </w:t>
      </w:r>
      <w:r>
        <w:rPr>
          <w:spacing w:val="-66"/>
        </w:rPr>
      </w:r>
      <w:r>
        <w:rPr/>
        <w:t>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1032"/>
        <w:jc w:val="left"/>
        <w:rPr>
          <w:b w:val="0"/>
          <w:bCs w:val="0"/>
        </w:rPr>
      </w:pPr>
      <w:bookmarkStart w:name="7、合营安排分类及共同经营会计处理方法" w:id="169"/>
      <w:bookmarkEnd w:id="16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52"/>
        <w:ind w:left="514" w:right="1032"/>
        <w:jc w:val="left"/>
      </w:pPr>
      <w:r>
        <w:rPr>
          <w:rFonts w:ascii="宋体" w:hAnsi="宋体" w:cs="宋体" w:eastAsia="宋体" w:hint="default"/>
        </w:rPr>
        <w:t>1.</w:t>
      </w:r>
      <w:r>
        <w:rPr/>
        <w:t>合营安排的认定和分类 </w:t>
      </w:r>
      <w:r>
        <w:rPr>
          <w:spacing w:val="-2"/>
        </w:rPr>
        <w:t>合营安排，是指一项由两个或两个以上的参与方共同控制的安排。合营安排具有下列特征：</w:t>
      </w:r>
      <w:r>
        <w:rPr>
          <w:rFonts w:ascii="宋体" w:hAnsi="宋体" w:cs="宋体" w:eastAsia="宋体" w:hint="default"/>
          <w:spacing w:val="-2"/>
        </w:rPr>
        <w:t>1)</w:t>
      </w:r>
      <w:r>
        <w:rPr>
          <w:spacing w:val="-2"/>
        </w:rPr>
        <w:t>各参与方均受到该安排的</w:t>
      </w:r>
    </w:p>
    <w:p>
      <w:pPr>
        <w:pStyle w:val="BodyText"/>
        <w:spacing w:line="316" w:lineRule="auto" w:before="76"/>
        <w:ind w:right="1032"/>
        <w:jc w:val="left"/>
      </w:pPr>
      <w:r>
        <w:rPr>
          <w:spacing w:val="-2"/>
        </w:rPr>
        <w:t>约束；</w:t>
      </w:r>
      <w:r>
        <w:rPr>
          <w:rFonts w:ascii="宋体" w:hAnsi="宋体" w:cs="宋体" w:eastAsia="宋体" w:hint="default"/>
          <w:spacing w:val="-2"/>
        </w:rPr>
        <w:t>2)</w:t>
      </w:r>
      <w:r>
        <w:rPr>
          <w:spacing w:val="-2"/>
        </w:rPr>
        <w:t>两个或两个以上的参与方对该安排实施共同控制。任何一个参与方都不能够单独控制该安排，对该安排具有共同控</w:t>
      </w:r>
      <w:r>
        <w:rPr>
          <w:spacing w:val="-64"/>
        </w:rPr>
        <w:t> </w:t>
      </w:r>
      <w:r>
        <w:rPr>
          <w:spacing w:val="-64"/>
        </w:rPr>
      </w:r>
      <w:r>
        <w:rPr/>
        <w:t>制的任何一个参与方均能够阻止其他参与方或参与方组合单独控制该安排。</w:t>
      </w:r>
    </w:p>
    <w:p>
      <w:pPr>
        <w:pStyle w:val="BodyText"/>
        <w:spacing w:line="316" w:lineRule="auto" w:before="139"/>
        <w:ind w:right="1132" w:firstLine="360"/>
        <w:jc w:val="both"/>
      </w:pPr>
      <w:r>
        <w:rPr>
          <w:spacing w:val="-2"/>
        </w:rPr>
        <w:t>共同控制，是指按照相关约定对某项安排所共有的控制，并且该安排的相关活动必须经过分享控制权的参与方一致同意</w:t>
      </w:r>
      <w:r>
        <w:rPr/>
        <w:t> 后才能决策。</w:t>
      </w:r>
    </w:p>
    <w:p>
      <w:pPr>
        <w:pStyle w:val="BodyText"/>
        <w:spacing w:line="316" w:lineRule="auto" w:before="139"/>
        <w:ind w:right="1133" w:firstLine="360"/>
        <w:jc w:val="both"/>
      </w:pPr>
      <w:r>
        <w:rPr>
          <w:spacing w:val="-2"/>
        </w:rPr>
        <w:t>合营安排分为共同经营和合营企业。共同经营，是指合营方享有该安排相关资产且承担该安排相关负债的合营安排。合</w:t>
      </w:r>
      <w:r>
        <w:rPr/>
        <w:t> 营企业，是指合营方仅对该安排的净资产享有权利的合营安排。</w:t>
      </w:r>
    </w:p>
    <w:p>
      <w:pPr>
        <w:pStyle w:val="BodyText"/>
        <w:spacing w:line="432" w:lineRule="exact" w:before="3"/>
        <w:ind w:left="514" w:right="1032"/>
        <w:jc w:val="left"/>
        <w:rPr>
          <w:rFonts w:ascii="宋体" w:hAnsi="宋体" w:cs="宋体" w:eastAsia="宋体" w:hint="default"/>
        </w:rPr>
      </w:pPr>
      <w:r>
        <w:rPr>
          <w:rFonts w:ascii="宋体" w:hAnsi="宋体" w:cs="宋体" w:eastAsia="宋体" w:hint="default"/>
        </w:rPr>
        <w:t>2. </w:t>
      </w:r>
      <w:r>
        <w:rPr/>
        <w:t>合营安排的会计处理 </w:t>
      </w:r>
      <w:r>
        <w:rPr>
          <w:spacing w:val="-2"/>
        </w:rPr>
        <w:t>共同经营参与方应当确认其与共同经营中利益份额相关的下列项目，并按照相关企业会计准则的规定进行会计处理：</w:t>
      </w:r>
      <w:r>
        <w:rPr>
          <w:rFonts w:ascii="宋体" w:hAnsi="宋体" w:cs="宋体" w:eastAsia="宋体" w:hint="default"/>
          <w:spacing w:val="-2"/>
        </w:rPr>
        <w:t>1)</w:t>
      </w:r>
    </w:p>
    <w:p>
      <w:pPr>
        <w:pStyle w:val="BodyText"/>
        <w:spacing w:line="316" w:lineRule="auto" w:before="15"/>
        <w:ind w:right="1032"/>
        <w:jc w:val="left"/>
      </w:pPr>
      <w:r>
        <w:rPr>
          <w:spacing w:val="-4"/>
        </w:rPr>
        <w:t>确认单独所持有的资产，以及按其份额确认共同持有的资产；</w:t>
      </w:r>
      <w:r>
        <w:rPr>
          <w:rFonts w:ascii="宋体" w:hAnsi="宋体" w:cs="宋体" w:eastAsia="宋体" w:hint="default"/>
          <w:spacing w:val="-4"/>
        </w:rPr>
        <w:t>2)</w:t>
      </w:r>
      <w:r>
        <w:rPr>
          <w:spacing w:val="-4"/>
        </w:rPr>
        <w:t>确认单独所承担的负债，以及按其份额确认共同承担的负债；</w:t>
      </w:r>
      <w:r>
        <w:rPr>
          <w:spacing w:val="-39"/>
        </w:rPr>
        <w:t> </w:t>
      </w:r>
      <w:r>
        <w:rPr>
          <w:spacing w:val="-39"/>
        </w:rPr>
      </w:r>
      <w:r>
        <w:rPr>
          <w:rFonts w:ascii="宋体" w:hAnsi="宋体" w:cs="宋体" w:eastAsia="宋体" w:hint="default"/>
          <w:spacing w:val="-2"/>
        </w:rPr>
        <w:t>3)</w:t>
      </w:r>
      <w:r>
        <w:rPr>
          <w:spacing w:val="-2"/>
        </w:rPr>
        <w:t>确认出售其享有的共同经营产出份额所产生的收入；</w:t>
      </w:r>
      <w:r>
        <w:rPr>
          <w:rFonts w:ascii="宋体" w:hAnsi="宋体" w:cs="宋体" w:eastAsia="宋体" w:hint="default"/>
          <w:spacing w:val="-2"/>
        </w:rPr>
        <w:t>4)</w:t>
      </w:r>
      <w:r>
        <w:rPr>
          <w:spacing w:val="-2"/>
        </w:rPr>
        <w:t>按其份额确认共同经营因出售产出所产生的收入；</w:t>
      </w:r>
      <w:r>
        <w:rPr>
          <w:rFonts w:ascii="宋体" w:hAnsi="宋体" w:cs="宋体" w:eastAsia="宋体" w:hint="default"/>
          <w:spacing w:val="-2"/>
        </w:rPr>
        <w:t>5)</w:t>
      </w:r>
      <w:r>
        <w:rPr>
          <w:spacing w:val="-2"/>
        </w:rPr>
        <w:t>确认单独所发</w:t>
      </w:r>
      <w:r>
        <w:rPr>
          <w:spacing w:val="-57"/>
        </w:rPr>
        <w:t> </w:t>
      </w:r>
      <w:r>
        <w:rPr/>
        <w:t>生的费用，以及按其份额确认共同经营发生的费用。</w:t>
      </w:r>
    </w:p>
    <w:p>
      <w:pPr>
        <w:pStyle w:val="BodyText"/>
        <w:spacing w:line="240" w:lineRule="auto" w:before="139"/>
        <w:ind w:left="514" w:right="1032"/>
        <w:jc w:val="left"/>
      </w:pPr>
      <w:r>
        <w:rPr/>
        <w:t>合营企业参与方应当按照《企业会计准则第</w:t>
      </w:r>
      <w:r>
        <w:rPr>
          <w:rFonts w:ascii="宋体" w:hAnsi="宋体" w:cs="宋体" w:eastAsia="宋体" w:hint="default"/>
        </w:rPr>
        <w:t>2</w:t>
      </w:r>
      <w:r>
        <w:rPr/>
        <w:t>号——长期股权投资》的规定对合营企业的投资进行会计处理。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1032"/>
        <w:jc w:val="left"/>
        <w:rPr>
          <w:b w:val="0"/>
          <w:bCs w:val="0"/>
        </w:rPr>
      </w:pPr>
      <w:bookmarkStart w:name="8、现金及现金等价物的确定标准" w:id="170"/>
      <w:bookmarkEnd w:id="17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现金流量表的现金指企业库存现金及可以随时用于支付的存款。现金等价物指持有的期限短（一般是指从购买日起三个</w:t>
      </w:r>
      <w:r>
        <w:rPr/>
        <w:t> </w:t>
      </w:r>
      <w:r>
        <w:rPr>
          <w:spacing w:val="-3"/>
        </w:rPr>
        <w:t>月内到期）、流动性强、易于转换为已知金额现金、价值变动风险很小的投资。</w:t>
      </w:r>
    </w:p>
    <w:p>
      <w:pPr>
        <w:spacing w:after="0" w:line="319" w:lineRule="auto"/>
        <w:jc w:val="both"/>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both"/>
        <w:rPr>
          <w:b w:val="0"/>
          <w:bCs w:val="0"/>
        </w:rPr>
      </w:pPr>
      <w:bookmarkStart w:name="9、外币业务和外币报表折算" w:id="171"/>
      <w:bookmarkEnd w:id="171"/>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514" w:right="1032"/>
        <w:jc w:val="left"/>
      </w:pPr>
      <w:r>
        <w:rPr>
          <w:rFonts w:ascii="宋体" w:hAnsi="宋体" w:cs="宋体" w:eastAsia="宋体" w:hint="default"/>
        </w:rPr>
        <w:t>1</w:t>
      </w:r>
      <w:r>
        <w:rPr>
          <w:rFonts w:ascii="Times New Roman" w:hAnsi="Times New Roman" w:cs="Times New Roman" w:eastAsia="Times New Roman" w:hint="default"/>
        </w:rPr>
        <w:t>. </w:t>
      </w:r>
      <w:r>
        <w:rPr/>
        <w:t>外币业务折算 </w:t>
      </w:r>
      <w:r>
        <w:rPr>
          <w:spacing w:val="-2"/>
        </w:rPr>
        <w:t>外币交易在初始确认时，采用交易发生日的即期汇率折算为人民币金额。资产负债表日，外币货币性项目采用资产负债</w:t>
      </w:r>
    </w:p>
    <w:p>
      <w:pPr>
        <w:pStyle w:val="BodyText"/>
        <w:spacing w:line="316" w:lineRule="auto" w:before="77"/>
        <w:ind w:right="1131"/>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240" w:lineRule="auto" w:before="139"/>
        <w:ind w:left="514" w:right="1032"/>
        <w:jc w:val="left"/>
      </w:pPr>
      <w:r>
        <w:rPr>
          <w:rFonts w:ascii="宋体" w:hAnsi="宋体" w:cs="宋体" w:eastAsia="宋体" w:hint="default"/>
        </w:rPr>
        <w:t>2. </w:t>
      </w:r>
      <w:r>
        <w:rPr/>
        <w:t>外币财务报表折算</w:t>
      </w:r>
    </w:p>
    <w:p>
      <w:pPr>
        <w:spacing w:line="240" w:lineRule="auto" w:before="0"/>
        <w:rPr>
          <w:rFonts w:ascii="宋体" w:hAnsi="宋体" w:cs="宋体" w:eastAsia="宋体" w:hint="default"/>
          <w:sz w:val="15"/>
          <w:szCs w:val="15"/>
        </w:rPr>
      </w:pPr>
    </w:p>
    <w:p>
      <w:pPr>
        <w:pStyle w:val="BodyText"/>
        <w:spacing w:line="316" w:lineRule="auto"/>
        <w:ind w:right="1132"/>
        <w:jc w:val="both"/>
      </w:pPr>
      <w:r>
        <w:rPr>
          <w:spacing w:val="-2"/>
        </w:rPr>
        <w:t>资产负债表中的资产和负债项目，采用资产负债表日的即期汇率折算；所有者权益项目除“未分配利润”项目外，其他项目</w:t>
      </w:r>
      <w:r>
        <w:rPr>
          <w:spacing w:val="-66"/>
        </w:rPr>
        <w:t> </w:t>
      </w:r>
      <w:r>
        <w:rPr>
          <w:spacing w:val="-66"/>
        </w:rPr>
      </w:r>
      <w:r>
        <w:rPr>
          <w:spacing w:val="-2"/>
        </w:rPr>
        <w:t>采用交易发生日的即期汇率折算；利润表中的收入和费用项目，采用交易发生日的即期汇率或即期汇率的近似汇率折算。按</w:t>
      </w:r>
      <w:r>
        <w:rPr>
          <w:spacing w:val="-66"/>
        </w:rPr>
        <w:t> </w:t>
      </w:r>
      <w:r>
        <w:rPr>
          <w:spacing w:val="-66"/>
        </w:rPr>
      </w:r>
      <w:r>
        <w:rPr/>
        <w:t>照上述折算产生的外币财务报表折算差额，确认为其他综合收益。</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319" w:lineRule="auto"/>
        <w:ind w:right="1132"/>
        <w:jc w:val="both"/>
      </w:pPr>
      <w:r>
        <w:rPr>
          <w:spacing w:val="-2"/>
        </w:rPr>
        <w:t>注：说明发生外币交易时折算汇率的确定方法、在资产负债表日外币货币性项目采用的折算方法、汇兑损益的处理方法以及</w:t>
      </w:r>
      <w:r>
        <w:rPr>
          <w:spacing w:val="-66"/>
        </w:rPr>
        <w:t> </w:t>
      </w:r>
      <w:r>
        <w:rPr>
          <w:spacing w:val="-66"/>
        </w:rPr>
      </w:r>
      <w:r>
        <w:rPr/>
        <w:t>外币报表折算的会计处理方法。</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0、金融工具" w:id="172"/>
      <w:bookmarkEnd w:id="172"/>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30" w:lineRule="atLeast" w:before="153"/>
        <w:ind w:left="514" w:right="1122"/>
        <w:jc w:val="left"/>
      </w:pPr>
      <w:r>
        <w:rPr>
          <w:rFonts w:ascii="宋体" w:hAnsi="宋体" w:cs="宋体" w:eastAsia="宋体" w:hint="default"/>
        </w:rPr>
        <w:t>1. </w:t>
      </w:r>
      <w:r>
        <w:rPr/>
        <w:t>金融资产和金融负债的分类 金融资产在初始确认时划分为以下四类：以公允价值计量且其变动计入当期损益的金融资产</w:t>
      </w:r>
      <w:r>
        <w:rPr>
          <w:rFonts w:ascii="宋体" w:hAnsi="宋体" w:cs="宋体" w:eastAsia="宋体" w:hint="default"/>
        </w:rPr>
        <w:t>(</w:t>
      </w:r>
      <w:r>
        <w:rPr/>
        <w:t>包括交易性金融资产和指</w:t>
      </w:r>
    </w:p>
    <w:p>
      <w:pPr>
        <w:pStyle w:val="BodyText"/>
        <w:spacing w:line="240" w:lineRule="auto" w:before="76"/>
        <w:ind w:right="0"/>
        <w:jc w:val="both"/>
      </w:pPr>
      <w:r>
        <w:rPr/>
        <w:t>定为以公允价值计量且其变动计入当期损益的金融资产</w:t>
      </w:r>
      <w:r>
        <w:rPr>
          <w:rFonts w:ascii="宋体" w:hAnsi="宋体" w:cs="宋体" w:eastAsia="宋体" w:hint="default"/>
        </w:rPr>
        <w:t>)</w:t>
      </w:r>
      <w:r>
        <w:rPr/>
        <w:t>、持有至到期投资、贷款和应收款项、可供出售金融资产。</w:t>
      </w:r>
    </w:p>
    <w:p>
      <w:pPr>
        <w:spacing w:line="240" w:lineRule="auto" w:before="1"/>
        <w:rPr>
          <w:rFonts w:ascii="宋体" w:hAnsi="宋体" w:cs="宋体" w:eastAsia="宋体" w:hint="default"/>
          <w:sz w:val="15"/>
          <w:szCs w:val="15"/>
        </w:rPr>
      </w:pPr>
    </w:p>
    <w:p>
      <w:pPr>
        <w:pStyle w:val="BodyText"/>
        <w:spacing w:line="316" w:lineRule="auto"/>
        <w:ind w:right="1139" w:firstLine="360"/>
        <w:jc w:val="both"/>
      </w:pPr>
      <w:r>
        <w:rPr/>
        <w:t>金融负债在初始确认时划分为以下两类：以公允价值计量且其变动计入当期损益的金融负债</w:t>
      </w:r>
      <w:r>
        <w:rPr>
          <w:rFonts w:ascii="宋体" w:hAnsi="宋体" w:cs="宋体" w:eastAsia="宋体" w:hint="default"/>
        </w:rPr>
        <w:t>(</w:t>
      </w:r>
      <w:r>
        <w:rPr/>
        <w:t>包括交易性金融负债和指 定为以公允价值计量且其变动计入当期损益的金融负债</w:t>
      </w:r>
      <w:r>
        <w:rPr>
          <w:rFonts w:ascii="宋体" w:hAnsi="宋体" w:cs="宋体" w:eastAsia="宋体" w:hint="default"/>
        </w:rPr>
        <w:t>)</w:t>
      </w:r>
      <w:r>
        <w:rPr/>
        <w:t>、其他金融负债。</w:t>
      </w:r>
    </w:p>
    <w:p>
      <w:pPr>
        <w:pStyle w:val="BodyText"/>
        <w:spacing w:line="432" w:lineRule="exact" w:before="3"/>
        <w:ind w:left="514" w:right="1032"/>
        <w:jc w:val="left"/>
      </w:pPr>
      <w:r>
        <w:rPr>
          <w:rFonts w:ascii="宋体" w:hAnsi="宋体" w:cs="宋体" w:eastAsia="宋体" w:hint="default"/>
        </w:rPr>
        <w:t>2. </w:t>
      </w:r>
      <w:r>
        <w:rPr/>
        <w:t>金融资产和金融负债的确认依据、计量方法和终止确认条件 </w:t>
      </w:r>
      <w:r>
        <w:rPr>
          <w:spacing w:val="-2"/>
        </w:rPr>
        <w:t>本公司成为金融工具合同的一方时，确认一项金融资产或金融负债。初始确认金融资产或金融负债时，按照公允价值计</w:t>
      </w:r>
    </w:p>
    <w:p>
      <w:pPr>
        <w:pStyle w:val="BodyText"/>
        <w:spacing w:line="316" w:lineRule="auto" w:before="15"/>
        <w:ind w:right="1133"/>
        <w:jc w:val="both"/>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316" w:lineRule="auto" w:before="139"/>
        <w:ind w:right="1032" w:firstLine="360"/>
        <w:jc w:val="left"/>
      </w:pPr>
      <w:r>
        <w:rPr>
          <w:spacing w:val="-4"/>
        </w:rPr>
        <w:t>本公司按照公允价值对金融资产进行后续计量，且不扣除将来处置该金融资产时可能发生的交易费用，但下列情况除外：</w:t>
      </w:r>
      <w:r>
        <w:rPr/>
        <w:t> </w:t>
      </w:r>
      <w:r>
        <w:rPr>
          <w:rFonts w:ascii="宋体" w:hAnsi="宋体" w:cs="宋体" w:eastAsia="宋体" w:hint="default"/>
          <w:spacing w:val="-2"/>
        </w:rPr>
        <w:t>(1)</w:t>
      </w:r>
      <w:r>
        <w:rPr>
          <w:spacing w:val="-2"/>
        </w:rPr>
        <w:t>持有至到期投资以及贷款和应收款项采用实际利率法，按摊余成本计量；</w:t>
      </w:r>
      <w:r>
        <w:rPr>
          <w:rFonts w:ascii="宋体" w:hAnsi="宋体" w:cs="宋体" w:eastAsia="宋体" w:hint="default"/>
          <w:spacing w:val="-2"/>
        </w:rPr>
        <w:t>(2)</w:t>
      </w:r>
      <w:r>
        <w:rPr>
          <w:spacing w:val="-2"/>
        </w:rPr>
        <w:t>在活跃市场中没有报价且其公允价值不能可</w:t>
      </w:r>
      <w:r>
        <w:rPr>
          <w:spacing w:val="-58"/>
        </w:rPr>
        <w:t> </w:t>
      </w:r>
      <w:r>
        <w:rPr/>
        <w:t>靠计量的权益工具投资，以及与该权益工具挂钩并须通过交付该权益工具结算的衍生金融资产，按照成本计量。</w:t>
      </w:r>
    </w:p>
    <w:p>
      <w:pPr>
        <w:pStyle w:val="BodyText"/>
        <w:spacing w:line="316" w:lineRule="auto" w:before="139"/>
        <w:ind w:right="1131" w:firstLine="360"/>
        <w:jc w:val="both"/>
      </w:pPr>
      <w:r>
        <w:rPr/>
        <w:t>公司采用实际利率法，按摊余成本对金融负债进行后续计量，但下列情况除外：</w:t>
      </w:r>
      <w:r>
        <w:rPr>
          <w:rFonts w:ascii="宋体" w:hAnsi="宋体" w:cs="宋体" w:eastAsia="宋体" w:hint="default"/>
        </w:rPr>
        <w:t>(1)</w:t>
      </w:r>
      <w:r>
        <w:rPr/>
        <w:t>以公允价值计量且其变动计入当期 损益的金融负债，按照公允价值计量，且不扣除将来结清金融负债时可能发生的交易费用；</w:t>
      </w:r>
      <w:r>
        <w:rPr>
          <w:rFonts w:ascii="宋体" w:hAnsi="宋体" w:cs="宋体" w:eastAsia="宋体" w:hint="default"/>
        </w:rPr>
        <w:t>(2)</w:t>
      </w:r>
      <w:r>
        <w:rPr/>
        <w:t>与在活跃市场中没有报价、 公允价值不能可靠计量的权益工具挂钩并须通过交付该权益工具结算的衍生金融负债，按照成本计量；</w:t>
      </w:r>
      <w:r>
        <w:rPr>
          <w:rFonts w:ascii="宋体" w:hAnsi="宋体" w:cs="宋体" w:eastAsia="宋体" w:hint="default"/>
        </w:rPr>
        <w:t>(3)</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spacing w:val="-2"/>
        </w:rPr>
        <w:t>以低于市场利率贷款的贷款承诺，在初始确认后按照下列两项金额之中的较高者进行后续计量：</w:t>
      </w:r>
      <w:r>
        <w:rPr>
          <w:rFonts w:ascii="宋体" w:hAnsi="宋体" w:cs="宋体" w:eastAsia="宋体" w:hint="default"/>
          <w:spacing w:val="-2"/>
        </w:rPr>
        <w:t>1)</w:t>
      </w:r>
      <w:r>
        <w:rPr>
          <w:spacing w:val="-2"/>
        </w:rPr>
        <w:t>按照《企业会计准则第</w:t>
      </w:r>
      <w:r>
        <w:rPr>
          <w:rFonts w:ascii="宋体" w:hAnsi="宋体" w:cs="宋体" w:eastAsia="宋体" w:hint="default"/>
          <w:spacing w:val="-2"/>
        </w:rPr>
        <w:t>13</w:t>
      </w:r>
      <w:r>
        <w:rPr>
          <w:rFonts w:ascii="宋体" w:hAnsi="宋体" w:cs="宋体" w:eastAsia="宋体" w:hint="default"/>
          <w:spacing w:val="-62"/>
        </w:rPr>
        <w:t> </w:t>
      </w:r>
      <w:r>
        <w:rPr>
          <w:spacing w:val="-2"/>
        </w:rPr>
        <w:t>号——或有事项》确定的金额；</w:t>
      </w:r>
      <w:r>
        <w:rPr>
          <w:rFonts w:ascii="宋体" w:hAnsi="宋体" w:cs="宋体" w:eastAsia="宋体" w:hint="default"/>
          <w:spacing w:val="-2"/>
        </w:rPr>
        <w:t>2)</w:t>
      </w:r>
      <w:r>
        <w:rPr>
          <w:spacing w:val="-2"/>
        </w:rPr>
        <w:t>初始确认金额扣除按照《企业会计准则第</w:t>
      </w:r>
      <w:r>
        <w:rPr>
          <w:rFonts w:ascii="宋体" w:hAnsi="宋体" w:cs="宋体" w:eastAsia="宋体" w:hint="default"/>
          <w:spacing w:val="-2"/>
        </w:rPr>
        <w:t>14</w:t>
      </w:r>
      <w:r>
        <w:rPr>
          <w:spacing w:val="-2"/>
        </w:rPr>
        <w:t>号——收入》的原则确定的累积摊销额后的余</w:t>
      </w:r>
      <w:r>
        <w:rPr>
          <w:spacing w:val="-62"/>
        </w:rPr>
        <w:t> </w:t>
      </w:r>
      <w:r>
        <w:rPr>
          <w:spacing w:val="-62"/>
        </w:rPr>
      </w:r>
      <w:r>
        <w:rPr/>
        <w:t>额。</w:t>
      </w:r>
    </w:p>
    <w:p>
      <w:pPr>
        <w:pStyle w:val="BodyText"/>
        <w:spacing w:line="316" w:lineRule="auto" w:before="139"/>
        <w:ind w:right="1130" w:firstLine="360"/>
        <w:jc w:val="both"/>
      </w:pPr>
      <w:r>
        <w:rPr/>
        <w:t>金融资产或金融负债公允价值变动形成的利得或损失，除与套期保值有关外，按照如下方法处理：</w:t>
      </w:r>
      <w:r>
        <w:rPr>
          <w:rFonts w:ascii="宋体" w:hAnsi="宋体" w:cs="宋体" w:eastAsia="宋体" w:hint="default"/>
        </w:rPr>
        <w:t>(1)</w:t>
      </w:r>
      <w:r>
        <w:rPr/>
        <w:t>以公允价值计量 </w:t>
      </w:r>
      <w:r>
        <w:rPr>
          <w:spacing w:val="-2"/>
        </w:rPr>
        <w:t>且其变动计入当期损益的金融资产或金融负债公允价值变动形成的利得或损失，计入公允价值变动损益；在资产持有期间所</w:t>
      </w:r>
      <w:r>
        <w:rPr>
          <w:spacing w:val="-63"/>
        </w:rPr>
        <w:t> </w:t>
      </w:r>
      <w:r>
        <w:rPr>
          <w:spacing w:val="-63"/>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整公允价值变动损益。</w:t>
      </w:r>
      <w:r>
        <w:rPr>
          <w:rFonts w:ascii="宋体" w:hAnsi="宋体" w:cs="宋体" w:eastAsia="宋体" w:hint="default"/>
        </w:rPr>
        <w:t>(2)</w:t>
      </w:r>
      <w:r>
        <w:rPr/>
        <w:t>可供出售金融资产的公允价值变动计入其他综合收益；持有期间按实际利率法计算的利息，计入</w:t>
      </w:r>
    </w:p>
    <w:p>
      <w:pPr>
        <w:spacing w:after="0" w:line="316" w:lineRule="auto"/>
        <w:jc w:val="both"/>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032"/>
        <w:jc w:val="left"/>
      </w:pP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139"/>
        <w:ind w:right="1130"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432" w:lineRule="exact" w:before="4"/>
        <w:ind w:left="514" w:right="1032"/>
        <w:jc w:val="left"/>
      </w:pPr>
      <w:r>
        <w:rPr>
          <w:rFonts w:ascii="宋体" w:hAnsi="宋体" w:cs="宋体" w:eastAsia="宋体" w:hint="default"/>
        </w:rPr>
        <w:t>3. </w:t>
      </w:r>
      <w:r>
        <w:rPr/>
        <w:t>金融资产转移的确认依据和计量方法 </w:t>
      </w:r>
      <w:r>
        <w:rPr>
          <w:spacing w:val="-2"/>
        </w:rPr>
        <w:t>公司已将金融资产所有权上几乎所有的风险和报酬转移给了转入方的，终止确认该金融资产；保留了金融资产所有权上</w:t>
      </w:r>
    </w:p>
    <w:p>
      <w:pPr>
        <w:pStyle w:val="BodyText"/>
        <w:spacing w:line="316" w:lineRule="auto" w:before="15"/>
        <w:ind w:right="1032"/>
        <w:jc w:val="left"/>
      </w:pPr>
      <w:r>
        <w:rPr>
          <w:spacing w:val="-2"/>
        </w:rPr>
        <w:t>几乎所有的风险和报酬的，继续确认所转移的金融资产，并将收到的对价确认为一项金融负债。公司既没有转移也没有保留</w:t>
      </w:r>
      <w:r>
        <w:rPr>
          <w:spacing w:val="-66"/>
        </w:rPr>
        <w:t> </w:t>
      </w:r>
      <w:r>
        <w:rPr>
          <w:spacing w:val="-66"/>
        </w:rPr>
      </w:r>
      <w:r>
        <w:rPr/>
        <w:t>金融资产所有权上几乎所有的风险和报酬的，分别下列情况处理：</w:t>
      </w:r>
      <w:r>
        <w:rPr>
          <w:rFonts w:ascii="宋体" w:hAnsi="宋体" w:cs="宋体" w:eastAsia="宋体" w:hint="default"/>
        </w:rPr>
        <w:t>(1) </w:t>
      </w:r>
      <w:r>
        <w:rPr/>
        <w:t>放弃了对该金融资产控制的，终止确认该金融资产； </w:t>
      </w:r>
      <w:r>
        <w:rPr>
          <w:rFonts w:ascii="宋体" w:hAnsi="宋体" w:cs="宋体" w:eastAsia="宋体" w:hint="default"/>
        </w:rPr>
        <w:t>(2) </w:t>
      </w:r>
      <w:r>
        <w:rPr/>
        <w:t>未放弃对该金融资产控制的，按照继续涉入所转移金融资产的程度确认有关金融资产，并相应确认有关负债。</w:t>
      </w:r>
    </w:p>
    <w:p>
      <w:pPr>
        <w:pStyle w:val="BodyText"/>
        <w:spacing w:line="316" w:lineRule="auto" w:before="139"/>
        <w:ind w:right="1132" w:firstLine="360"/>
        <w:jc w:val="both"/>
      </w:pPr>
      <w:r>
        <w:rPr>
          <w:spacing w:val="-5"/>
        </w:rPr>
        <w:t>金融资产整体转移满足终止确认条件的，将下列两项金额的差额计入当期损益：</w:t>
      </w:r>
      <w:r>
        <w:rPr>
          <w:rFonts w:ascii="宋体" w:hAnsi="宋体" w:cs="宋体" w:eastAsia="宋体" w:hint="default"/>
          <w:spacing w:val="-5"/>
        </w:rPr>
        <w:t>(1)</w:t>
      </w:r>
      <w:r>
        <w:rPr>
          <w:rFonts w:ascii="宋体" w:hAnsi="宋体" w:cs="宋体" w:eastAsia="宋体" w:hint="default"/>
        </w:rPr>
        <w:t> </w:t>
      </w:r>
      <w:r>
        <w:rPr>
          <w:spacing w:val="-6"/>
        </w:rPr>
        <w:t>所转移金融资产的账面价值；</w:t>
      </w:r>
      <w:r>
        <w:rPr>
          <w:rFonts w:ascii="宋体" w:hAnsi="宋体" w:cs="宋体" w:eastAsia="宋体" w:hint="default"/>
          <w:spacing w:val="-6"/>
        </w:rPr>
        <w:t>(2)</w:t>
      </w:r>
      <w:r>
        <w:rPr>
          <w:rFonts w:ascii="宋体" w:hAnsi="宋体" w:cs="宋体" w:eastAsia="宋体" w:hint="default"/>
          <w:spacing w:val="22"/>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宋体" w:hAnsi="宋体" w:cs="宋体" w:eastAsia="宋体" w:hint="default"/>
        </w:rPr>
        <w:t>(1)</w:t>
      </w:r>
      <w:r>
        <w:rPr>
          <w:rFonts w:ascii="宋体" w:hAnsi="宋体" w:cs="宋体" w:eastAsia="宋体" w:hint="default"/>
          <w:spacing w:val="-41"/>
        </w:rPr>
        <w:t> </w:t>
      </w:r>
      <w:r>
        <w:rPr/>
        <w:t>终止确认部分的账面价值；</w:t>
      </w:r>
      <w:r>
        <w:rPr>
          <w:rFonts w:ascii="宋体" w:hAnsi="宋体" w:cs="宋体" w:eastAsia="宋体" w:hint="default"/>
        </w:rPr>
        <w:t>(2)</w:t>
      </w:r>
      <w:r>
        <w:rPr>
          <w:rFonts w:ascii="宋体" w:hAnsi="宋体" w:cs="宋体" w:eastAsia="宋体" w:hint="default"/>
          <w:spacing w:val="-41"/>
        </w:rPr>
        <w:t> </w:t>
      </w:r>
      <w:r>
        <w:rPr/>
        <w:t>终止确认部分的对价，与原直接计入所有者权益的公允价值变 动累计额中对应终止确认部分的金额之和。</w:t>
      </w:r>
    </w:p>
    <w:p>
      <w:pPr>
        <w:pStyle w:val="BodyText"/>
        <w:spacing w:line="432" w:lineRule="exact" w:before="3"/>
        <w:ind w:left="514" w:right="1032"/>
        <w:jc w:val="left"/>
      </w:pPr>
      <w:r>
        <w:rPr>
          <w:rFonts w:ascii="宋体" w:hAnsi="宋体" w:cs="宋体" w:eastAsia="宋体" w:hint="default"/>
        </w:rPr>
        <w:t>4. </w:t>
      </w:r>
      <w:r>
        <w:rPr/>
        <w:t>主要金融资产和金融负债的公允价值确定方法 </w:t>
      </w:r>
      <w:r>
        <w:rPr>
          <w:spacing w:val="-2"/>
        </w:rPr>
        <w:t>存在活跃市场的金融资产或金融负债，以活跃市场的报价确定其公允价值；不存在活跃市场的金融资产或金融负债，采</w:t>
      </w:r>
    </w:p>
    <w:p>
      <w:pPr>
        <w:pStyle w:val="BodyText"/>
        <w:spacing w:line="316" w:lineRule="auto" w:before="15"/>
        <w:ind w:right="1139"/>
        <w:jc w:val="both"/>
      </w:pPr>
      <w:r>
        <w:rPr/>
        <w:t>用估值技术</w:t>
      </w:r>
      <w:r>
        <w:rPr>
          <w:rFonts w:ascii="宋体" w:hAnsi="宋体" w:cs="宋体" w:eastAsia="宋体" w:hint="default"/>
        </w:rPr>
        <w:t>(</w:t>
      </w:r>
      <w:r>
        <w:rPr/>
        <w:t>包括参考熟悉情况并自愿交易的各方最近进行的市场交易中使用的价格、参照实质上相同的其他金融工具的当 前公允价值、现金流量折现法和期权定价模型等</w:t>
      </w:r>
      <w:r>
        <w:rPr>
          <w:rFonts w:ascii="宋体" w:hAnsi="宋体" w:cs="宋体" w:eastAsia="宋体" w:hint="default"/>
        </w:rPr>
        <w:t>)</w:t>
      </w:r>
      <w:r>
        <w:rPr/>
        <w:t>确定其公允价值；初始取得或源生的金融资产或承担的金融负债，以市场 交易价格作为确定其公允价值的基础。</w:t>
      </w:r>
    </w:p>
    <w:p>
      <w:pPr>
        <w:pStyle w:val="BodyText"/>
        <w:spacing w:line="432" w:lineRule="exact" w:before="4"/>
        <w:ind w:left="514" w:right="1032"/>
        <w:jc w:val="left"/>
      </w:pPr>
      <w:r>
        <w:rPr>
          <w:rFonts w:ascii="宋体" w:hAnsi="宋体" w:cs="宋体" w:eastAsia="宋体" w:hint="default"/>
        </w:rPr>
        <w:t>5. </w:t>
      </w:r>
      <w:r>
        <w:rPr/>
        <w:t>金融资产的减值测试和减值准备计提方法 </w:t>
      </w:r>
      <w:r>
        <w:rPr>
          <w:spacing w:val="-2"/>
        </w:rPr>
        <w:t>资产负债表日对以公允价值计量且其变动计入当期损益的金融资产以外的金融资产的账面价值进行检查，如有客观证据</w:t>
      </w:r>
    </w:p>
    <w:p>
      <w:pPr>
        <w:pStyle w:val="BodyText"/>
        <w:spacing w:line="240" w:lineRule="auto" w:before="15"/>
        <w:ind w:right="1032"/>
        <w:jc w:val="left"/>
      </w:pPr>
      <w:r>
        <w:rPr/>
        <w:t>表明该金融资产发生减值的，计提减值准备。</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spacing w:val="-2"/>
        </w:rPr>
        <w:t>对单项金额重大的金融资产单独进行减值测试；对单项金额不重大的金融资产，可以单独进行减值测试，或包括在具有</w:t>
      </w:r>
      <w:r>
        <w:rPr/>
        <w:t> 类似信用风险特征的金融资产组合中进行减值测试；单独测试未发生减值的金融资产</w:t>
      </w:r>
      <w:r>
        <w:rPr>
          <w:rFonts w:ascii="宋体" w:hAnsi="宋体" w:cs="宋体" w:eastAsia="宋体" w:hint="default"/>
        </w:rPr>
        <w:t>(</w:t>
      </w:r>
      <w:r>
        <w:rPr/>
        <w:t>包括单项金额重大和不重大的金融资 产</w:t>
      </w:r>
      <w:r>
        <w:rPr>
          <w:rFonts w:ascii="宋体" w:hAnsi="宋体" w:cs="宋体" w:eastAsia="宋体" w:hint="default"/>
        </w:rPr>
        <w:t>)</w:t>
      </w:r>
      <w:r>
        <w:rPr/>
        <w:t>，包括在具有类似信用风险特征的金融资产组合中再进行减值测试。</w:t>
      </w:r>
    </w:p>
    <w:p>
      <w:pPr>
        <w:pStyle w:val="BodyText"/>
        <w:spacing w:line="316" w:lineRule="auto" w:before="139"/>
        <w:ind w:right="1131" w:firstLine="420"/>
        <w:jc w:val="both"/>
      </w:pP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16" w:lineRule="auto" w:before="139"/>
        <w:ind w:right="1050" w:firstLine="360"/>
        <w:jc w:val="both"/>
      </w:pPr>
      <w:r>
        <w:rPr/>
        <w:t>可供出售金融资产的公允价值发生较大幅度下降，或在综合考虑各种相关因素后，预期这种下降趋势属于非暂时性的， 确认其减值损失，并将原直接计入其他综合收益的公允价值累计损失一并转出计入减值损失。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1032"/>
        <w:jc w:val="left"/>
        <w:rPr>
          <w:b w:val="0"/>
          <w:bCs w:val="0"/>
        </w:rPr>
      </w:pPr>
      <w:bookmarkStart w:name="11、应收票据及应收账款" w:id="173"/>
      <w:bookmarkEnd w:id="17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单项金额重大并单独计提坏账准备的应收款项" w:id="174"/>
      <w:bookmarkEnd w:id="1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的款项；其他应收款金</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额在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 价值的差额计提坏账准备。</w:t>
            </w:r>
          </w:p>
        </w:tc>
      </w:tr>
    </w:tbl>
    <w:p>
      <w:pPr>
        <w:spacing w:line="240" w:lineRule="auto" w:before="2"/>
        <w:rPr>
          <w:rFonts w:ascii="宋体" w:hAnsi="宋体" w:cs="宋体" w:eastAsia="宋体" w:hint="default"/>
          <w:b/>
          <w:bCs/>
          <w:sz w:val="19"/>
          <w:szCs w:val="19"/>
        </w:rPr>
      </w:pPr>
    </w:p>
    <w:p>
      <w:pPr>
        <w:spacing w:before="35"/>
        <w:ind w:left="154" w:right="1032" w:firstLine="0"/>
        <w:jc w:val="left"/>
        <w:rPr>
          <w:rFonts w:ascii="宋体" w:hAnsi="宋体" w:cs="宋体" w:eastAsia="宋体" w:hint="default"/>
          <w:sz w:val="21"/>
          <w:szCs w:val="21"/>
        </w:rPr>
      </w:pPr>
      <w:bookmarkStart w:name="（2）按信用风险特征组合计提坏账准备的应收款项"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032"/>
        <w:jc w:val="left"/>
      </w:pPr>
      <w:r>
        <w:rPr/>
        <w:t>组合中，采用账龄分析法计提坏账准备的：</w:t>
      </w:r>
    </w:p>
    <w:p>
      <w:pPr>
        <w:pStyle w:val="BodyText"/>
        <w:spacing w:line="240" w:lineRule="auto" w:before="116"/>
        <w:ind w:right="1032"/>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8"/>
        <w:ind w:right="1032"/>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单项金额不重大但单独计提坏账准备的应收款项" w:id="176"/>
      <w:bookmarkEnd w:id="17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3073"/>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 注：按照不同业务模式对应收款项的确认、回款条件、坏账计提政策进行详细披露。</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 应收款项组合的未来现金流量现值存在显著差异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 价值的差额计提坏账准备</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2、存货" w:id="177"/>
      <w:bookmarkEnd w:id="177"/>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1032"/>
        <w:jc w:val="left"/>
      </w:pPr>
      <w:r>
        <w:rPr/>
        <w:t>装修装饰业</w:t>
      </w:r>
    </w:p>
    <w:p>
      <w:pPr>
        <w:pStyle w:val="BodyText"/>
        <w:spacing w:line="240" w:lineRule="auto" w:before="116"/>
        <w:ind w:left="514" w:right="1032"/>
        <w:jc w:val="left"/>
      </w:pPr>
      <w:r>
        <w:rPr>
          <w:rFonts w:ascii="宋体" w:hAnsi="宋体" w:cs="宋体" w:eastAsia="宋体" w:hint="default"/>
        </w:rPr>
        <w:t>1. </w:t>
      </w:r>
      <w:r>
        <w:rPr/>
        <w:t>存货的分类</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439" w:lineRule="auto" w:before="44"/>
        <w:ind w:left="514" w:right="4992"/>
        <w:jc w:val="left"/>
      </w:pPr>
      <w:r>
        <w:rPr/>
        <w:t>存货包括工程施工、周转材料等。各类存货的购入按实际成本入账。 </w:t>
      </w:r>
      <w:r>
        <w:rPr>
          <w:rFonts w:ascii="宋体" w:hAnsi="宋体" w:cs="宋体" w:eastAsia="宋体" w:hint="default"/>
        </w:rPr>
        <w:t>2. </w:t>
      </w:r>
      <w:r>
        <w:rPr/>
        <w:t>发出存货的计价方法</w:t>
      </w:r>
    </w:p>
    <w:p>
      <w:pPr>
        <w:pStyle w:val="BodyText"/>
        <w:spacing w:line="240" w:lineRule="auto" w:before="47"/>
        <w:ind w:left="514" w:right="1032"/>
        <w:jc w:val="left"/>
      </w:pPr>
      <w:r>
        <w:rPr/>
        <w:t>各类存货的发出采用实际成本计价。</w:t>
      </w:r>
    </w:p>
    <w:p>
      <w:pPr>
        <w:pStyle w:val="BodyText"/>
        <w:spacing w:line="430" w:lineRule="atLeast" w:before="2"/>
        <w:ind w:left="514" w:right="1032"/>
        <w:jc w:val="left"/>
      </w:pPr>
      <w:r>
        <w:rPr>
          <w:rFonts w:ascii="宋体" w:hAnsi="宋体" w:cs="宋体" w:eastAsia="宋体" w:hint="default"/>
        </w:rPr>
        <w:t>3. </w:t>
      </w:r>
      <w:r>
        <w:rPr/>
        <w:t>存货可变现净值的确定依据及存货跌价准备的计提方法 </w:t>
      </w:r>
      <w:r>
        <w:rPr>
          <w:spacing w:val="-2"/>
        </w:rPr>
        <w:t>资产负债表日，存货采用成本与可变现净值孰低计量，按照单个存货成本高于可变现净值的差额计提存货跌价准备。直</w:t>
      </w:r>
    </w:p>
    <w:p>
      <w:pPr>
        <w:pStyle w:val="BodyText"/>
        <w:spacing w:line="316" w:lineRule="auto" w:before="76"/>
        <w:ind w:right="1032"/>
        <w:jc w:val="left"/>
      </w:pPr>
      <w:r>
        <w:rPr/>
        <w:t>接用于出售的存货，在正常生产经营过程中以该存货的估计售价减去估计的销售费用和相关税费后的金额确定其可变现净 </w:t>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439" w:lineRule="auto" w:before="139"/>
        <w:ind w:left="514" w:right="7872"/>
        <w:jc w:val="left"/>
      </w:pPr>
      <w:r>
        <w:rPr>
          <w:rFonts w:ascii="宋体" w:hAnsi="宋体" w:cs="宋体" w:eastAsia="宋体" w:hint="default"/>
        </w:rPr>
        <w:t>4. </w:t>
      </w:r>
      <w:r>
        <w:rPr/>
        <w:t>存货的盘存制度 存货的盘存制度为永续盘存制。</w:t>
      </w:r>
    </w:p>
    <w:p>
      <w:pPr>
        <w:pStyle w:val="BodyText"/>
        <w:spacing w:line="439" w:lineRule="auto" w:before="47"/>
        <w:ind w:left="514" w:right="7602"/>
        <w:jc w:val="left"/>
      </w:pPr>
      <w:r>
        <w:rPr>
          <w:rFonts w:ascii="宋体" w:hAnsi="宋体" w:cs="宋体" w:eastAsia="宋体" w:hint="default"/>
        </w:rPr>
        <w:t>5. </w:t>
      </w:r>
      <w:r>
        <w:rPr/>
        <w:t>低值易耗品和包装物的摊销方法 按照一次转销法进行摊销。 </w:t>
      </w:r>
      <w:r>
        <w:rPr>
          <w:rFonts w:ascii="宋体" w:hAnsi="宋体" w:cs="宋体" w:eastAsia="宋体" w:hint="default"/>
        </w:rPr>
        <w:t>6.</w:t>
      </w:r>
      <w:r>
        <w:rPr/>
        <w:t>工程施工的具体核算方法</w:t>
      </w:r>
    </w:p>
    <w:p>
      <w:pPr>
        <w:pStyle w:val="BodyText"/>
        <w:spacing w:line="316" w:lineRule="auto" w:before="47"/>
        <w:ind w:right="1131" w:firstLine="360"/>
        <w:jc w:val="both"/>
      </w:pPr>
      <w:r>
        <w:rPr>
          <w:spacing w:val="-2"/>
        </w:rPr>
        <w:t>工程施工的具体核算方法为：以单个工程项目为核算对象，分别核算工程施工成本。项目完工前，按单个工程项目归集</w:t>
      </w:r>
      <w:r>
        <w:rPr/>
        <w:t> </w:t>
      </w:r>
      <w:r>
        <w:rPr>
          <w:spacing w:val="-2"/>
        </w:rPr>
        <w:t>所发生的实际施工成本</w:t>
      </w:r>
      <w:r>
        <w:rPr>
          <w:rFonts w:ascii="宋体" w:hAnsi="宋体" w:cs="宋体" w:eastAsia="宋体" w:hint="default"/>
          <w:spacing w:val="-2"/>
        </w:rPr>
        <w:t>(</w:t>
      </w:r>
      <w:r>
        <w:rPr>
          <w:spacing w:val="-2"/>
        </w:rPr>
        <w:t>包括材料、人工、其他费用等</w:t>
      </w:r>
      <w:r>
        <w:rPr>
          <w:rFonts w:ascii="宋体" w:hAnsi="宋体" w:cs="宋体" w:eastAsia="宋体" w:hint="default"/>
          <w:spacing w:val="-2"/>
        </w:rPr>
        <w:t>)</w:t>
      </w:r>
      <w:r>
        <w:rPr>
          <w:spacing w:val="-2"/>
        </w:rPr>
        <w:t>。期末，未完工工程项目的工程施工成本及累计确认的工程施工毛利</w:t>
      </w:r>
      <w:r>
        <w:rPr>
          <w:spacing w:val="-64"/>
        </w:rPr>
        <w:t> </w:t>
      </w:r>
      <w:r>
        <w:rPr>
          <w:spacing w:val="-64"/>
        </w:rPr>
      </w:r>
      <w:r>
        <w:rPr/>
        <w:t>与对应的工程结算对抵，借方余额列示于存货科目，贷方余额列示于预收账款科目。</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13、长期股权投资" w:id="178"/>
      <w:bookmarkEnd w:id="178"/>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rFonts w:ascii="宋体" w:hAnsi="宋体" w:cs="宋体" w:eastAsia="宋体" w:hint="default"/>
        </w:rPr>
        <w:t>1. </w:t>
      </w:r>
      <w:r>
        <w:rPr/>
        <w:t>投资成本的确定</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t>（</w:t>
      </w:r>
      <w:r>
        <w:rPr>
          <w:rFonts w:ascii="宋体" w:hAnsi="宋体" w:cs="宋体" w:eastAsia="宋体" w:hint="default"/>
        </w:rPr>
        <w:t>1</w:t>
      </w:r>
      <w:r>
        <w:rPr/>
        <w:t>）</w:t>
      </w:r>
      <w:r>
        <w:rPr>
          <w:spacing w:val="9"/>
        </w:rPr>
        <w:t> </w:t>
      </w:r>
      <w:r>
        <w:rPr>
          <w:spacing w:val="-2"/>
        </w:rPr>
        <w:t>同一控制下的企业合并形成的，合并方以支付现金、转让非现金资产、承担债务或发行权益性证券作为合并对价</w:t>
      </w:r>
      <w:r>
        <w:rPr/>
        <w:t>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w:t>
      </w:r>
      <w:r>
        <w:rPr>
          <w:spacing w:val="-61"/>
        </w:rPr>
        <w:t> </w:t>
      </w:r>
      <w:r>
        <w:rPr>
          <w:spacing w:val="-61"/>
        </w:rPr>
      </w:r>
      <w:r>
        <w:rPr/>
        <w:t>积不足冲减的，调整留存收益。</w:t>
      </w:r>
    </w:p>
    <w:p>
      <w:pPr>
        <w:pStyle w:val="BodyText"/>
        <w:spacing w:line="316" w:lineRule="auto" w:before="139"/>
        <w:ind w:right="1131" w:firstLine="360"/>
        <w:jc w:val="both"/>
      </w:pPr>
      <w:r>
        <w:rPr>
          <w:spacing w:val="-2"/>
        </w:rPr>
        <w:t>分步实现同一控制下企业合并的，应当以持股比例计算的合并日应享有被合并方账面所有者权益份额作为该项投资的初</w:t>
      </w:r>
      <w:r>
        <w:rPr/>
        <w:t> </w:t>
      </w:r>
      <w:r>
        <w:rPr>
          <w:spacing w:val="-2"/>
        </w:rPr>
        <w:t>始投资成本。初始投资成本与其原长期股权投资账面价值加上合并日取得进一步股份新支付对价的账面价值之和的差额，调</w:t>
      </w:r>
      <w:r>
        <w:rPr>
          <w:spacing w:val="-64"/>
        </w:rPr>
        <w:t> </w:t>
      </w:r>
      <w:r>
        <w:rPr>
          <w:spacing w:val="-64"/>
        </w:rPr>
      </w:r>
      <w:r>
        <w:rPr>
          <w:spacing w:val="-3"/>
        </w:rPr>
        <w:t>整资本公积（资本溢价或股本溢价），资本公积不足冲减的，冲减留存收益。</w:t>
      </w:r>
    </w:p>
    <w:p>
      <w:pPr>
        <w:pStyle w:val="BodyText"/>
        <w:spacing w:line="240" w:lineRule="auto" w:before="139"/>
        <w:ind w:left="514" w:right="1032"/>
        <w:jc w:val="left"/>
      </w:pPr>
      <w:r>
        <w:rPr/>
        <w:t>（</w:t>
      </w:r>
      <w:r>
        <w:rPr>
          <w:rFonts w:ascii="宋体" w:hAnsi="宋体" w:cs="宋体" w:eastAsia="宋体" w:hint="default"/>
        </w:rPr>
        <w:t>2</w:t>
      </w:r>
      <w:r>
        <w:rPr/>
        <w:t>） 非同一控制下的企业合并形成的，在购买日按照支付的合并对价的公允价值作为其初始投资成本。</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t>（</w:t>
      </w:r>
      <w:r>
        <w:rPr>
          <w:rFonts w:ascii="宋体" w:hAnsi="宋体" w:cs="宋体" w:eastAsia="宋体" w:hint="default"/>
        </w:rPr>
        <w:t>3</w:t>
      </w:r>
      <w:r>
        <w:rPr/>
        <w:t>）</w:t>
      </w:r>
      <w:r>
        <w:rPr>
          <w:spacing w:val="10"/>
        </w:rPr>
        <w:t> </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6"/>
        </w:rPr>
        <w:t> </w:t>
      </w:r>
      <w:r>
        <w:rPr>
          <w:spacing w:val="-66"/>
        </w:rPr>
      </w:r>
      <w:r>
        <w:rPr>
          <w:spacing w:val="-5"/>
        </w:rPr>
        <w:t>投资成本（合同或协议约定价值不公允的除外）。</w:t>
      </w:r>
    </w:p>
    <w:p>
      <w:pPr>
        <w:pStyle w:val="BodyText"/>
        <w:spacing w:line="432" w:lineRule="exact" w:before="3"/>
        <w:ind w:left="514" w:right="1122"/>
        <w:jc w:val="left"/>
      </w:pPr>
      <w:r>
        <w:rPr>
          <w:rFonts w:ascii="宋体" w:hAnsi="宋体" w:cs="宋体" w:eastAsia="宋体" w:hint="default"/>
        </w:rPr>
        <w:t>2. </w:t>
      </w:r>
      <w:r>
        <w:rPr/>
        <w:t>后续计量及损益确认方法 本公司能够对被投资单位实施控制的长期股权投资</w:t>
      </w:r>
      <w:r>
        <w:rPr>
          <w:rFonts w:ascii="宋体" w:hAnsi="宋体" w:cs="宋体" w:eastAsia="宋体" w:hint="default"/>
        </w:rPr>
        <w:t>,</w:t>
      </w:r>
      <w:r>
        <w:rPr/>
        <w:t>在本公司个别财务报表中采用成本法核算；对具有共同控制或重大</w:t>
      </w:r>
    </w:p>
    <w:p>
      <w:pPr>
        <w:pStyle w:val="BodyText"/>
        <w:spacing w:line="240" w:lineRule="auto" w:before="15"/>
        <w:ind w:right="1032"/>
        <w:jc w:val="left"/>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16" w:lineRule="auto"/>
        <w:ind w:right="1122" w:firstLine="360"/>
        <w:jc w:val="left"/>
      </w:pPr>
      <w:r>
        <w:rPr/>
        <w:t>采用成本法时</w:t>
      </w:r>
      <w:r>
        <w:rPr>
          <w:rFonts w:ascii="宋体" w:hAnsi="宋体" w:cs="宋体" w:eastAsia="宋体" w:hint="default"/>
        </w:rPr>
        <w:t>,</w:t>
      </w:r>
      <w:r>
        <w:rPr/>
        <w:t>长期股权投资按初始投资成本计价</w:t>
      </w:r>
      <w:r>
        <w:rPr>
          <w:rFonts w:ascii="宋体" w:hAnsi="宋体" w:cs="宋体" w:eastAsia="宋体" w:hint="default"/>
        </w:rPr>
        <w:t>,</w:t>
      </w:r>
      <w:r>
        <w:rPr/>
        <w:t>除取得投资时实际支付的价款或对价中包含的已宣告但尚未发放的 现金股利或利润外</w:t>
      </w:r>
      <w:r>
        <w:rPr>
          <w:rFonts w:ascii="宋体" w:hAnsi="宋体" w:cs="宋体" w:eastAsia="宋体" w:hint="default"/>
        </w:rPr>
        <w:t>,</w:t>
      </w:r>
      <w:r>
        <w:rPr/>
        <w:t>按享有被投资单位宣告分派的现金股利或利润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 长期投资是否减值。</w:t>
      </w:r>
    </w:p>
    <w:p>
      <w:pPr>
        <w:spacing w:after="0" w:line="316"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22" w:firstLine="360"/>
        <w:jc w:val="left"/>
      </w:pPr>
      <w:r>
        <w:rPr/>
        <w:t>采用权益法时</w:t>
      </w:r>
      <w:r>
        <w:rPr>
          <w:rFonts w:ascii="宋体" w:hAnsi="宋体" w:cs="宋体" w:eastAsia="宋体" w:hint="default"/>
        </w:rPr>
        <w:t>,</w:t>
      </w:r>
      <w:r>
        <w:rPr/>
        <w:t>长期股权投资的初始投资成本大于投资时应享有被投资单位可辨认净资产公允价值份额的</w:t>
      </w:r>
      <w:r>
        <w:rPr>
          <w:rFonts w:ascii="宋体" w:hAnsi="宋体" w:cs="宋体" w:eastAsia="宋体" w:hint="default"/>
        </w:rPr>
        <w:t>,</w:t>
      </w:r>
      <w:r>
        <w:rPr/>
        <w:t>归入长期股 权投资的初始投资成本；长期股权投资的初始投资成本小于投资时应享有被投资单位可辨认净资产公允价值份额的</w:t>
      </w:r>
      <w:r>
        <w:rPr>
          <w:rFonts w:ascii="宋体" w:hAnsi="宋体" w:cs="宋体" w:eastAsia="宋体" w:hint="default"/>
        </w:rPr>
        <w:t>,</w:t>
      </w:r>
      <w:r>
        <w:rPr/>
        <w:t>其差额 计入当期损益</w:t>
      </w:r>
      <w:r>
        <w:rPr>
          <w:rFonts w:ascii="宋体" w:hAnsi="宋体" w:cs="宋体" w:eastAsia="宋体" w:hint="default"/>
        </w:rPr>
        <w:t>,</w:t>
      </w:r>
      <w:r>
        <w:rPr/>
        <w:t>同时调整长期股权投资的成本。</w:t>
      </w:r>
    </w:p>
    <w:p>
      <w:pPr>
        <w:pStyle w:val="BodyText"/>
        <w:spacing w:line="316" w:lineRule="auto" w:before="139"/>
        <w:ind w:right="1122" w:firstLine="360"/>
        <w:jc w:val="left"/>
      </w:pPr>
      <w:r>
        <w:rPr/>
        <w:t>采用权益法时</w:t>
      </w:r>
      <w:r>
        <w:rPr>
          <w:rFonts w:ascii="宋体" w:hAnsi="宋体" w:cs="宋体" w:eastAsia="宋体" w:hint="default"/>
        </w:rPr>
        <w:t>,</w:t>
      </w:r>
      <w:r>
        <w:rPr/>
        <w:t>取得长期股权投资后</w:t>
      </w:r>
      <w:r>
        <w:rPr>
          <w:rFonts w:ascii="宋体" w:hAnsi="宋体" w:cs="宋体" w:eastAsia="宋体" w:hint="default"/>
        </w:rPr>
        <w:t>,</w:t>
      </w:r>
      <w:r>
        <w:rPr/>
        <w:t>按照应享有或应分担的被投资单位实现的净损益的份额</w:t>
      </w:r>
      <w:r>
        <w:rPr>
          <w:rFonts w:ascii="宋体" w:hAnsi="宋体" w:cs="宋体" w:eastAsia="宋体" w:hint="default"/>
        </w:rPr>
        <w:t>,</w:t>
      </w:r>
      <w:r>
        <w:rPr/>
        <w:t>确认投资损益并调整长期 股权投资的账面价值。在确认应享有被投资单位净损益的份额时</w:t>
      </w:r>
      <w:r>
        <w:rPr>
          <w:rFonts w:ascii="宋体" w:hAnsi="宋体" w:cs="宋体" w:eastAsia="宋体" w:hint="default"/>
        </w:rPr>
        <w:t>,</w:t>
      </w:r>
      <w:r>
        <w:rPr/>
        <w:t>以取得投资时被投资单位各项可辨认资产等的公允价值为 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并抵销与联营企业及合营企业之间发生的内部交易损益按照持股比例计算归属于 </w:t>
      </w:r>
      <w:r>
        <w:rPr>
          <w:spacing w:val="-2"/>
        </w:rPr>
        <w:t>投资企业的部分</w:t>
      </w:r>
      <w:r>
        <w:rPr>
          <w:rFonts w:ascii="宋体" w:hAnsi="宋体" w:cs="宋体" w:eastAsia="宋体" w:hint="default"/>
          <w:spacing w:val="-2"/>
        </w:rPr>
        <w:t>(</w:t>
      </w:r>
      <w:r>
        <w:rPr>
          <w:spacing w:val="-2"/>
        </w:rPr>
        <w:t>但内部交易损失属于资产减值损失的</w:t>
      </w:r>
      <w:r>
        <w:rPr>
          <w:rFonts w:ascii="宋体" w:hAnsi="宋体" w:cs="宋体" w:eastAsia="宋体" w:hint="default"/>
          <w:spacing w:val="-2"/>
        </w:rPr>
        <w:t>,</w:t>
      </w:r>
      <w:r>
        <w:rPr>
          <w:spacing w:val="-2"/>
        </w:rPr>
        <w:t>应全额确认</w:t>
      </w:r>
      <w:r>
        <w:rPr>
          <w:rFonts w:ascii="宋体" w:hAnsi="宋体" w:cs="宋体" w:eastAsia="宋体" w:hint="default"/>
          <w:spacing w:val="-2"/>
        </w:rPr>
        <w:t>),</w:t>
      </w:r>
      <w:r>
        <w:rPr>
          <w:spacing w:val="-2"/>
        </w:rPr>
        <w:t>对被投资单位的净利润进行调整后确认。按照被投资单</w:t>
      </w:r>
      <w:r>
        <w:rPr>
          <w:spacing w:val="-60"/>
        </w:rPr>
        <w:t> </w:t>
      </w:r>
      <w:r>
        <w:rPr>
          <w:spacing w:val="-60"/>
        </w:rPr>
      </w:r>
      <w:r>
        <w:rPr>
          <w:spacing w:val="-2"/>
        </w:rPr>
        <w:t>位宣告分派的利润或现金股利计算应分得的部分</w:t>
      </w:r>
      <w:r>
        <w:rPr>
          <w:rFonts w:ascii="宋体" w:hAnsi="宋体" w:cs="宋体" w:eastAsia="宋体" w:hint="default"/>
          <w:spacing w:val="-2"/>
        </w:rPr>
        <w:t>,</w:t>
      </w:r>
      <w:r>
        <w:rPr>
          <w:spacing w:val="-2"/>
        </w:rPr>
        <w:t>相应减少长期股权投资的账面价值。本公司确认被投资单位发生的净亏损</w:t>
      </w:r>
      <w:r>
        <w:rPr>
          <w:rFonts w:ascii="宋体" w:hAnsi="宋体" w:cs="宋体" w:eastAsia="宋体" w:hint="default"/>
          <w:spacing w:val="-2"/>
        </w:rPr>
        <w:t>,</w:t>
      </w:r>
      <w:r>
        <w:rPr>
          <w:rFonts w:ascii="宋体" w:hAnsi="宋体" w:cs="宋体" w:eastAsia="宋体" w:hint="default"/>
          <w:spacing w:val="-62"/>
        </w:rPr>
        <w:t> </w:t>
      </w:r>
      <w:r>
        <w:rPr/>
        <w:t>以长期股权投资的账面价值以及其他实质上构成对被投资单位净投资的长期权益减记至零为限</w:t>
      </w:r>
      <w:r>
        <w:rPr>
          <w:rFonts w:ascii="宋体" w:hAnsi="宋体" w:cs="宋体" w:eastAsia="宋体" w:hint="default"/>
        </w:rPr>
        <w:t>,</w:t>
      </w:r>
      <w:r>
        <w:rPr/>
        <w:t>本公司负有承担额外损失义 务的除外。对于被投资单位除净损益以外所有者权益的其他变动</w:t>
      </w:r>
      <w:r>
        <w:rPr>
          <w:rFonts w:ascii="宋体" w:hAnsi="宋体" w:cs="宋体" w:eastAsia="宋体" w:hint="default"/>
        </w:rPr>
        <w:t>,</w:t>
      </w:r>
      <w:r>
        <w:rPr/>
        <w:t>调整长期股权投资的账面价值并计入所有者权益。</w:t>
      </w:r>
    </w:p>
    <w:p>
      <w:pPr>
        <w:pStyle w:val="BodyText"/>
        <w:spacing w:line="432" w:lineRule="exact" w:before="3"/>
        <w:ind w:left="514" w:right="1032"/>
        <w:jc w:val="left"/>
      </w:pPr>
      <w:r>
        <w:rPr>
          <w:rFonts w:ascii="宋体" w:hAnsi="宋体" w:cs="宋体" w:eastAsia="宋体" w:hint="default"/>
        </w:rPr>
        <w:t>3. </w:t>
      </w:r>
      <w:r>
        <w:rPr/>
        <w:t>确定对被投资单位具有控制、重大影响的依据 </w:t>
      </w:r>
      <w:r>
        <w:rPr>
          <w:spacing w:val="-2"/>
        </w:rPr>
        <w:t>控制，是指拥有对被投资方的权力，通过参与被投资方的相关活动而享有可变回报，并且有能力运用对被投资方的权力</w:t>
      </w:r>
    </w:p>
    <w:p>
      <w:pPr>
        <w:pStyle w:val="BodyText"/>
        <w:spacing w:line="316" w:lineRule="auto" w:before="15"/>
        <w:ind w:right="1032"/>
        <w:jc w:val="left"/>
      </w:pPr>
      <w:r>
        <w:rPr>
          <w:spacing w:val="-2"/>
        </w:rPr>
        <w:t>影响回报金额；重大影响，是指投资方对被投资单位的财务和经营政策有参与决策的权力，但并不能够控制或者与其他方一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240" w:lineRule="auto" w:before="139"/>
        <w:ind w:left="514" w:right="1032"/>
        <w:jc w:val="left"/>
      </w:pPr>
      <w:r>
        <w:rPr>
          <w:rFonts w:ascii="宋体" w:hAnsi="宋体" w:cs="宋体" w:eastAsia="宋体" w:hint="default"/>
        </w:rPr>
        <w:t>4. </w:t>
      </w:r>
      <w:r>
        <w:rPr/>
        <w:t>长期股权投资的处置</w:t>
      </w:r>
    </w:p>
    <w:p>
      <w:pPr>
        <w:pStyle w:val="BodyText"/>
        <w:spacing w:line="430" w:lineRule="atLeast" w:before="2"/>
        <w:ind w:left="514" w:right="1032"/>
        <w:jc w:val="left"/>
      </w:pPr>
      <w:r>
        <w:rPr/>
        <w:t>（</w:t>
      </w:r>
      <w:r>
        <w:rPr>
          <w:rFonts w:ascii="宋体" w:hAnsi="宋体" w:cs="宋体" w:eastAsia="宋体" w:hint="default"/>
        </w:rPr>
        <w:t>1</w:t>
      </w:r>
      <w:r>
        <w:rPr/>
        <w:t>）部分处置对子公司的长期股权投资，但不丧失控制权的情形 </w:t>
      </w:r>
      <w:r>
        <w:rPr>
          <w:spacing w:val="-2"/>
        </w:rPr>
        <w:t>部分处置对子公司的长期股权投资，但不丧失控制权时，应当将处置价款与处置投资对应的账面价值的差额确认为当期</w:t>
      </w:r>
    </w:p>
    <w:p>
      <w:pPr>
        <w:pStyle w:val="BodyText"/>
        <w:spacing w:line="240" w:lineRule="auto" w:before="76"/>
        <w:ind w:right="0"/>
        <w:jc w:val="both"/>
      </w:pPr>
      <w:r>
        <w:rPr/>
        <w:t>投资收益。</w:t>
      </w:r>
    </w:p>
    <w:p>
      <w:pPr>
        <w:pStyle w:val="BodyText"/>
        <w:spacing w:line="432" w:lineRule="exact" w:before="61"/>
        <w:ind w:left="514" w:right="1032"/>
        <w:jc w:val="left"/>
      </w:pPr>
      <w:r>
        <w:rPr/>
        <w:t>（</w:t>
      </w:r>
      <w:r>
        <w:rPr>
          <w:rFonts w:ascii="宋体" w:hAnsi="宋体" w:cs="宋体" w:eastAsia="宋体" w:hint="default"/>
        </w:rPr>
        <w:t>2</w:t>
      </w:r>
      <w:r>
        <w:rPr/>
        <w:t>）部分处置股权投资或其他原因丧失了对子公司控制权的情形 </w:t>
      </w:r>
      <w:r>
        <w:rPr>
          <w:spacing w:val="-2"/>
        </w:rPr>
        <w:t>部分处置股权投资或其他原因丧失了对子公司控制权的，对于处置的股权，应结转与所售股权相对应的长期股权投资的</w:t>
      </w:r>
    </w:p>
    <w:p>
      <w:pPr>
        <w:pStyle w:val="BodyText"/>
        <w:spacing w:line="316" w:lineRule="auto" w:before="15"/>
        <w:ind w:right="1131"/>
        <w:jc w:val="both"/>
      </w:pPr>
      <w:r>
        <w:rPr>
          <w:spacing w:val="-2"/>
        </w:rPr>
        <w:t>账面价值，出售所得价款与处置长期股权投资账面价值之间差额，确认为投资收益（损失）；同时，对于剩余股权，应当按</w:t>
      </w:r>
      <w:r>
        <w:rPr>
          <w:spacing w:val="-65"/>
        </w:rPr>
        <w:t> </w:t>
      </w:r>
      <w:r>
        <w:rPr>
          <w:spacing w:val="-65"/>
        </w:rPr>
      </w:r>
      <w:r>
        <w:rPr>
          <w:spacing w:val="-2"/>
        </w:rPr>
        <w:t>其账面价值确认为长期股权投资或其它相关金融资产。处置后的剩余股权能够对子公司实施共同控制或重大影响的，应按有</w:t>
      </w:r>
      <w:r>
        <w:rPr>
          <w:spacing w:val="-64"/>
        </w:rPr>
        <w:t> </w:t>
      </w:r>
      <w:r>
        <w:rPr>
          <w:spacing w:val="-64"/>
        </w:rPr>
      </w:r>
      <w:r>
        <w:rPr/>
        <w:t>关成本法转为权益法的相关规定进行会计处理。</w:t>
      </w:r>
    </w:p>
    <w:p>
      <w:pPr>
        <w:pStyle w:val="BodyText"/>
        <w:spacing w:line="432" w:lineRule="exact" w:before="3"/>
        <w:ind w:left="514" w:right="1032"/>
        <w:jc w:val="left"/>
      </w:pPr>
      <w:r>
        <w:rPr>
          <w:rFonts w:ascii="宋体" w:hAnsi="宋体" w:cs="宋体" w:eastAsia="宋体" w:hint="default"/>
        </w:rPr>
        <w:t>5. </w:t>
      </w:r>
      <w:r>
        <w:rPr/>
        <w:t>减值测试方法及减值准备计提方法 </w:t>
      </w:r>
      <w:r>
        <w:rPr>
          <w:spacing w:val="-2"/>
        </w:rPr>
        <w:t>对子公司、联营企业及合营企业的投资，在资产负债表日有客观证据表明其发生减值的，按照账面价值与可收回金额的</w:t>
      </w:r>
    </w:p>
    <w:p>
      <w:pPr>
        <w:pStyle w:val="BodyText"/>
        <w:spacing w:line="240" w:lineRule="auto" w:before="15"/>
        <w:ind w:right="0"/>
        <w:jc w:val="both"/>
      </w:pPr>
      <w:r>
        <w:rPr/>
        <w:t>差额计提相应的减值准备。</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固定资产" w:id="179"/>
      <w:bookmarkEnd w:id="179"/>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确认条件"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57" w:lineRule="auto"/>
        <w:ind w:right="2292"/>
        <w:jc w:val="left"/>
      </w:pPr>
      <w:r>
        <w:rPr/>
        <w:t>固定资产是指为生产商品、提供劳务、出租或经营管理而持有的，使用年限超过一个会计年度的有形资产。 固定资产以取得时的实际成本入账，并从其达到预定可使用状态的次月起采用年限平均法计提折旧。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both"/>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房屋建筑物装修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spacing w:before="35"/>
        <w:ind w:left="154" w:right="0" w:firstLine="0"/>
        <w:jc w:val="both"/>
        <w:rPr>
          <w:rFonts w:ascii="宋体" w:hAnsi="宋体" w:cs="宋体" w:eastAsia="宋体" w:hint="default"/>
          <w:sz w:val="21"/>
          <w:szCs w:val="21"/>
        </w:rPr>
      </w:pPr>
      <w:bookmarkStart w:name="15、在建工程" w:id="182"/>
      <w:bookmarkEnd w:id="182"/>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装修装饰业</w:t>
      </w:r>
    </w:p>
    <w:p>
      <w:pPr>
        <w:pStyle w:val="BodyText"/>
        <w:spacing w:line="316" w:lineRule="auto" w:before="115"/>
        <w:ind w:right="1122" w:firstLine="360"/>
        <w:jc w:val="left"/>
      </w:pPr>
      <w:r>
        <w:rPr>
          <w:rFonts w:ascii="宋体" w:hAnsi="宋体" w:cs="宋体" w:eastAsia="宋体" w:hint="default"/>
        </w:rPr>
        <w:t>1</w:t>
      </w:r>
      <w:r>
        <w:rPr/>
        <w:t>、在建工程同时满足经济利益很可能流入、成本能够可靠计量则予以确认。在建工程按建造该项资产达到预定可使用 状态前所发生的实际成本计量。</w:t>
      </w:r>
    </w:p>
    <w:p>
      <w:pPr>
        <w:pStyle w:val="BodyText"/>
        <w:spacing w:line="316" w:lineRule="auto" w:before="139"/>
        <w:ind w:right="1122" w:firstLine="360"/>
        <w:jc w:val="left"/>
      </w:pPr>
      <w:r>
        <w:rPr>
          <w:rFonts w:ascii="宋体" w:hAnsi="宋体" w:cs="宋体" w:eastAsia="宋体" w:hint="default"/>
        </w:rPr>
        <w:t>2.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BodyText"/>
        <w:spacing w:line="240" w:lineRule="auto" w:before="139"/>
        <w:ind w:left="514" w:right="1032"/>
        <w:jc w:val="left"/>
      </w:pPr>
      <w:r>
        <w:rPr>
          <w:rFonts w:ascii="宋体" w:hAnsi="宋体" w:cs="宋体" w:eastAsia="宋体" w:hint="default"/>
        </w:rPr>
        <w:t>3. </w:t>
      </w:r>
      <w:r>
        <w:rPr/>
        <w:t>资产负债表日，有迹象表明在建工程发生减值的，按照账面价值与可收回金额的差额计提相应的减值准备。</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6、借款费用" w:id="183"/>
      <w:bookmarkEnd w:id="183"/>
      <w:r>
        <w:rPr>
          <w:b w:val="0"/>
          <w:bCs w:val="0"/>
        </w:rPr>
      </w:r>
      <w:r>
        <w:rPr>
          <w:rFonts w:ascii="Times New Roman" w:hAnsi="Times New Roman" w:cs="Times New Roman" w:eastAsia="Times New Roman" w:hint="default"/>
        </w:rPr>
        <w:t>16</w:t>
      </w:r>
      <w:r>
        <w:rPr/>
        <w:t>、借款费用</w:t>
      </w:r>
      <w:r>
        <w:rPr>
          <w:b w:val="0"/>
          <w:bCs w:val="0"/>
        </w:rPr>
      </w:r>
    </w:p>
    <w:p>
      <w:pPr>
        <w:pStyle w:val="BodyText"/>
        <w:spacing w:line="430" w:lineRule="atLeast" w:before="152"/>
        <w:ind w:left="514" w:right="1032"/>
        <w:jc w:val="left"/>
      </w:pPr>
      <w:r>
        <w:rPr>
          <w:rFonts w:ascii="宋体" w:hAnsi="宋体" w:cs="宋体" w:eastAsia="宋体" w:hint="default"/>
        </w:rPr>
        <w:t>1. </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439" w:lineRule="auto" w:before="77"/>
        <w:ind w:left="514" w:right="6792" w:hanging="360"/>
        <w:jc w:val="left"/>
      </w:pPr>
      <w:r>
        <w:rPr/>
        <w:t>借款费用，在发生时确认为费用，计入当期损益。 </w:t>
      </w:r>
      <w:r>
        <w:rPr>
          <w:rFonts w:ascii="宋体" w:hAnsi="宋体" w:cs="宋体" w:eastAsia="宋体" w:hint="default"/>
        </w:rPr>
        <w:t>2</w:t>
      </w:r>
      <w:r>
        <w:rPr/>
        <w:t>．借款费用资本化期间</w:t>
      </w:r>
    </w:p>
    <w:p>
      <w:pPr>
        <w:pStyle w:val="BodyText"/>
        <w:spacing w:line="316" w:lineRule="auto" w:before="47"/>
        <w:ind w:right="1032" w:firstLine="360"/>
        <w:jc w:val="left"/>
      </w:pPr>
      <w:r>
        <w:rPr>
          <w:spacing w:val="-2"/>
        </w:rPr>
        <w:t>（</w:t>
      </w:r>
      <w:r>
        <w:rPr>
          <w:rFonts w:ascii="宋体" w:hAnsi="宋体" w:cs="宋体" w:eastAsia="宋体" w:hint="default"/>
          <w:spacing w:val="-2"/>
        </w:rPr>
        <w:t>1</w:t>
      </w:r>
      <w:r>
        <w:rPr>
          <w:spacing w:val="-2"/>
        </w:rPr>
        <w:t>）当借款费用同时满足下列条件时，开始资本化：</w:t>
      </w:r>
      <w:r>
        <w:rPr>
          <w:rFonts w:ascii="宋体" w:hAnsi="宋体" w:cs="宋体" w:eastAsia="宋体" w:hint="default"/>
          <w:spacing w:val="-2"/>
        </w:rPr>
        <w:t>1</w:t>
      </w:r>
      <w:r>
        <w:rPr>
          <w:spacing w:val="-2"/>
        </w:rPr>
        <w:t>）资产支出已经发生；</w:t>
      </w:r>
      <w:r>
        <w:rPr>
          <w:rFonts w:ascii="宋体" w:hAnsi="宋体" w:cs="宋体" w:eastAsia="宋体" w:hint="default"/>
          <w:spacing w:val="-2"/>
        </w:rPr>
        <w:t>2</w:t>
      </w:r>
      <w:r>
        <w:rPr>
          <w:spacing w:val="-2"/>
        </w:rPr>
        <w:t>）借款费用已经发生；</w:t>
      </w:r>
      <w:r>
        <w:rPr>
          <w:rFonts w:ascii="宋体" w:hAnsi="宋体" w:cs="宋体" w:eastAsia="宋体" w:hint="default"/>
          <w:spacing w:val="-2"/>
        </w:rPr>
        <w:t>3</w:t>
      </w:r>
      <w:r>
        <w:rPr>
          <w:spacing w:val="-2"/>
        </w:rPr>
        <w:t>）为使资产达到</w:t>
      </w:r>
      <w:r>
        <w:rPr/>
        <w:t> 预定可使用或可销售状态所必要的购建或者生产活动已经开始。</w:t>
      </w:r>
    </w:p>
    <w:p>
      <w:pPr>
        <w:pStyle w:val="BodyText"/>
        <w:spacing w:line="316" w:lineRule="auto" w:before="139"/>
        <w:ind w:right="1032" w:firstLine="360"/>
        <w:jc w:val="left"/>
      </w:pPr>
      <w:r>
        <w:rPr>
          <w:spacing w:val="-2"/>
        </w:rPr>
        <w:t>（</w:t>
      </w:r>
      <w:r>
        <w:rPr>
          <w:rFonts w:ascii="宋体" w:hAnsi="宋体" w:cs="宋体" w:eastAsia="宋体" w:hint="default"/>
          <w:spacing w:val="-2"/>
        </w:rPr>
        <w:t>2</w:t>
      </w:r>
      <w:r>
        <w:rPr>
          <w:spacing w:val="-2"/>
        </w:rPr>
        <w:t>）若符合资本化条件的资产在购建或者生产过程中发生非正常中断，并且中断时间连续超过</w:t>
      </w:r>
      <w:r>
        <w:rPr>
          <w:rFonts w:ascii="宋体" w:hAnsi="宋体" w:cs="宋体" w:eastAsia="宋体" w:hint="default"/>
          <w:spacing w:val="-2"/>
        </w:rPr>
        <w:t>3</w:t>
      </w:r>
      <w:r>
        <w:rPr>
          <w:spacing w:val="-2"/>
        </w:rPr>
        <w:t>个月，暂停借款费用的</w:t>
      </w:r>
      <w:r>
        <w:rPr/>
        <w:t> 资本化；中断期间发生的借款费用确认为当期费用，直至资产的购建或者生产活动重新开始。</w:t>
      </w:r>
    </w:p>
    <w:p>
      <w:pPr>
        <w:pStyle w:val="BodyText"/>
        <w:spacing w:line="432" w:lineRule="exact" w:before="3"/>
        <w:ind w:left="514" w:right="1032"/>
        <w:jc w:val="left"/>
      </w:pPr>
      <w:r>
        <w:rPr/>
        <w:t>（</w:t>
      </w:r>
      <w:r>
        <w:rPr>
          <w:rFonts w:ascii="宋体" w:hAnsi="宋体" w:cs="宋体" w:eastAsia="宋体" w:hint="default"/>
        </w:rPr>
        <w:t>3</w:t>
      </w:r>
      <w:r>
        <w:rPr/>
        <w:t>）当所购建或者生产符合资本化条件的资产达到预定可使用或可销售状态时，借款费用停止资本化。 </w:t>
      </w:r>
      <w:r>
        <w:rPr>
          <w:rFonts w:ascii="宋体" w:hAnsi="宋体" w:cs="宋体" w:eastAsia="宋体" w:hint="default"/>
        </w:rPr>
        <w:t>3</w:t>
      </w:r>
      <w:r>
        <w:rPr/>
        <w:t>．借款费用资本化金额 </w:t>
      </w:r>
      <w:r>
        <w:rPr>
          <w:spacing w:val="-2"/>
        </w:rPr>
        <w:t>为购建或者生产符合资本化条件的资产而借入专门借款的，以专门借款当期实际发生的利息费用（包括按照实际利率法</w:t>
      </w:r>
    </w:p>
    <w:p>
      <w:pPr>
        <w:pStyle w:val="BodyText"/>
        <w:spacing w:line="316" w:lineRule="auto" w:before="15"/>
        <w:ind w:right="1132"/>
        <w:jc w:val="both"/>
      </w:pPr>
      <w:r>
        <w:rPr>
          <w:spacing w:val="-2"/>
        </w:rPr>
        <w:t>确定的折价或溢价的摊销），减去将尚未动用的借款资金存入银行取得的利息收入或进行暂时性投资取得的投资收益后的金</w:t>
      </w:r>
      <w:r>
        <w:rPr>
          <w:spacing w:val="-72"/>
        </w:rPr>
        <w:t> </w:t>
      </w:r>
      <w:r>
        <w:rPr>
          <w:spacing w:val="-72"/>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7、无形资产" w:id="184"/>
      <w:bookmarkEnd w:id="184"/>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计价方法、使用寿命、减值测试"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rFonts w:ascii="宋体" w:hAnsi="宋体" w:cs="宋体" w:eastAsia="宋体" w:hint="default"/>
        </w:rPr>
        <w:t>1. </w:t>
      </w:r>
      <w:r>
        <w:rPr/>
        <w:t>无形资产包括土地使用权、软件及专利权，按成本进行初始计量。</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rFonts w:ascii="宋体" w:hAnsi="宋体" w:cs="宋体" w:eastAsia="宋体" w:hint="default"/>
        </w:rPr>
        <w:t>2. </w:t>
      </w:r>
      <w:r>
        <w:rPr/>
        <w:t>使用寿命有限的无形资产，在使用寿命内按照与该项无形资产有关的经济利益的预期实现方式系统合理地摊销，无</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1032"/>
        <w:jc w:val="left"/>
      </w:pPr>
      <w:r>
        <w:rPr/>
        <w:t>法可靠确定预期实现方式的，采用直线法摊销。具体年限如下：</w:t>
      </w:r>
    </w:p>
    <w:p>
      <w:pPr>
        <w:spacing w:line="240" w:lineRule="auto" w:before="3"/>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4142"/>
        <w:gridCol w:w="4328"/>
      </w:tblGrid>
      <w:tr>
        <w:trPr>
          <w:trHeight w:val="347" w:hRule="exact"/>
        </w:trPr>
        <w:tc>
          <w:tcPr>
            <w:tcW w:w="414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32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b/>
                <w:bCs/>
                <w:w w:val="95"/>
                <w:sz w:val="18"/>
                <w:szCs w:val="18"/>
              </w:rPr>
              <w:t>摊销年限</w:t>
            </w:r>
            <w:r>
              <w:rPr>
                <w:rFonts w:ascii="宋体" w:hAnsi="宋体" w:cs="宋体" w:eastAsia="宋体" w:hint="default"/>
                <w:b/>
                <w:bCs/>
                <w:w w:val="95"/>
                <w:sz w:val="18"/>
                <w:szCs w:val="18"/>
              </w:rPr>
              <w:t>(</w:t>
            </w:r>
            <w:r>
              <w:rPr>
                <w:rFonts w:ascii="宋体" w:hAnsi="宋体" w:cs="宋体" w:eastAsia="宋体" w:hint="default"/>
                <w:b/>
                <w:bCs/>
                <w:w w:val="95"/>
                <w:sz w:val="18"/>
                <w:szCs w:val="18"/>
              </w:rPr>
              <w:t>年</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47" w:hRule="exact"/>
        </w:trPr>
        <w:tc>
          <w:tcPr>
            <w:tcW w:w="414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32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50</w:t>
            </w:r>
          </w:p>
        </w:tc>
      </w:tr>
      <w:tr>
        <w:trPr>
          <w:trHeight w:val="347" w:hRule="exact"/>
        </w:trPr>
        <w:tc>
          <w:tcPr>
            <w:tcW w:w="414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32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5</w:t>
            </w:r>
          </w:p>
        </w:tc>
      </w:tr>
      <w:tr>
        <w:trPr>
          <w:trHeight w:val="264" w:hRule="exact"/>
        </w:trPr>
        <w:tc>
          <w:tcPr>
            <w:tcW w:w="414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32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w:t>
            </w:r>
          </w:p>
        </w:tc>
      </w:tr>
    </w:tbl>
    <w:p>
      <w:pPr>
        <w:pStyle w:val="BodyText"/>
        <w:spacing w:line="316" w:lineRule="auto" w:before="87"/>
        <w:ind w:right="1050" w:firstLine="360"/>
        <w:jc w:val="both"/>
      </w:pPr>
      <w:r>
        <w:rPr>
          <w:rFonts w:ascii="宋体" w:hAnsi="宋体" w:cs="宋体" w:eastAsia="宋体" w:hint="default"/>
        </w:rPr>
        <w:t>3</w:t>
      </w:r>
      <w:r>
        <w:rPr/>
        <w:t>．使用寿命确定的无形资产，在资产负债表日有迹象表明发生减值的，按照账面价值与可收回金额的差额计提相应的 减值准备；使用寿命不确定的无形资产和尚未达到可使用状态的无形资产，无论是否存在减值迹象，每年均进行减值测试。</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4"/>
        </w:rPr>
        <w:t>内部研究开发项目研究阶段的支出，于发生时计入当期损益。内部研究开发项目开发阶段的支出，同时满足下列条件的，</w:t>
      </w:r>
      <w:r>
        <w:rPr/>
        <w:t> </w:t>
      </w:r>
      <w:r>
        <w:rPr>
          <w:spacing w:val="-5"/>
        </w:rPr>
        <w:t>确认为无形资产：① </w:t>
      </w:r>
      <w:r>
        <w:rPr/>
        <w:t>完成该无形资产以使其能够使用或出售在技术上具有可行性；②</w:t>
      </w:r>
      <w:r>
        <w:rPr>
          <w:spacing w:val="-20"/>
        </w:rPr>
        <w:t> </w:t>
      </w:r>
      <w:r>
        <w:rPr/>
        <w:t>具有完成该无形资产并使用或出售的</w:t>
      </w:r>
      <w:r>
        <w:rPr/>
        <w:t> 意图；③ 无形资产产生经济利益的方式，包括能够证明运用该无形资产生产的产品存在市场或无形资产自身存在市场，无 形资产将在内部使用的，能证明其有用性；④ 有足够的技术、财务资源和其他资源支持，以完成该无形资产的开发，并有 能力使用或出售该无形资产；⑤ 归属于该无形资产开发阶段的支出能够可靠地计量。</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18、长期待摊费用" w:id="187"/>
      <w:bookmarkEnd w:id="187"/>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19、职工薪酬" w:id="188"/>
      <w:bookmarkEnd w:id="188"/>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短期薪酬的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本公司在职工提供服务的会计期间，将实际发生的短期薪酬确认为负债，并计入当期损益或相关资产成本。其中，非货</w:t>
      </w:r>
      <w:r>
        <w:rPr/>
        <w:t> 币性福利按照公允价值计量。</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辞退福利的会计处理方法" w:id="190"/>
      <w:bookmarkEnd w:id="190"/>
      <w:r>
        <w:rPr>
          <w:b w:val="0"/>
          <w:bCs w:val="0"/>
        </w:rPr>
      </w:r>
      <w:r>
        <w:rPr/>
        <w:t>（</w:t>
      </w:r>
      <w:r>
        <w:rPr>
          <w:rFonts w:ascii="Times New Roman" w:hAnsi="Times New Roman" w:cs="Times New Roman" w:eastAsia="Times New Roman" w:hint="default"/>
        </w:rPr>
        <w:t>2</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3）其他长期职工福利的会计处理方法" w:id="191"/>
      <w:bookmarkEnd w:id="191"/>
      <w:r>
        <w:rPr>
          <w:b w:val="0"/>
          <w:bCs w:val="0"/>
        </w:rPr>
      </w:r>
      <w:r>
        <w:rPr/>
        <w:t>（</w:t>
      </w:r>
      <w:r>
        <w:rPr>
          <w:rFonts w:ascii="Times New Roman" w:hAnsi="Times New Roman" w:cs="Times New Roman" w:eastAsia="Times New Roman" w:hint="default"/>
        </w:rPr>
        <w:t>3</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6"/>
        </w:rPr>
        <w:t> </w:t>
      </w:r>
      <w:r>
        <w:rPr>
          <w:spacing w:val="-66"/>
        </w:rPr>
      </w:r>
      <w:r>
        <w:rPr>
          <w:spacing w:val="-2"/>
        </w:rPr>
        <w:t>退休员工支付社会基本养老金。本公司在职工提供服务的会计期间，将根据上述社保规定计算应缴纳的金额确认为负债，并</w:t>
      </w:r>
      <w:r>
        <w:rPr>
          <w:spacing w:val="-66"/>
        </w:rPr>
        <w:t> </w:t>
      </w:r>
      <w:r>
        <w:rPr>
          <w:spacing w:val="-66"/>
        </w:rPr>
      </w:r>
      <w:r>
        <w:rPr/>
        <w:t>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0、预计负债" w:id="192"/>
      <w:bookmarkEnd w:id="192"/>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rFonts w:ascii="宋体" w:hAnsi="宋体" w:cs="宋体" w:eastAsia="宋体" w:hint="default"/>
        </w:rPr>
        <w:t>1. </w:t>
      </w:r>
      <w:r>
        <w:rPr/>
        <w:t>因对外提供担保、诉讼事项、产品质量保证、亏损合同等或有事项形成的义务成为本公司承担的现时义务，履行该</w:t>
      </w:r>
    </w:p>
    <w:p>
      <w:pPr>
        <w:spacing w:after="0" w:line="240"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义务很可能导致经济利益流出公司，且该义务的金额能够可靠的计量时，本公司将该项义务确认为预计负债。</w:t>
      </w:r>
    </w:p>
    <w:p>
      <w:pPr>
        <w:spacing w:line="240" w:lineRule="auto" w:before="0"/>
        <w:rPr>
          <w:rFonts w:ascii="宋体" w:hAnsi="宋体" w:cs="宋体" w:eastAsia="宋体" w:hint="default"/>
          <w:sz w:val="15"/>
          <w:szCs w:val="15"/>
        </w:rPr>
      </w:pPr>
    </w:p>
    <w:p>
      <w:pPr>
        <w:pStyle w:val="BodyText"/>
        <w:spacing w:line="316" w:lineRule="auto"/>
        <w:ind w:right="1122" w:firstLine="360"/>
        <w:jc w:val="left"/>
      </w:pPr>
      <w:r>
        <w:rPr>
          <w:rFonts w:ascii="宋体" w:hAnsi="宋体" w:cs="宋体" w:eastAsia="宋体" w:hint="default"/>
        </w:rPr>
        <w:t>2. </w:t>
      </w:r>
      <w:r>
        <w:rPr/>
        <w:t>本公司按照履行相关现时义务所需支出的最佳估计数对预计负债进行初始计量，并在资产负债表日对预计负债的账 面价值进行复核。</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1、股份支付" w:id="193"/>
      <w:bookmarkEnd w:id="193"/>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14" w:right="6072"/>
        <w:jc w:val="left"/>
      </w:pPr>
      <w:r>
        <w:rPr>
          <w:rFonts w:ascii="宋体" w:hAnsi="宋体" w:cs="宋体" w:eastAsia="宋体" w:hint="default"/>
        </w:rPr>
        <w:t>1. </w:t>
      </w:r>
      <w:r>
        <w:rPr/>
        <w:t>股份支付的种类 包括以权益结算的股份支付和以现金结算的股份支付。 </w:t>
      </w:r>
      <w:r>
        <w:rPr>
          <w:rFonts w:ascii="宋体" w:hAnsi="宋体" w:cs="宋体" w:eastAsia="宋体" w:hint="default"/>
        </w:rPr>
        <w:t>2. </w:t>
      </w:r>
      <w:r>
        <w:rPr/>
        <w:t>权益工具公允价值的确定方法</w:t>
      </w:r>
    </w:p>
    <w:p>
      <w:pPr>
        <w:pStyle w:val="BodyText"/>
        <w:spacing w:line="240" w:lineRule="auto" w:before="47"/>
        <w:ind w:left="514" w:right="1032"/>
        <w:jc w:val="left"/>
      </w:pPr>
      <w:r>
        <w:rPr/>
        <w:t>（</w:t>
      </w:r>
      <w:r>
        <w:rPr>
          <w:rFonts w:ascii="宋体" w:hAnsi="宋体" w:cs="宋体" w:eastAsia="宋体" w:hint="default"/>
        </w:rPr>
        <w:t>1</w:t>
      </w:r>
      <w:r>
        <w:rPr/>
        <w:t>）存在活跃市场的，按照活跃市场中的报价确定。</w:t>
      </w:r>
    </w:p>
    <w:p>
      <w:pPr>
        <w:spacing w:line="240" w:lineRule="auto" w:before="0"/>
        <w:rPr>
          <w:rFonts w:ascii="宋体" w:hAnsi="宋体" w:cs="宋体" w:eastAsia="宋体" w:hint="default"/>
          <w:sz w:val="15"/>
          <w:szCs w:val="15"/>
        </w:rPr>
      </w:pPr>
    </w:p>
    <w:p>
      <w:pPr>
        <w:pStyle w:val="BodyText"/>
        <w:spacing w:line="316" w:lineRule="auto"/>
        <w:ind w:right="1032" w:firstLine="360"/>
        <w:jc w:val="left"/>
      </w:pPr>
      <w:r>
        <w:rPr>
          <w:spacing w:val="-2"/>
        </w:rPr>
        <w:t>（</w:t>
      </w:r>
      <w:r>
        <w:rPr>
          <w:rFonts w:ascii="宋体" w:hAnsi="宋体" w:cs="宋体" w:eastAsia="宋体" w:hint="default"/>
          <w:spacing w:val="-2"/>
        </w:rPr>
        <w:t>2</w:t>
      </w:r>
      <w:r>
        <w:rPr>
          <w:spacing w:val="-2"/>
        </w:rPr>
        <w:t>）不存在活跃市场的，采用估值技术确定，包括参考熟悉情况并自愿交易的各方最近进行的市场交易中使用的价格、</w:t>
      </w:r>
      <w:r>
        <w:rPr/>
        <w:t> 参照实质上相同的其他金融工具的当前公允价值、现金流量折现法和期权定价模型等。</w:t>
      </w:r>
    </w:p>
    <w:p>
      <w:pPr>
        <w:pStyle w:val="BodyText"/>
        <w:spacing w:line="439" w:lineRule="auto" w:before="139"/>
        <w:ind w:left="514" w:right="5892"/>
        <w:jc w:val="left"/>
      </w:pPr>
      <w:r>
        <w:rPr>
          <w:rFonts w:ascii="宋体" w:hAnsi="宋体" w:cs="宋体" w:eastAsia="宋体" w:hint="default"/>
        </w:rPr>
        <w:t>3. </w:t>
      </w:r>
      <w:r>
        <w:rPr/>
        <w:t>确认可行权权益工具最佳估计的依据 根据最新取得的可行权职工数变动等后续信息进行估计。 </w:t>
      </w:r>
      <w:r>
        <w:rPr>
          <w:rFonts w:ascii="宋体" w:hAnsi="宋体" w:cs="宋体" w:eastAsia="宋体" w:hint="default"/>
        </w:rPr>
        <w:t>4. </w:t>
      </w:r>
      <w:r>
        <w:rPr/>
        <w:t>实施、修改、终止股份支付计划的相关会计处理</w:t>
      </w:r>
    </w:p>
    <w:p>
      <w:pPr>
        <w:pStyle w:val="BodyText"/>
        <w:spacing w:line="240" w:lineRule="auto" w:before="47"/>
        <w:ind w:left="514" w:right="1032"/>
        <w:jc w:val="left"/>
      </w:pPr>
      <w:r>
        <w:rPr/>
        <w:t>（</w:t>
      </w:r>
      <w:r>
        <w:rPr>
          <w:rFonts w:ascii="宋体" w:hAnsi="宋体" w:cs="宋体" w:eastAsia="宋体" w:hint="default"/>
        </w:rPr>
        <w:t>1</w:t>
      </w:r>
      <w:r>
        <w:rPr/>
        <w:t>）以权益结算的股份支付</w:t>
      </w:r>
    </w:p>
    <w:p>
      <w:pPr>
        <w:spacing w:line="240" w:lineRule="auto" w:before="0"/>
        <w:rPr>
          <w:rFonts w:ascii="宋体" w:hAnsi="宋体" w:cs="宋体" w:eastAsia="宋体" w:hint="default"/>
          <w:sz w:val="15"/>
          <w:szCs w:val="15"/>
        </w:rPr>
      </w:pPr>
    </w:p>
    <w:p>
      <w:pPr>
        <w:pStyle w:val="BodyText"/>
        <w:spacing w:line="319" w:lineRule="auto"/>
        <w:ind w:right="1032" w:firstLine="360"/>
        <w:jc w:val="left"/>
      </w:pPr>
      <w:r>
        <w:rPr/>
        <w:t>授予后立即可行权的换取职工服务的以权益结算的股份支付，在授予日按照权益工具的公允价值计入相关成本或费用， </w:t>
      </w: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6"/>
        </w:rPr>
        <w:t> </w:t>
      </w:r>
      <w:r>
        <w:rPr>
          <w:spacing w:val="-66"/>
        </w:rPr>
      </w:r>
      <w:r>
        <w:rPr/>
        <w:t>入相关成本或费用，相应调整资本公积。</w:t>
      </w:r>
    </w:p>
    <w:p>
      <w:pPr>
        <w:pStyle w:val="BodyText"/>
        <w:spacing w:line="316" w:lineRule="auto" w:before="137"/>
        <w:ind w:right="1131"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6"/>
        </w:rPr>
        <w:t> </w:t>
      </w:r>
      <w:r>
        <w:rPr>
          <w:spacing w:val="-66"/>
        </w:rPr>
      </w:r>
      <w:r>
        <w:rPr/>
        <w:t>的公允价值计量，计入相关成本或费用，相应增加所有者权益。</w:t>
      </w:r>
    </w:p>
    <w:p>
      <w:pPr>
        <w:pStyle w:val="BodyText"/>
        <w:spacing w:line="432" w:lineRule="exact" w:before="3"/>
        <w:ind w:left="514" w:right="1032"/>
        <w:jc w:val="left"/>
      </w:pPr>
      <w:r>
        <w:rPr/>
        <w:t>（</w:t>
      </w:r>
      <w:r>
        <w:rPr>
          <w:rFonts w:ascii="宋体" w:hAnsi="宋体" w:cs="宋体" w:eastAsia="宋体" w:hint="default"/>
        </w:rPr>
        <w:t>2</w:t>
      </w:r>
      <w:r>
        <w:rPr/>
        <w:t>）以现金结算的股份支付 </w:t>
      </w:r>
      <w:r>
        <w:rPr>
          <w:spacing w:val="-2"/>
        </w:rPr>
        <w:t>授予后立即可行权的换取职工服务的以现金结算的股份支付，在授予日按本公司承担负债的公允价值计入相关成本或费</w:t>
      </w:r>
    </w:p>
    <w:p>
      <w:pPr>
        <w:pStyle w:val="BodyText"/>
        <w:spacing w:line="316" w:lineRule="auto" w:before="15"/>
        <w:ind w:right="1132"/>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内的每个资产负债表日，以对可行权情况的最佳估计为基础，按本公司承担负债的公允价值，将当期取得的服务计入相关成</w:t>
      </w:r>
      <w:r>
        <w:rPr>
          <w:spacing w:val="-66"/>
        </w:rPr>
        <w:t> </w:t>
      </w:r>
      <w:r>
        <w:rPr>
          <w:spacing w:val="-66"/>
        </w:rPr>
      </w:r>
      <w:r>
        <w:rPr/>
        <w:t>本或费用和相应的负债。</w:t>
      </w:r>
    </w:p>
    <w:p>
      <w:pPr>
        <w:pStyle w:val="BodyText"/>
        <w:spacing w:line="432" w:lineRule="exact" w:before="3"/>
        <w:ind w:left="514" w:right="1032"/>
        <w:jc w:val="left"/>
      </w:pPr>
      <w:r>
        <w:rPr/>
        <w:t>（</w:t>
      </w:r>
      <w:r>
        <w:rPr>
          <w:rFonts w:ascii="宋体" w:hAnsi="宋体" w:cs="宋体" w:eastAsia="宋体" w:hint="default"/>
        </w:rPr>
        <w:t>3</w:t>
      </w:r>
      <w:r>
        <w:rPr/>
        <w:t>）修改、终止股份支付计划 </w:t>
      </w:r>
      <w:r>
        <w:rPr>
          <w:spacing w:val="-2"/>
        </w:rPr>
        <w:t>如果修改增加了所授予的权益工具的公允价值，本公司按照权益工具公允价值的增加相应地确认取得服务的增加；如果</w:t>
      </w:r>
    </w:p>
    <w:p>
      <w:pPr>
        <w:pStyle w:val="BodyText"/>
        <w:spacing w:line="316" w:lineRule="auto" w:before="15"/>
        <w:ind w:right="1132"/>
        <w:jc w:val="both"/>
      </w:pPr>
      <w:r>
        <w:rPr>
          <w:spacing w:val="-2"/>
        </w:rPr>
        <w:t>修改增加了所授予的权益工具的数量，本公司将增加的权益工具的公允价值相应地确认为取得服务的增加；如果本公司按照</w:t>
      </w:r>
      <w:r>
        <w:rPr>
          <w:spacing w:val="-64"/>
        </w:rPr>
        <w:t> </w:t>
      </w:r>
      <w:r>
        <w:rPr>
          <w:spacing w:val="-64"/>
        </w:rPr>
      </w:r>
      <w:r>
        <w:rPr/>
        <w:t>有利于职工的方式修改可行权条件，公司在处理可行权条件时，考虑修改后的可行权条件。</w:t>
      </w:r>
    </w:p>
    <w:p>
      <w:pPr>
        <w:pStyle w:val="BodyText"/>
        <w:spacing w:line="319" w:lineRule="auto" w:before="139"/>
        <w:ind w:right="1032" w:firstLine="360"/>
        <w:jc w:val="left"/>
      </w:pPr>
      <w:r>
        <w:rPr>
          <w:spacing w:val="-4"/>
        </w:rPr>
        <w:t>如果修改减少了授予的权益工具的公允价值，本公司继续以权益工具在授予日的公允价值为基础，确认取得服务的金额，</w:t>
      </w:r>
      <w:r>
        <w:rPr/>
        <w:t> </w:t>
      </w:r>
      <w:r>
        <w:rPr>
          <w:spacing w:val="-2"/>
        </w:rPr>
        <w:t>而不考虑权益工具公允价值的减少；如果修改减少了授予的权益工具的数量，本公司将减少部分作为已授予的权益工具的取</w:t>
      </w:r>
      <w:r>
        <w:rPr>
          <w:spacing w:val="-64"/>
        </w:rPr>
        <w:t> </w:t>
      </w:r>
      <w:r>
        <w:rPr>
          <w:spacing w:val="-64"/>
        </w:rPr>
      </w:r>
      <w:r>
        <w:rPr/>
        <w:t>消来进行处理；如果以不利于职工的方式修改了可行权条件，在处理可行权条件时，不考虑修改后的可行权条件。</w:t>
      </w:r>
    </w:p>
    <w:p>
      <w:pPr>
        <w:pStyle w:val="BodyText"/>
        <w:spacing w:line="316" w:lineRule="auto" w:before="137"/>
        <w:ind w:right="1136" w:firstLine="360"/>
        <w:jc w:val="left"/>
      </w:pPr>
      <w:r>
        <w:rPr>
          <w:spacing w:val="-2"/>
        </w:rPr>
        <w:t>如果本公司在等待期内取消了所授予的权益工具或结算了所授予的权益工具（因未满足可行权条件而被取消的除外），</w:t>
      </w:r>
      <w:r>
        <w:rPr/>
        <w:t> 则将取消或结算作为加速可行权处理，立即确认原本在剩余等待期内确认的金额。</w:t>
      </w:r>
    </w:p>
    <w:p>
      <w:pPr>
        <w:spacing w:after="0" w:line="316" w:lineRule="auto"/>
        <w:jc w:val="left"/>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2、收入" w:id="194"/>
      <w:bookmarkEnd w:id="194"/>
      <w:r>
        <w:rPr>
          <w:b w:val="0"/>
          <w:bCs w:val="0"/>
        </w:rPr>
      </w: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1032"/>
        <w:jc w:val="left"/>
      </w:pPr>
      <w:r>
        <w:rPr/>
        <w:t>装修装饰业</w:t>
      </w:r>
    </w:p>
    <w:p>
      <w:pPr>
        <w:pStyle w:val="BodyText"/>
        <w:spacing w:line="240" w:lineRule="auto" w:before="116"/>
        <w:ind w:right="1032"/>
        <w:jc w:val="left"/>
      </w:pPr>
      <w:r>
        <w:rPr/>
        <w:t>公司需遵守《深圳证券交易所行业信息披露指引第</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上市公司从事装修装饰业务》的披露要求</w:t>
      </w:r>
    </w:p>
    <w:p>
      <w:pPr>
        <w:pStyle w:val="BodyText"/>
        <w:spacing w:line="240" w:lineRule="auto" w:before="101"/>
        <w:ind w:left="514" w:right="1032"/>
        <w:jc w:val="left"/>
      </w:pPr>
      <w:r>
        <w:rPr>
          <w:rFonts w:ascii="宋体" w:hAnsi="宋体" w:cs="宋体" w:eastAsia="宋体" w:hint="default"/>
        </w:rPr>
        <w:t>1. </w:t>
      </w:r>
      <w:r>
        <w:rPr/>
        <w:t>建造合同</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t>（</w:t>
      </w:r>
      <w:r>
        <w:rPr>
          <w:rFonts w:ascii="宋体" w:hAnsi="宋体" w:cs="宋体" w:eastAsia="宋体" w:hint="default"/>
        </w:rPr>
        <w:t>1</w:t>
      </w:r>
      <w:r>
        <w:rPr/>
        <w:t>）建造合同的结果在资产负债表日能够可靠估计的，根据完工百分比法确认合同收入和合同费用。建造合同的结果 </w:t>
      </w:r>
      <w:r>
        <w:rPr>
          <w:spacing w:val="-2"/>
        </w:rPr>
        <w:t>在资产负债表日不能够可靠估计的，若合同成本能够收回的，合同收入根据能够收回的实际合同成本予以确认，合同成本在</w:t>
      </w:r>
      <w:r>
        <w:rPr>
          <w:spacing w:val="-66"/>
        </w:rPr>
        <w:t> </w:t>
      </w:r>
      <w:r>
        <w:rPr>
          <w:spacing w:val="-66"/>
        </w:rPr>
      </w:r>
      <w:r>
        <w:rPr/>
        <w:t>其发生的当期确认为合同费用；若合同成本不可能收回的，在发生时立即确认为合同费用，不确认合同收入。</w:t>
      </w:r>
    </w:p>
    <w:p>
      <w:pPr>
        <w:pStyle w:val="BodyText"/>
        <w:spacing w:line="316" w:lineRule="auto" w:before="139"/>
        <w:ind w:right="1132" w:firstLine="360"/>
        <w:jc w:val="both"/>
      </w:pPr>
      <w:r>
        <w:rPr/>
        <w:t>（</w:t>
      </w:r>
      <w:r>
        <w:rPr>
          <w:rFonts w:ascii="宋体" w:hAnsi="宋体" w:cs="宋体" w:eastAsia="宋体" w:hint="default"/>
        </w:rPr>
        <w:t>2</w:t>
      </w:r>
      <w:r>
        <w:rPr/>
        <w:t>）建造合同分为固定造价合同和成本加成合同。固定造价合同同时满足下列条件表明其结果能够可靠估计：合同总 </w:t>
      </w:r>
      <w:r>
        <w:rPr>
          <w:spacing w:val="-2"/>
        </w:rPr>
        <w:t>收入能够可靠计量、与合同相关的经济利益很可能流入、实际发生的合同成本能够清楚地区分和可靠地计量、合同完工进度</w:t>
      </w:r>
      <w:r>
        <w:rPr>
          <w:spacing w:val="-66"/>
        </w:rPr>
        <w:t> </w:t>
      </w:r>
      <w:r>
        <w:rPr>
          <w:spacing w:val="-66"/>
        </w:rPr>
      </w:r>
      <w:r>
        <w:rPr>
          <w:spacing w:val="-2"/>
        </w:rPr>
        <w:t>和为完成合同尚需发生的成本能够可靠地计量。成本加成合同同时满足下列条件表明其结果能够可靠估计：与合同相关的经</w:t>
      </w:r>
      <w:r>
        <w:rPr>
          <w:spacing w:val="-64"/>
        </w:rPr>
        <w:t> </w:t>
      </w:r>
      <w:r>
        <w:rPr>
          <w:spacing w:val="-64"/>
        </w:rPr>
      </w:r>
      <w:r>
        <w:rPr/>
        <w:t>济利益很可能流入、实际发生的合同成本能够清楚地区分和可靠地计量。</w:t>
      </w:r>
    </w:p>
    <w:p>
      <w:pPr>
        <w:pStyle w:val="BodyText"/>
        <w:spacing w:line="316" w:lineRule="auto" w:before="139"/>
        <w:ind w:right="1139" w:firstLine="360"/>
        <w:jc w:val="both"/>
      </w:pPr>
      <w:r>
        <w:rPr/>
        <w:t>（</w:t>
      </w:r>
      <w:r>
        <w:rPr>
          <w:rFonts w:ascii="宋体" w:hAnsi="宋体" w:cs="宋体" w:eastAsia="宋体" w:hint="default"/>
        </w:rPr>
        <w:t>3</w:t>
      </w:r>
      <w:r>
        <w:rPr/>
        <w:t>）确定合同完工进度的方法为已经完成的合同工作量占合同预计总工作量的比例</w:t>
      </w:r>
      <w:r>
        <w:rPr>
          <w:rFonts w:ascii="宋体" w:hAnsi="宋体" w:cs="宋体" w:eastAsia="宋体" w:hint="default"/>
        </w:rPr>
        <w:t>(</w:t>
      </w:r>
      <w:r>
        <w:rPr/>
        <w:t>完工百分比</w:t>
      </w:r>
      <w:r>
        <w:rPr>
          <w:rFonts w:ascii="宋体" w:hAnsi="宋体" w:cs="宋体" w:eastAsia="宋体" w:hint="default"/>
        </w:rPr>
        <w:t>=</w:t>
      </w:r>
      <w:r>
        <w:rPr/>
        <w:t>已完工程量对应的产 值</w:t>
      </w:r>
      <w:r>
        <w:rPr>
          <w:rFonts w:ascii="宋体" w:hAnsi="宋体" w:cs="宋体" w:eastAsia="宋体" w:hint="default"/>
        </w:rPr>
        <w:t>/</w:t>
      </w:r>
      <w:r>
        <w:rPr/>
        <w:t>总工程量对应的产值</w:t>
      </w:r>
      <w:r>
        <w:rPr>
          <w:rFonts w:ascii="宋体" w:hAnsi="宋体" w:cs="宋体" w:eastAsia="宋体" w:hint="default"/>
        </w:rPr>
        <w:t>)</w:t>
      </w:r>
      <w:r>
        <w:rPr/>
        <w:t>。</w:t>
      </w:r>
    </w:p>
    <w:p>
      <w:pPr>
        <w:pStyle w:val="BodyText"/>
        <w:spacing w:line="316" w:lineRule="auto" w:before="139"/>
        <w:ind w:right="1131" w:firstLine="360"/>
        <w:jc w:val="both"/>
      </w:pPr>
      <w:r>
        <w:rPr>
          <w:spacing w:val="-2"/>
        </w:rPr>
        <w:t>公司首先按照项目合同所确定的总造价</w:t>
      </w:r>
      <w:r>
        <w:rPr>
          <w:rFonts w:ascii="宋体" w:hAnsi="宋体" w:cs="宋体" w:eastAsia="宋体" w:hint="default"/>
          <w:spacing w:val="-2"/>
        </w:rPr>
        <w:t>(</w:t>
      </w:r>
      <w:r>
        <w:rPr>
          <w:spacing w:val="-2"/>
        </w:rPr>
        <w:t>合同金额</w:t>
      </w:r>
      <w:r>
        <w:rPr>
          <w:rFonts w:ascii="宋体" w:hAnsi="宋体" w:cs="宋体" w:eastAsia="宋体" w:hint="default"/>
          <w:spacing w:val="-2"/>
        </w:rPr>
        <w:t>)</w:t>
      </w:r>
      <w:r>
        <w:rPr>
          <w:spacing w:val="-2"/>
        </w:rPr>
        <w:t>作为公司在该项目实施过程中可实现的合同收入的总额；根据上述方</w:t>
      </w:r>
      <w:r>
        <w:rPr/>
        <w:t> 法确定的完工百分比确认每个会计期间实现的营业收入</w:t>
      </w:r>
      <w:r>
        <w:rPr>
          <w:rFonts w:ascii="宋体" w:hAnsi="宋体" w:cs="宋体" w:eastAsia="宋体" w:hint="default"/>
        </w:rPr>
        <w:t>(</w:t>
      </w:r>
      <w:r>
        <w:rPr/>
        <w:t>当期确认的合同收入＝合同总收入×完工进度</w:t>
      </w:r>
      <w:r>
        <w:rPr>
          <w:rFonts w:ascii="宋体" w:hAnsi="宋体" w:cs="宋体" w:eastAsia="宋体" w:hint="default"/>
        </w:rPr>
        <w:t>-</w:t>
      </w:r>
      <w:r>
        <w:rPr/>
        <w:t>以前会计期间累计</w:t>
      </w:r>
      <w:r>
        <w:rPr>
          <w:spacing w:val="-1"/>
        </w:rPr>
        <w:t> </w:t>
      </w:r>
      <w:r>
        <w:rPr>
          <w:spacing w:val="-1"/>
        </w:rPr>
      </w:r>
      <w:r>
        <w:rPr/>
        <w:t>已确认的收入</w:t>
      </w:r>
      <w:r>
        <w:rPr>
          <w:rFonts w:ascii="宋体" w:hAnsi="宋体" w:cs="宋体" w:eastAsia="宋体" w:hint="default"/>
        </w:rPr>
        <w:t>)</w:t>
      </w:r>
      <w:r>
        <w:rPr/>
        <w:t>。对当期完成决算的工程项目，按决算收入减去以前会计年度累计已确认收入后的余额作为当期收入；对当</w:t>
      </w:r>
      <w:r>
        <w:rPr>
          <w:spacing w:val="-83"/>
        </w:rPr>
        <w:t> </w:t>
      </w:r>
      <w:r>
        <w:rPr>
          <w:spacing w:val="-83"/>
        </w:rPr>
      </w:r>
      <w:r>
        <w:rPr/>
        <w:t>期完工但暂未决算的工程项目，按合同总收入减去以前会计年度累计已确认收入后的余额作为当期收入。</w:t>
      </w:r>
    </w:p>
    <w:p>
      <w:pPr>
        <w:pStyle w:val="BodyText"/>
        <w:spacing w:line="316" w:lineRule="auto" w:before="139"/>
        <w:ind w:right="1132" w:firstLine="450"/>
        <w:jc w:val="both"/>
      </w:pPr>
      <w:r>
        <w:rPr>
          <w:spacing w:val="-2"/>
        </w:rPr>
        <w:t>（</w:t>
      </w:r>
      <w:r>
        <w:rPr>
          <w:rFonts w:ascii="宋体" w:hAnsi="宋体" w:cs="宋体" w:eastAsia="宋体" w:hint="default"/>
          <w:spacing w:val="-2"/>
        </w:rPr>
        <w:t>4</w:t>
      </w:r>
      <w:r>
        <w:rPr>
          <w:spacing w:val="-2"/>
        </w:rPr>
        <w:t>）资产负债表日，合同预计总成本超过合同总收入的，将预计损失确认为当期费用。执行中的建造合同，按其差额</w:t>
      </w:r>
      <w:r>
        <w:rPr/>
        <w:t> 计提存货跌价准备；待执行的亏损合同，按其差额确认预计负债。</w:t>
      </w:r>
    </w:p>
    <w:p>
      <w:pPr>
        <w:pStyle w:val="BodyText"/>
        <w:spacing w:line="439" w:lineRule="auto" w:before="139"/>
        <w:ind w:left="514" w:right="6612"/>
        <w:jc w:val="left"/>
      </w:pPr>
      <w:r>
        <w:rPr>
          <w:rFonts w:ascii="宋体" w:hAnsi="宋体" w:cs="宋体" w:eastAsia="宋体" w:hint="default"/>
        </w:rPr>
        <w:t>2</w:t>
      </w:r>
      <w:r>
        <w:rPr/>
        <w:t>．销售商品 销售商品收入在同时满足下列条件时予以确认：</w:t>
      </w:r>
    </w:p>
    <w:p>
      <w:pPr>
        <w:pStyle w:val="BodyText"/>
        <w:spacing w:line="240" w:lineRule="auto" w:before="47"/>
        <w:ind w:left="514" w:right="1032"/>
        <w:jc w:val="left"/>
      </w:pPr>
      <w:r>
        <w:rPr/>
        <w:t>① 将商品所有权上的主要风险和报酬转移给购货方；</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t>② 公司不再保留通常与所有权相联系的继续管理权，也不再对已售出的商品实施有效控制；</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t>③ 收入的金额能够可靠地计量；</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t>④ 相关的经济利益很可能流入；</w:t>
      </w:r>
    </w:p>
    <w:p>
      <w:pPr>
        <w:spacing w:line="240" w:lineRule="auto" w:before="0"/>
        <w:rPr>
          <w:rFonts w:ascii="宋体" w:hAnsi="宋体" w:cs="宋体" w:eastAsia="宋体" w:hint="default"/>
          <w:sz w:val="15"/>
          <w:szCs w:val="15"/>
        </w:rPr>
      </w:pPr>
    </w:p>
    <w:p>
      <w:pPr>
        <w:pStyle w:val="BodyText"/>
        <w:spacing w:line="439" w:lineRule="auto"/>
        <w:ind w:left="514" w:right="6522"/>
        <w:jc w:val="left"/>
      </w:pPr>
      <w:r>
        <w:rPr/>
        <w:t>⑤ 相关的已发生或将发生的成本能够可靠计量。 </w:t>
      </w:r>
      <w:r>
        <w:rPr>
          <w:rFonts w:ascii="宋体" w:hAnsi="宋体" w:cs="宋体" w:eastAsia="宋体" w:hint="default"/>
        </w:rPr>
        <w:t>3</w:t>
      </w:r>
      <w:r>
        <w:rPr/>
        <w:t>．提供劳务</w:t>
      </w:r>
    </w:p>
    <w:p>
      <w:pPr>
        <w:pStyle w:val="BodyText"/>
        <w:spacing w:line="439" w:lineRule="auto" w:before="47"/>
        <w:ind w:left="514" w:right="3012"/>
        <w:jc w:val="left"/>
      </w:pPr>
      <w:r>
        <w:rPr/>
        <w:t>在资产负债表日提供劳务交易的结果能够可靠估计的，采用完工百分比法确认提供劳务收入。 公司采用已完成工作的测量占合同预计工作总量的比例确定提供劳务交易的完工进度。 在资产负债表日提供劳务交易结果不能够可靠估计的，分别下列情况处理：</w:t>
      </w:r>
    </w:p>
    <w:p>
      <w:pPr>
        <w:pStyle w:val="BodyText"/>
        <w:spacing w:line="316" w:lineRule="auto" w:before="47"/>
        <w:ind w:right="1130" w:firstLine="360"/>
        <w:jc w:val="both"/>
      </w:pPr>
      <w:r>
        <w:rPr/>
        <w:t>①</w:t>
      </w:r>
      <w:r>
        <w:rPr>
          <w:spacing w:val="7"/>
        </w:rPr>
        <w:t> </w:t>
      </w:r>
      <w:r>
        <w:rPr/>
        <w:t>已经发生的劳务成本预计能够得到补偿的，按照已经发生的劳务成本金额确认提供劳务收入，并按相同金额结转劳</w:t>
      </w:r>
      <w:r>
        <w:rPr/>
        <w:t> 务成本。</w:t>
      </w:r>
    </w:p>
    <w:p>
      <w:pPr>
        <w:pStyle w:val="BodyText"/>
        <w:spacing w:line="439" w:lineRule="auto" w:before="139"/>
        <w:ind w:left="514" w:right="1662"/>
        <w:jc w:val="left"/>
      </w:pPr>
      <w:r>
        <w:rPr/>
        <w:t>② 已经发生的劳务成本预计不能够得到补偿的，将已经发生的劳务成本计入当期损益，不确认提供劳务收入。 </w:t>
      </w:r>
      <w:r>
        <w:rPr>
          <w:rFonts w:ascii="宋体" w:hAnsi="宋体" w:cs="宋体" w:eastAsia="宋体" w:hint="default"/>
        </w:rPr>
        <w:t>4</w:t>
      </w:r>
      <w:r>
        <w:rPr/>
        <w:t>．让渡资产使用权收入</w:t>
      </w:r>
    </w:p>
    <w:p>
      <w:pPr>
        <w:spacing w:after="0" w:line="439" w:lineRule="auto"/>
        <w:jc w:val="left"/>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360"/>
        <w:jc w:val="both"/>
      </w:pPr>
      <w:r>
        <w:rPr>
          <w:spacing w:val="-2"/>
        </w:rPr>
        <w:t>让渡资产使用权在同时满足相关的经济利益很可能流入、收入金额能够可靠计量时，确认让渡资产使用权的收入。利息</w:t>
      </w:r>
      <w:r>
        <w:rPr/>
        <w:t> </w:t>
      </w: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1032"/>
        <w:jc w:val="left"/>
        <w:rPr>
          <w:b w:val="0"/>
          <w:bCs w:val="0"/>
        </w:rPr>
      </w:pPr>
      <w:bookmarkStart w:name="23、政府补助" w:id="195"/>
      <w:bookmarkEnd w:id="195"/>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rFonts w:ascii="宋体" w:hAnsi="宋体" w:cs="宋体" w:eastAsia="宋体" w:hint="default"/>
        </w:rPr>
        <w:t>1</w:t>
      </w:r>
      <w:r>
        <w:rPr/>
        <w:t>．政府补助包括与资产相关的政府补助和与收益相关的政府补助。</w:t>
      </w:r>
    </w:p>
    <w:p>
      <w:pPr>
        <w:spacing w:line="240" w:lineRule="auto" w:before="0"/>
        <w:rPr>
          <w:rFonts w:ascii="宋体" w:hAnsi="宋体" w:cs="宋体" w:eastAsia="宋体" w:hint="default"/>
          <w:sz w:val="15"/>
          <w:szCs w:val="15"/>
        </w:rPr>
      </w:pPr>
    </w:p>
    <w:p>
      <w:pPr>
        <w:pStyle w:val="BodyText"/>
        <w:spacing w:line="316" w:lineRule="auto"/>
        <w:ind w:right="1141" w:firstLine="360"/>
        <w:jc w:val="both"/>
      </w:pPr>
      <w:r>
        <w:rPr>
          <w:rFonts w:ascii="宋体" w:hAnsi="宋体" w:cs="宋体" w:eastAsia="宋体" w:hint="default"/>
        </w:rPr>
        <w:t>2</w:t>
      </w:r>
      <w:r>
        <w:rPr/>
        <w:t>．政府补助为货币性资产的，按照收到或应收的金额计量；政府补助为非货币性资产的，按照公允价值计量，公允价 值不能可靠取得的，按照名义金额计量。</w:t>
      </w:r>
    </w:p>
    <w:p>
      <w:pPr>
        <w:pStyle w:val="BodyText"/>
        <w:spacing w:line="240" w:lineRule="auto" w:before="139"/>
        <w:ind w:left="514" w:right="1032"/>
        <w:jc w:val="left"/>
      </w:pPr>
      <w:r>
        <w:rPr>
          <w:rFonts w:ascii="宋体" w:hAnsi="宋体" w:cs="宋体" w:eastAsia="宋体" w:hint="default"/>
        </w:rPr>
        <w:t>3. </w:t>
      </w:r>
      <w:r>
        <w:rPr/>
        <w:t>政府补助采用总额法：</w:t>
      </w:r>
    </w:p>
    <w:p>
      <w:pPr>
        <w:spacing w:line="240" w:lineRule="auto" w:before="0"/>
        <w:rPr>
          <w:rFonts w:ascii="宋体" w:hAnsi="宋体" w:cs="宋体" w:eastAsia="宋体" w:hint="default"/>
          <w:sz w:val="15"/>
          <w:szCs w:val="15"/>
        </w:rPr>
      </w:pPr>
    </w:p>
    <w:p>
      <w:pPr>
        <w:pStyle w:val="BodyText"/>
        <w:spacing w:line="316" w:lineRule="auto"/>
        <w:ind w:right="1141" w:firstLine="360"/>
        <w:jc w:val="both"/>
      </w:pPr>
      <w:r>
        <w:rPr/>
        <w:t>（</w:t>
      </w:r>
      <w:r>
        <w:rPr>
          <w:rFonts w:ascii="宋体" w:hAnsi="宋体" w:cs="宋体" w:eastAsia="宋体" w:hint="default"/>
        </w:rPr>
        <w:t>1</w:t>
      </w:r>
      <w:r>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BodyText"/>
        <w:spacing w:line="316" w:lineRule="auto" w:before="139"/>
        <w:ind w:right="1141" w:firstLine="360"/>
        <w:jc w:val="both"/>
      </w:pPr>
      <w:r>
        <w:rPr/>
        <w:t>（</w:t>
      </w:r>
      <w:r>
        <w:rPr>
          <w:rFonts w:ascii="宋体" w:hAnsi="宋体" w:cs="宋体" w:eastAsia="宋体" w:hint="default"/>
        </w:rPr>
        <w:t>2</w:t>
      </w:r>
      <w:r>
        <w:rPr/>
        <w:t>）与收益相关的政府补助，用于补偿以后期间的相关费用或损失的，确认为递延收益，在确认相关费用的期间，计 入当期损益；用于补偿已发生的相关费用或损失的，直接计入当期损益。</w:t>
      </w:r>
    </w:p>
    <w:p>
      <w:pPr>
        <w:pStyle w:val="BodyText"/>
        <w:spacing w:line="240" w:lineRule="auto" w:before="139"/>
        <w:ind w:left="514" w:right="1032"/>
        <w:jc w:val="left"/>
      </w:pPr>
      <w:r>
        <w:rPr>
          <w:rFonts w:ascii="宋体" w:hAnsi="宋体" w:cs="宋体" w:eastAsia="宋体" w:hint="default"/>
        </w:rPr>
        <w:t>4</w:t>
      </w:r>
      <w:r>
        <w:rPr/>
        <w:t>．政府补助采用净额法：</w:t>
      </w:r>
    </w:p>
    <w:p>
      <w:pPr>
        <w:spacing w:line="240" w:lineRule="auto" w:before="0"/>
        <w:rPr>
          <w:rFonts w:ascii="宋体" w:hAnsi="宋体" w:cs="宋体" w:eastAsia="宋体" w:hint="default"/>
          <w:sz w:val="15"/>
          <w:szCs w:val="15"/>
        </w:rPr>
      </w:pPr>
    </w:p>
    <w:p>
      <w:pPr>
        <w:pStyle w:val="BodyText"/>
        <w:spacing w:line="240" w:lineRule="auto"/>
        <w:ind w:left="514" w:right="1032"/>
        <w:jc w:val="left"/>
      </w:pPr>
      <w:r>
        <w:rPr/>
        <w:t>（</w:t>
      </w:r>
      <w:r>
        <w:rPr>
          <w:rFonts w:ascii="宋体" w:hAnsi="宋体" w:cs="宋体" w:eastAsia="宋体" w:hint="default"/>
        </w:rPr>
        <w:t>1</w:t>
      </w:r>
      <w:r>
        <w:rPr/>
        <w:t>）与资产相关的政府补助，冲减相关资产的账面价值；</w:t>
      </w:r>
    </w:p>
    <w:p>
      <w:pPr>
        <w:spacing w:line="240" w:lineRule="auto" w:before="0"/>
        <w:rPr>
          <w:rFonts w:ascii="宋体" w:hAnsi="宋体" w:cs="宋体" w:eastAsia="宋体" w:hint="default"/>
          <w:sz w:val="15"/>
          <w:szCs w:val="15"/>
        </w:rPr>
      </w:pPr>
    </w:p>
    <w:p>
      <w:pPr>
        <w:pStyle w:val="BodyText"/>
        <w:spacing w:line="316" w:lineRule="auto"/>
        <w:ind w:right="1141" w:firstLine="360"/>
        <w:jc w:val="both"/>
      </w:pPr>
      <w:r>
        <w:rPr/>
        <w:t>（</w:t>
      </w:r>
      <w:r>
        <w:rPr>
          <w:rFonts w:ascii="宋体" w:hAnsi="宋体" w:cs="宋体" w:eastAsia="宋体" w:hint="default"/>
        </w:rPr>
        <w:t>2</w:t>
      </w:r>
      <w:r>
        <w:rPr/>
        <w:t>）与收益相关的政府补助，用于补偿以后期间的相关费用或损失的，确认为递延收益，在确认相关费用的期间，冲 减相关成本；用于补偿已发生的相关费用或损失的，直接冲减相关成本。</w:t>
      </w:r>
    </w:p>
    <w:p>
      <w:pPr>
        <w:pStyle w:val="BodyText"/>
        <w:spacing w:line="316" w:lineRule="auto" w:before="139"/>
        <w:ind w:right="1140" w:firstLine="360"/>
        <w:jc w:val="both"/>
      </w:pPr>
      <w:r>
        <w:rPr>
          <w:rFonts w:ascii="宋体" w:hAnsi="宋体" w:cs="宋体" w:eastAsia="宋体" w:hint="default"/>
        </w:rPr>
        <w:t>5</w:t>
      </w:r>
      <w:r>
        <w:rPr/>
        <w:t>．对于同时包含与资产相关部分和与收益相关部分的政府补助，区分不同部分分别进行会计处理；难以区分的，整体 归类为与收益相关的政府补助。</w:t>
      </w:r>
    </w:p>
    <w:p>
      <w:pPr>
        <w:pStyle w:val="BodyText"/>
        <w:spacing w:line="316" w:lineRule="auto" w:before="139"/>
        <w:ind w:right="1140" w:firstLine="360"/>
        <w:jc w:val="both"/>
      </w:pPr>
      <w:r>
        <w:rPr>
          <w:rFonts w:ascii="宋体" w:hAnsi="宋体" w:cs="宋体" w:eastAsia="宋体" w:hint="default"/>
        </w:rPr>
        <w:t>6</w:t>
      </w:r>
      <w:r>
        <w:rPr/>
        <w:t>．公司将与公司日常活动相关的政府补助按照经济业务实质计入其他收益或冲减相关成本费用；将与公司日常活动无 关的政府补助，应当计入营业外收支。</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24、递延所得税资产/递延所得税负债" w:id="196"/>
      <w:bookmarkEnd w:id="19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41" w:firstLine="360"/>
        <w:jc w:val="both"/>
      </w:pPr>
      <w:r>
        <w:rPr>
          <w:rFonts w:ascii="宋体" w:hAnsi="宋体" w:cs="宋体" w:eastAsia="宋体" w:hint="default"/>
        </w:rPr>
        <w:t>1.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72"/>
        </w:rPr>
        <w:t> </w:t>
      </w:r>
      <w:r>
        <w:rPr>
          <w:spacing w:val="-72"/>
        </w:rPr>
      </w:r>
      <w:r>
        <w:rPr/>
        <w:t>或递延所得税负债。</w:t>
      </w:r>
    </w:p>
    <w:p>
      <w:pPr>
        <w:pStyle w:val="BodyText"/>
        <w:spacing w:line="316" w:lineRule="auto" w:before="139"/>
        <w:ind w:right="1141" w:firstLine="360"/>
        <w:jc w:val="both"/>
      </w:pPr>
      <w:r>
        <w:rPr>
          <w:rFonts w:ascii="宋体" w:hAnsi="宋体" w:cs="宋体" w:eastAsia="宋体" w:hint="default"/>
        </w:rPr>
        <w:t>2.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16" w:lineRule="auto" w:before="139"/>
        <w:ind w:right="1141" w:firstLine="360"/>
        <w:jc w:val="both"/>
      </w:pPr>
      <w:r>
        <w:rPr>
          <w:rFonts w:ascii="宋体" w:hAnsi="宋体" w:cs="宋体" w:eastAsia="宋体" w:hint="default"/>
        </w:rPr>
        <w:t>3.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16" w:lineRule="auto" w:before="139"/>
        <w:ind w:right="1139" w:firstLine="360"/>
        <w:jc w:val="both"/>
      </w:pPr>
      <w:r>
        <w:rPr>
          <w:rFonts w:ascii="宋体" w:hAnsi="宋体" w:cs="宋体" w:eastAsia="宋体" w:hint="default"/>
        </w:rPr>
        <w:t>4. </w:t>
      </w:r>
      <w:r>
        <w:rPr/>
        <w:t>本公司当期所得税和递延所得税作为所得税费用或收益计入当期损益，但不包括下列情况产生的所得税</w:t>
      </w:r>
      <w:r>
        <w:rPr>
          <w:spacing w:val="-90"/>
        </w:rPr>
        <w:t>：</w:t>
      </w:r>
      <w:r>
        <w:rPr/>
        <w:t>（</w:t>
      </w:r>
      <w:r>
        <w:rPr>
          <w:rFonts w:ascii="宋体" w:hAnsi="宋体" w:cs="宋体" w:eastAsia="宋体" w:hint="default"/>
        </w:rPr>
        <w:t>1</w:t>
      </w:r>
      <w:r>
        <w:rPr/>
        <w:t>）企业 合并</w:t>
      </w:r>
      <w:r>
        <w:rPr>
          <w:spacing w:val="-90"/>
        </w:rPr>
        <w:t>；</w:t>
      </w:r>
      <w:r>
        <w:rPr/>
        <w:t>（</w:t>
      </w:r>
      <w:r>
        <w:rPr>
          <w:rFonts w:ascii="宋体" w:hAnsi="宋体" w:cs="宋体" w:eastAsia="宋体" w:hint="default"/>
        </w:rPr>
        <w:t>2</w:t>
      </w:r>
      <w:r>
        <w:rPr/>
        <w:t>）直接在所有者权益中确认的交易或者事项。</w:t>
      </w:r>
    </w:p>
    <w:p>
      <w:pPr>
        <w:spacing w:after="0" w:line="316" w:lineRule="auto"/>
        <w:jc w:val="both"/>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5、租赁" w:id="197"/>
      <w:bookmarkEnd w:id="197"/>
      <w:r>
        <w:rPr>
          <w:b w:val="0"/>
          <w:bCs w:val="0"/>
        </w:rPr>
      </w:r>
      <w:r>
        <w:rPr>
          <w:rFonts w:ascii="Times New Roman" w:hAnsi="Times New Roman" w:cs="Times New Roman" w:eastAsia="Times New Roman" w:hint="default"/>
        </w:rPr>
        <w:t>25</w:t>
      </w:r>
      <w:r>
        <w:rPr/>
        <w:t>、租赁</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经营租赁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4"/>
        </w:rPr>
        <w:t>本公司为承租人时，在租赁期内各个期间按照直线法将租金计入相关资产成本或确认为当期损益，发生的初始直接费用，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39"/>
        <w:ind w:right="1032" w:firstLine="360"/>
        <w:jc w:val="left"/>
      </w:pPr>
      <w:r>
        <w:rPr>
          <w:spacing w:val="-2"/>
        </w:rPr>
        <w:t>本公司为出租人时，在租赁期内各个期间按照直线法将租金确认为当期损益，发生的初始直接费用，除金额较大的予以</w:t>
      </w:r>
      <w:r>
        <w:rPr/>
        <w:t> 资本化并分期计入损益外，均直接计入当期损益。或有租金在实际发生时计入当期损益。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1032"/>
        <w:jc w:val="left"/>
        <w:rPr>
          <w:b w:val="0"/>
          <w:bCs w:val="0"/>
        </w:rPr>
      </w:pPr>
      <w:bookmarkStart w:name="26、重要会计政策和会计估计变更" w:id="199"/>
      <w:bookmarkEnd w:id="199"/>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重要会计政策变更"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156"/>
              <w:jc w:val="both"/>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 </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9"/>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应收票据及应收账款合并报表及母公 司报表期末分别列示金额 </w:t>
            </w:r>
            <w:r>
              <w:rPr>
                <w:rFonts w:ascii="Times New Roman" w:hAnsi="Times New Roman" w:cs="Times New Roman" w:eastAsia="Times New Roman" w:hint="default"/>
                <w:sz w:val="18"/>
                <w:szCs w:val="18"/>
              </w:rPr>
              <w:t>2,836,849,751.12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2,754,918,538.51</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元；期初分别列示金额</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2,350,756,619.71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2,289,583,303.03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03" w:right="156"/>
              <w:jc w:val="both"/>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 </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应付票据及应付账款合并报表及母公 司报表期末分别列示金额 </w:t>
            </w:r>
            <w:r>
              <w:rPr>
                <w:rFonts w:ascii="Times New Roman" w:hAnsi="Times New Roman" w:cs="Times New Roman" w:eastAsia="Times New Roman" w:hint="default"/>
                <w:sz w:val="18"/>
                <w:szCs w:val="18"/>
              </w:rPr>
              <w:t>753,511,218.38 </w:t>
            </w:r>
            <w:r>
              <w:rPr>
                <w:rFonts w:ascii="宋体" w:hAnsi="宋体" w:cs="宋体" w:eastAsia="宋体" w:hint="default"/>
                <w:sz w:val="18"/>
                <w:szCs w:val="18"/>
              </w:rPr>
              <w:t>元、</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713,935,735.17</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元；期初分别列示金额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750,474,113.95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723,064,681.94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both"/>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 </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 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both"/>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 </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 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 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 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 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研发费用合并报表及母公司报表本期 分别列示金额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11,952,402.67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bl>
    <w:p>
      <w:pPr>
        <w:spacing w:after="0" w:line="316"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9,802,472.02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元；上期分别列示金额</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11,952,402.67 </w:t>
            </w:r>
            <w:r>
              <w:rPr>
                <w:rFonts w:ascii="宋体" w:hAnsi="宋体" w:cs="宋体" w:eastAsia="宋体" w:hint="default"/>
                <w:sz w:val="18"/>
                <w:szCs w:val="18"/>
              </w:rPr>
              <w:t>元、</w:t>
            </w:r>
            <w:r>
              <w:rPr>
                <w:rFonts w:ascii="Times New Roman" w:hAnsi="Times New Roman" w:cs="Times New Roman" w:eastAsia="Times New Roman" w:hint="default"/>
                <w:sz w:val="18"/>
                <w:szCs w:val="18"/>
              </w:rPr>
              <w:t>9,802,472.02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元；相</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应的管理费用减少上述金额。</w:t>
            </w:r>
          </w:p>
        </w:tc>
      </w:tr>
      <w:tr>
        <w:trPr>
          <w:trHeight w:val="32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103" w:right="122"/>
              <w:jc w:val="both"/>
              <w:rPr>
                <w:rFonts w:ascii="宋体" w:hAnsi="宋体" w:cs="宋体" w:eastAsia="宋体" w:hint="default"/>
                <w:sz w:val="18"/>
                <w:szCs w:val="18"/>
              </w:rPr>
            </w:pPr>
            <w:r>
              <w:rPr>
                <w:rFonts w:ascii="宋体" w:hAnsi="宋体" w:cs="宋体" w:eastAsia="宋体" w:hint="default"/>
                <w:sz w:val="18"/>
                <w:szCs w:val="18"/>
              </w:rPr>
              <w:t>利润表中财务费用项下新增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 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 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0"/>
              <w:jc w:val="both"/>
              <w:rPr>
                <w:rFonts w:ascii="宋体" w:hAnsi="宋体" w:cs="宋体" w:eastAsia="宋体" w:hint="default"/>
                <w:sz w:val="18"/>
                <w:szCs w:val="18"/>
              </w:rPr>
            </w:pPr>
            <w:r>
              <w:rPr>
                <w:rFonts w:ascii="宋体" w:hAnsi="宋体" w:cs="宋体" w:eastAsia="宋体" w:hint="default"/>
                <w:spacing w:val="-4"/>
                <w:sz w:val="18"/>
                <w:szCs w:val="18"/>
              </w:rPr>
              <w:t>合并利润表本期列示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其中：利息费用</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73,872,983.88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6,806,579.69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元；上期列示</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51,382,264.67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利</w:t>
            </w:r>
          </w:p>
          <w:p>
            <w:pPr>
              <w:pStyle w:val="TableParagraph"/>
              <w:spacing w:line="300" w:lineRule="auto" w:before="63"/>
              <w:ind w:left="103" w:right="101"/>
              <w:jc w:val="both"/>
              <w:rPr>
                <w:rFonts w:ascii="宋体" w:hAnsi="宋体" w:cs="宋体" w:eastAsia="宋体" w:hint="default"/>
                <w:sz w:val="18"/>
                <w:szCs w:val="18"/>
              </w:rPr>
            </w:pPr>
            <w:r>
              <w:rPr>
                <w:rFonts w:ascii="宋体" w:hAnsi="宋体" w:cs="宋体" w:eastAsia="宋体" w:hint="default"/>
                <w:sz w:val="18"/>
                <w:szCs w:val="18"/>
              </w:rPr>
              <w:t>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10,019,988.43 </w:t>
            </w:r>
            <w:r>
              <w:rPr>
                <w:rFonts w:ascii="宋体" w:hAnsi="宋体" w:cs="宋体" w:eastAsia="宋体" w:hint="default"/>
                <w:spacing w:val="-6"/>
                <w:sz w:val="18"/>
                <w:szCs w:val="18"/>
              </w:rPr>
              <w:t>元。母公司</w:t>
            </w:r>
            <w:r>
              <w:rPr>
                <w:rFonts w:ascii="宋体" w:hAnsi="宋体" w:cs="宋体" w:eastAsia="宋体" w:hint="default"/>
                <w:sz w:val="18"/>
                <w:szCs w:val="18"/>
              </w:rPr>
              <w:t> </w:t>
            </w:r>
            <w:r>
              <w:rPr>
                <w:rFonts w:ascii="宋体" w:hAnsi="宋体" w:cs="宋体" w:eastAsia="宋体" w:hint="default"/>
                <w:spacing w:val="-4"/>
                <w:sz w:val="18"/>
                <w:szCs w:val="18"/>
              </w:rPr>
              <w:t>利润表本期列示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其中：利息费用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金额</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73,872,983.88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p>
          <w:p>
            <w:pPr>
              <w:pStyle w:val="TableParagraph"/>
              <w:spacing w:line="240" w:lineRule="auto" w:before="1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6,753,680.51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元；上期列示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其中：利息</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51,715,484.42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9,990,457.83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2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代扣个人所得税手续费返还，作为其他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与日常活动相关的项目在利润表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0"/>
              <w:jc w:val="left"/>
              <w:rPr>
                <w:rFonts w:ascii="宋体" w:hAnsi="宋体" w:cs="宋体" w:eastAsia="宋体" w:hint="default"/>
                <w:sz w:val="18"/>
                <w:szCs w:val="18"/>
              </w:rPr>
            </w:pPr>
            <w:r>
              <w:rPr>
                <w:rFonts w:ascii="宋体" w:hAnsi="宋体" w:cs="宋体" w:eastAsia="宋体" w:hint="default"/>
                <w:sz w:val="18"/>
                <w:szCs w:val="18"/>
              </w:rPr>
              <w:t>分别增加合并利润表、母公司利润表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154,170.39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00" w:lineRule="auto" w:before="13"/>
              <w:ind w:left="10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154,170.39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元，分别减少合并利润表、 母公司利润表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 </w:t>
            </w:r>
            <w:r>
              <w:rPr>
                <w:rFonts w:ascii="Times New Roman" w:hAnsi="Times New Roman" w:cs="Times New Roman" w:eastAsia="Times New Roman" w:hint="default"/>
                <w:sz w:val="18"/>
                <w:szCs w:val="18"/>
              </w:rPr>
              <w:t>154,170.39 </w:t>
            </w:r>
            <w:r>
              <w:rPr>
                <w:rFonts w:ascii="宋体" w:hAnsi="宋体" w:cs="宋体" w:eastAsia="宋体" w:hint="default"/>
                <w:sz w:val="18"/>
                <w:szCs w:val="18"/>
              </w:rPr>
              <w:t>元、</w:t>
            </w:r>
            <w:r>
              <w:rPr>
                <w:rFonts w:ascii="Times New Roman" w:hAnsi="Times New Roman" w:cs="Times New Roman" w:eastAsia="Times New Roman" w:hint="default"/>
                <w:sz w:val="18"/>
                <w:szCs w:val="18"/>
              </w:rPr>
              <w:t>154,170.39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元；分别增</w:t>
            </w:r>
          </w:p>
          <w:p>
            <w:pPr>
              <w:pStyle w:val="TableParagraph"/>
              <w:spacing w:line="300" w:lineRule="auto" w:before="13"/>
              <w:ind w:left="103" w:right="120"/>
              <w:jc w:val="left"/>
              <w:rPr>
                <w:rFonts w:ascii="宋体" w:hAnsi="宋体" w:cs="宋体" w:eastAsia="宋体" w:hint="default"/>
                <w:sz w:val="18"/>
                <w:szCs w:val="18"/>
              </w:rPr>
            </w:pPr>
            <w:r>
              <w:rPr>
                <w:rFonts w:ascii="宋体" w:hAnsi="宋体" w:cs="宋体" w:eastAsia="宋体" w:hint="default"/>
                <w:sz w:val="18"/>
                <w:szCs w:val="18"/>
              </w:rPr>
              <w:t>加合并利润表、母公司利润表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 益</w:t>
            </w:r>
            <w:r>
              <w:rPr>
                <w:rFonts w:ascii="Times New Roman" w:hAnsi="Times New Roman" w:cs="Times New Roman" w:eastAsia="Times New Roman" w:hint="default"/>
                <w:sz w:val="18"/>
                <w:szCs w:val="18"/>
              </w:rPr>
              <w:t>"</w:t>
            </w:r>
            <w:r>
              <w:rPr>
                <w:rFonts w:ascii="宋体" w:hAnsi="宋体" w:cs="宋体" w:eastAsia="宋体" w:hint="default"/>
                <w:sz w:val="18"/>
                <w:szCs w:val="18"/>
              </w:rPr>
              <w:t>上期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48,412.42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48,412.42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00" w:lineRule="auto" w:before="13"/>
              <w:ind w:left="103" w:right="120"/>
              <w:jc w:val="left"/>
              <w:rPr>
                <w:rFonts w:ascii="宋体" w:hAnsi="宋体" w:cs="宋体" w:eastAsia="宋体" w:hint="default"/>
                <w:sz w:val="18"/>
                <w:szCs w:val="18"/>
              </w:rPr>
            </w:pPr>
            <w:r>
              <w:rPr>
                <w:rFonts w:ascii="宋体" w:hAnsi="宋体" w:cs="宋体" w:eastAsia="宋体" w:hint="default"/>
                <w:sz w:val="18"/>
                <w:szCs w:val="18"/>
              </w:rPr>
              <w:t>分别减少合并利润表、母公司利润表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上期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48,412.42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48,412.42 </w:t>
            </w:r>
            <w:r>
              <w:rPr>
                <w:rFonts w:ascii="宋体" w:hAnsi="宋体" w:cs="宋体" w:eastAsia="宋体" w:hint="default"/>
                <w:sz w:val="18"/>
                <w:szCs w:val="18"/>
              </w:rPr>
              <w:t>元。</w:t>
            </w:r>
          </w:p>
        </w:tc>
      </w:tr>
      <w:tr>
        <w:trPr>
          <w:trHeight w:val="22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103" w:right="122"/>
              <w:jc w:val="left"/>
              <w:rPr>
                <w:rFonts w:ascii="宋体" w:hAnsi="宋体" w:cs="宋体" w:eastAsia="宋体" w:hint="default"/>
                <w:sz w:val="18"/>
                <w:szCs w:val="18"/>
              </w:rPr>
            </w:pPr>
            <w:r>
              <w:rPr>
                <w:rFonts w:ascii="宋体" w:hAnsi="宋体" w:cs="宋体" w:eastAsia="宋体" w:hint="default"/>
                <w:sz w:val="18"/>
                <w:szCs w:val="18"/>
              </w:rPr>
              <w:t>合并现金流量表及现金流量表对无论 与资产相关还是与收益相关的政府补 助收到的现金均作为</w:t>
            </w:r>
            <w:r>
              <w:rPr>
                <w:rFonts w:ascii="Times New Roman" w:hAnsi="Times New Roman" w:cs="Times New Roman" w:eastAsia="Times New Roman" w:hint="default"/>
                <w:sz w:val="18"/>
                <w:szCs w:val="18"/>
              </w:rPr>
              <w:t>"</w:t>
            </w:r>
            <w:r>
              <w:rPr>
                <w:rFonts w:ascii="宋体" w:hAnsi="宋体" w:cs="宋体" w:eastAsia="宋体" w:hint="default"/>
                <w:sz w:val="18"/>
                <w:szCs w:val="18"/>
              </w:rPr>
              <w:t>收到的其他与经 营活动有关的现金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列报；比较数据相 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分别增加合并现金流量表、母公司现金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流量表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收到的其他与经营活动有关 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本期 </w:t>
            </w:r>
            <w:r>
              <w:rPr>
                <w:rFonts w:ascii="Times New Roman" w:hAnsi="Times New Roman" w:cs="Times New Roman" w:eastAsia="Times New Roman" w:hint="default"/>
                <w:sz w:val="18"/>
                <w:szCs w:val="18"/>
              </w:rPr>
              <w:t>297,100.00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00" w:lineRule="auto" w:before="5"/>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297,100.00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元，分别减少合并现金流量</w:t>
            </w:r>
            <w:r>
              <w:rPr>
                <w:rFonts w:ascii="宋体" w:hAnsi="宋体" w:cs="宋体" w:eastAsia="宋体" w:hint="default"/>
                <w:sz w:val="18"/>
                <w:szCs w:val="18"/>
              </w:rPr>
              <w:t> </w:t>
            </w:r>
            <w:r>
              <w:rPr>
                <w:rFonts w:ascii="宋体" w:hAnsi="宋体" w:cs="宋体" w:eastAsia="宋体" w:hint="default"/>
                <w:spacing w:val="-8"/>
                <w:sz w:val="18"/>
                <w:szCs w:val="18"/>
              </w:rPr>
              <w:t>表、母公司现金流量表</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收到的其他与 投资活动有关的现金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297,100.00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297,100.00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元；上期无影响。</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合并股东权益变动表及股东权益变动 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 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240" w:lineRule="auto" w:before="51"/>
        <w:ind w:right="1032"/>
        <w:jc w:val="left"/>
      </w:pPr>
      <w:r>
        <w:rPr/>
        <w:t>注：说明受重要影响的报表项目名称和金额。</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重要会计估计变更" w:id="201"/>
      <w:bookmarkEnd w:id="20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 适用 √ 不适用</w:t>
      </w:r>
    </w:p>
    <w:p>
      <w:pPr>
        <w:spacing w:after="0" w:line="240" w:lineRule="auto"/>
        <w:jc w:val="left"/>
        <w:sectPr>
          <w:pgSz w:w="11910" w:h="16840"/>
          <w:pgMar w:header="91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1032"/>
        <w:jc w:val="left"/>
        <w:rPr>
          <w:b w:val="0"/>
          <w:bCs w:val="0"/>
        </w:rPr>
      </w:pPr>
      <w:bookmarkStart w:name="六、税项" w:id="202"/>
      <w:bookmarkEnd w:id="20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主要税种及税率" w:id="203"/>
      <w:bookmarkEnd w:id="20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应纳税销售额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3.00%/6.00%/11.00%/10.00%/17.00%/1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1.00%/5.00%/7.00%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15.00%/25.00%/-0%12.00%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按各地政策执行</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2"/>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1.20%/12.00%</w:t>
            </w:r>
          </w:p>
        </w:tc>
      </w:tr>
    </w:tbl>
    <w:p>
      <w:pPr>
        <w:pStyle w:val="BodyText"/>
        <w:spacing w:line="240" w:lineRule="auto" w:before="51"/>
        <w:ind w:right="103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南京卓佰年设计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超额累进税率 （</w:t>
            </w:r>
            <w:r>
              <w:rPr>
                <w:rFonts w:ascii="Times New Roman" w:hAnsi="Times New Roman" w:cs="Times New Roman" w:eastAsia="Times New Roman" w:hint="default"/>
                <w:sz w:val="18"/>
                <w:szCs w:val="18"/>
              </w:rPr>
              <w:t>0%-12%</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中装希奥特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税收优惠" w:id="204"/>
      <w:bookmarkEnd w:id="20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29" w:firstLine="36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日，中装园林取得了由深圳市科技创新委员会、深圳市财政委员会、国家税务总局深圳市税务局联合颁发 </w:t>
      </w:r>
      <w:r>
        <w:rPr>
          <w:spacing w:val="-2"/>
        </w:rPr>
        <w:t>的《高新技术企业证书》</w:t>
      </w:r>
      <w:r>
        <w:rPr>
          <w:rFonts w:ascii="宋体" w:hAnsi="宋体" w:cs="宋体" w:eastAsia="宋体" w:hint="default"/>
          <w:spacing w:val="-2"/>
        </w:rPr>
        <w:t>(</w:t>
      </w:r>
      <w:r>
        <w:rPr>
          <w:spacing w:val="-2"/>
        </w:rPr>
        <w:t>证书编号：</w:t>
      </w:r>
      <w:r>
        <w:rPr>
          <w:rFonts w:ascii="宋体" w:hAnsi="宋体" w:cs="宋体" w:eastAsia="宋体" w:hint="default"/>
          <w:spacing w:val="-2"/>
        </w:rPr>
        <w:t>GR201844203575)</w:t>
      </w:r>
      <w:r>
        <w:rPr>
          <w:spacing w:val="-2"/>
        </w:rPr>
        <w:t>，认定中装园林为高新技术企业，有效期三年。自于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w:t>
      </w:r>
      <w:r>
        <w:rPr>
          <w:spacing w:val="-47"/>
        </w:rPr>
        <w:t> </w:t>
      </w:r>
      <w:r>
        <w:rPr/>
        <w:t>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日止，企业所得税税率减按</w:t>
      </w:r>
      <w:r>
        <w:rPr>
          <w:rFonts w:ascii="宋体" w:hAnsi="宋体" w:cs="宋体" w:eastAsia="宋体" w:hint="default"/>
        </w:rPr>
        <w:t>15%</w:t>
      </w:r>
      <w:r>
        <w:rPr/>
        <w:t>执行。</w:t>
      </w:r>
    </w:p>
    <w:p>
      <w:pPr>
        <w:spacing w:line="240" w:lineRule="auto" w:before="10"/>
        <w:rPr>
          <w:rFonts w:ascii="宋体" w:hAnsi="宋体" w:cs="宋体" w:eastAsia="宋体" w:hint="default"/>
          <w:sz w:val="20"/>
          <w:szCs w:val="20"/>
        </w:rPr>
      </w:pPr>
    </w:p>
    <w:p>
      <w:pPr>
        <w:pStyle w:val="Heading2"/>
        <w:spacing w:line="240" w:lineRule="auto"/>
        <w:ind w:right="1032"/>
        <w:jc w:val="left"/>
        <w:rPr>
          <w:b w:val="0"/>
          <w:bCs w:val="0"/>
        </w:rPr>
      </w:pPr>
      <w:bookmarkStart w:name="七、合并财务报表项目注释" w:id="205"/>
      <w:bookmarkEnd w:id="20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货币资金" w:id="206"/>
      <w:bookmarkEnd w:id="20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205,439.65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230,849.64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1,015,696,726.92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1,254,140,204.87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70,543,535.25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25,814,769.95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1,086,445,701.82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1,280,185,824.46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pStyle w:val="BodyText"/>
        <w:spacing w:line="240" w:lineRule="auto" w:before="124"/>
        <w:ind w:left="514" w:right="1032"/>
        <w:jc w:val="left"/>
      </w:pPr>
      <w:r>
        <w:rPr/>
        <w:t>期末所有权受限制的货币资金详见本财务报表附注七、</w:t>
      </w:r>
      <w:r>
        <w:rPr>
          <w:rFonts w:ascii="宋体" w:hAnsi="宋体" w:cs="宋体" w:eastAsia="宋体" w:hint="default"/>
        </w:rPr>
        <w:t>48.</w:t>
      </w:r>
      <w:r>
        <w:rPr/>
        <w:t>所有权或使用权受到限制的资产之说明。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2、应收票据及应收账款" w:id="207"/>
      <w:bookmarkEnd w:id="207"/>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47,742,808.90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12,725,874.00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2,789,106,942.22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2,338,030,745.71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2,836,849,751.12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2,350,756,619.71</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1）应收票据" w:id="208"/>
      <w:bookmarkEnd w:id="20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21,847,128.69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6,323,823.00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28,301,152.17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6,402,051.00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减：商业承兑汇票坏账准备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-2,405,471.96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47,742,808.90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12,725,874.00</w:t>
            </w:r>
          </w:p>
        </w:tc>
      </w:tr>
    </w:tbl>
    <w:p>
      <w:pPr>
        <w:pStyle w:val="BodyText"/>
        <w:spacing w:line="240" w:lineRule="auto" w:before="51"/>
        <w:ind w:right="1032"/>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12,079,376.60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12,079,376.60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应收账款" w:id="209"/>
      <w:bookmarkEnd w:id="20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3,155,4</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99.84</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369,83</w:t>
            </w:r>
          </w:p>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9,169.1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11.72</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2,785,6</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05,831.</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2,598</w:t>
            </w:r>
          </w:p>
          <w:p>
            <w:pPr>
              <w:pStyle w:val="TableParagraph"/>
              <w:spacing w:line="240" w:lineRule="auto" w:before="104"/>
              <w:ind w:left="188"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99.18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260,084</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,394.41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2,338,03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0,745.71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10.79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32.69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3,501,1</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1,044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21,511,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044.18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3,160,6</w:t>
            </w:r>
          </w:p>
          <w:p>
            <w:pPr>
              <w:pStyle w:val="TableParagraph"/>
              <w:spacing w:line="240" w:lineRule="auto" w:before="104"/>
              <w:ind w:left="123" w:right="0"/>
              <w:jc w:val="left"/>
              <w:rPr>
                <w:rFonts w:ascii="Times New Roman" w:hAnsi="Times New Roman" w:cs="Times New Roman" w:eastAsia="Times New Roman" w:hint="default"/>
                <w:sz w:val="18"/>
                <w:szCs w:val="18"/>
              </w:rPr>
            </w:pPr>
            <w:r>
              <w:rPr>
                <w:rFonts w:ascii="Times New Roman"/>
                <w:spacing w:val="-3"/>
                <w:sz w:val="18"/>
              </w:rPr>
              <w:t>46,111.</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371,53</w:t>
            </w:r>
          </w:p>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9,169.1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11.76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2,789,1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06,942.</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2,619</w:t>
            </w:r>
          </w:p>
          <w:p>
            <w:pPr>
              <w:pStyle w:val="TableParagraph"/>
              <w:spacing w:line="240" w:lineRule="auto" w:before="104"/>
              <w:ind w:left="181" w:right="0"/>
              <w:jc w:val="left"/>
              <w:rPr>
                <w:rFonts w:ascii="Times New Roman" w:hAnsi="Times New Roman" w:cs="Times New Roman" w:eastAsia="Times New Roman" w:hint="default"/>
                <w:sz w:val="18"/>
                <w:szCs w:val="18"/>
              </w:rPr>
            </w:pPr>
            <w:r>
              <w:rPr>
                <w:rFonts w:ascii="Times New Roman"/>
                <w:sz w:val="18"/>
              </w:rPr>
              <w:t>,626,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281,595</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,438.59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2,338,03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0,745.71</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1,963,467,038.39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98,173,351.93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706,783,709.61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70,678,370.96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361,121,305.75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108,336,391.73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51,400,110.93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25,700,055.47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28,609,184.19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22,887,347.35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44,063,651.71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44,063,651.71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8" w:right="0"/>
              <w:jc w:val="left"/>
              <w:rPr>
                <w:rFonts w:ascii="Times New Roman" w:hAnsi="Times New Roman" w:cs="Times New Roman" w:eastAsia="Times New Roman" w:hint="default"/>
                <w:sz w:val="18"/>
                <w:szCs w:val="18"/>
              </w:rPr>
            </w:pPr>
            <w:r>
              <w:rPr>
                <w:rFonts w:ascii="Times New Roman"/>
                <w:sz w:val="18"/>
              </w:rPr>
              <w:t>3,155,445,000.58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369,839,169.15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pStyle w:val="BodyText"/>
        <w:spacing w:line="360" w:lineRule="auto" w:before="51"/>
        <w:ind w:right="326"/>
        <w:jc w:val="left"/>
      </w:pPr>
      <w:r>
        <w:rPr/>
        <w:t>确定该组合依据的说明： 公司应收账款的坏账风险主要与账龄有关，故以账龄作为信用风险组合依据。 组合中，采用余额百分比法计提坏账准备的应收账款：</w:t>
      </w:r>
    </w:p>
    <w:p>
      <w:pPr>
        <w:pStyle w:val="BodyText"/>
        <w:spacing w:line="357" w:lineRule="auto" w:before="27"/>
        <w:ind w:right="2486"/>
        <w:jc w:val="left"/>
      </w:pPr>
      <w:r>
        <w:rPr/>
        <w:t>□ 适用 √ 不适用 组合中，采用其他方法计提坏账准备的应收账款： 无</w:t>
      </w:r>
    </w:p>
    <w:p>
      <w:pPr>
        <w:pStyle w:val="BodyText"/>
        <w:spacing w:line="240" w:lineRule="auto" w:before="29"/>
        <w:ind w:right="32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
        <w:jc w:val="left"/>
      </w:pPr>
      <w:r>
        <w:rPr/>
        <w:t>本期计提坏账准备金额</w:t>
      </w:r>
      <w:r>
        <w:rPr>
          <w:spacing w:val="-51"/>
        </w:rPr>
        <w:t> </w:t>
      </w:r>
      <w:r>
        <w:rPr>
          <w:rFonts w:ascii="Times New Roman" w:hAnsi="Times New Roman" w:cs="Times New Roman" w:eastAsia="Times New Roman" w:hint="default"/>
        </w:rPr>
        <w:t>111,454,774.74</w:t>
      </w:r>
      <w:r>
        <w:rPr>
          <w:rFonts w:ascii="Times New Roman" w:hAnsi="Times New Roman" w:cs="Times New Roman" w:eastAsia="Times New Roman" w:hint="default"/>
          <w:spacing w:val="-5"/>
        </w:rPr>
        <w:t> </w:t>
      </w:r>
      <w:r>
        <w:rPr/>
        <w:t>元；本期收回或转回坏账准备金额</w:t>
      </w:r>
      <w:r>
        <w:rPr>
          <w:spacing w:val="-51"/>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102"/>
        <w:ind w:right="326"/>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100" w:bottom="1200" w:left="980" w:right="0"/>
          <w:cols w:num="2" w:equalWidth="0">
            <w:col w:w="6621" w:space="2209"/>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21,511,044.18</w:t>
            </w:r>
          </w:p>
        </w:tc>
      </w:tr>
    </w:tbl>
    <w:p>
      <w:pPr>
        <w:pStyle w:val="BodyText"/>
        <w:spacing w:line="240" w:lineRule="auto" w:before="51"/>
        <w:ind w:right="1032"/>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8,570,000.00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6,313,114.12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2,408,019.00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2,274,585.06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21,265,718.18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应收账款核销说明：</w:t>
      </w:r>
    </w:p>
    <w:p>
      <w:pPr>
        <w:pStyle w:val="BodyText"/>
        <w:spacing w:line="328" w:lineRule="auto" w:before="116"/>
        <w:ind w:right="1032"/>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2"/>
          <w:w w:val="99"/>
        </w:rPr>
        <w:t>本期按照欠款方归集的期末余额前五名应收账款汇总金额为</w:t>
      </w:r>
      <w:r>
        <w:rPr>
          <w:rFonts w:ascii="宋体" w:hAnsi="宋体" w:cs="宋体" w:eastAsia="宋体" w:hint="default"/>
          <w:spacing w:val="-2"/>
          <w:w w:val="99"/>
        </w:rPr>
        <w:t>298,917,604.82</w:t>
      </w:r>
      <w:r>
        <w:rPr>
          <w:spacing w:val="-2"/>
          <w:w w:val="99"/>
        </w:rPr>
        <w:t>元，占应收账款期末余额的合并数的比例</w:t>
      </w:r>
      <w:r>
        <w:rPr>
          <w:rFonts w:ascii="宋体" w:hAnsi="宋体" w:cs="宋体" w:eastAsia="宋体" w:hint="default"/>
          <w:spacing w:val="-2"/>
          <w:w w:val="99"/>
        </w:rPr>
        <w:t>9.46%</w:t>
      </w:r>
      <w:r>
        <w:rPr>
          <w:spacing w:val="-2"/>
          <w:w w:val="99"/>
        </w:rPr>
        <w:t>，</w:t>
      </w:r>
      <w:r>
        <w:rPr>
          <w:spacing w:val="-44"/>
          <w:w w:val="99"/>
        </w:rPr>
        <w:t> </w:t>
      </w:r>
      <w:r>
        <w:rPr/>
        <w:t>对应计提的坏账准备期末余额汇总金额</w:t>
      </w:r>
      <w:r>
        <w:rPr>
          <w:rFonts w:ascii="宋体" w:hAnsi="宋体" w:cs="宋体" w:eastAsia="宋体" w:hint="default"/>
        </w:rPr>
        <w:t>27,670,827.37</w:t>
      </w:r>
      <w:r>
        <w:rPr/>
        <w:t>元。</w:t>
      </w:r>
    </w:p>
    <w:p>
      <w:pPr>
        <w:spacing w:line="240" w:lineRule="auto" w:before="11"/>
        <w:rPr>
          <w:rFonts w:ascii="宋体" w:hAnsi="宋体" w:cs="宋体" w:eastAsia="宋体" w:hint="default"/>
          <w:sz w:val="21"/>
          <w:szCs w:val="21"/>
        </w:rPr>
      </w:pPr>
    </w:p>
    <w:p>
      <w:pPr>
        <w:pStyle w:val="Heading3"/>
        <w:spacing w:line="240" w:lineRule="auto"/>
        <w:ind w:right="1032"/>
        <w:jc w:val="left"/>
        <w:rPr>
          <w:b w:val="0"/>
          <w:bCs w:val="0"/>
        </w:rPr>
      </w:pPr>
      <w:bookmarkStart w:name="3、预付款项" w:id="210"/>
      <w:bookmarkEnd w:id="210"/>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预付款项按账龄列示"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26,983,403.43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15,820,065.65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2,216,981.11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29,200,384.54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15,820,065.65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按预付对象归集的期末余额前五名的预付款情况" w:id="212"/>
      <w:bookmarkEnd w:id="21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53" w:type="dxa"/>
        <w:tblLayout w:type="fixed"/>
        <w:tblCellMar>
          <w:top w:w="0" w:type="dxa"/>
          <w:left w:w="0" w:type="dxa"/>
          <w:bottom w:w="0" w:type="dxa"/>
          <w:right w:w="0" w:type="dxa"/>
        </w:tblCellMar>
        <w:tblLook w:val="01E0"/>
      </w:tblPr>
      <w:tblGrid>
        <w:gridCol w:w="933"/>
        <w:gridCol w:w="1717"/>
        <w:gridCol w:w="1170"/>
        <w:gridCol w:w="1793"/>
        <w:gridCol w:w="1506"/>
        <w:gridCol w:w="1551"/>
      </w:tblGrid>
      <w:tr>
        <w:trPr>
          <w:trHeight w:val="575" w:hRule="exact"/>
        </w:trPr>
        <w:tc>
          <w:tcPr>
            <w:tcW w:w="933" w:type="dxa"/>
            <w:tcBorders>
              <w:top w:val="nil" w:sz="6" w:space="0" w:color="auto"/>
              <w:left w:val="nil" w:sz="6" w:space="0" w:color="auto"/>
              <w:bottom w:val="single" w:sz="6" w:space="0" w:color="000000"/>
              <w:right w:val="nil" w:sz="6" w:space="0" w:color="auto"/>
            </w:tcBorders>
          </w:tcPr>
          <w:p>
            <w:pPr>
              <w:pStyle w:val="TableParagraph"/>
              <w:spacing w:line="180" w:lineRule="exact"/>
              <w:ind w:left="13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17" w:type="dxa"/>
            <w:tcBorders>
              <w:top w:val="nil" w:sz="6" w:space="0" w:color="auto"/>
              <w:left w:val="nil" w:sz="6" w:space="0" w:color="auto"/>
              <w:bottom w:val="single" w:sz="6" w:space="0" w:color="000000"/>
              <w:right w:val="nil" w:sz="6" w:space="0" w:color="auto"/>
            </w:tcBorders>
          </w:tcPr>
          <w:p>
            <w:pPr>
              <w:pStyle w:val="TableParagraph"/>
              <w:spacing w:line="180" w:lineRule="exact"/>
              <w:ind w:left="159"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70" w:type="dxa"/>
            <w:tcBorders>
              <w:top w:val="nil" w:sz="6" w:space="0" w:color="auto"/>
              <w:left w:val="nil" w:sz="6" w:space="0" w:color="auto"/>
              <w:bottom w:val="single" w:sz="6" w:space="0" w:color="000000"/>
              <w:right w:val="nil" w:sz="6" w:space="0" w:color="auto"/>
            </w:tcBorders>
          </w:tcPr>
          <w:p>
            <w:pPr>
              <w:pStyle w:val="TableParagraph"/>
              <w:spacing w:line="180"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93" w:type="dxa"/>
            <w:tcBorders>
              <w:top w:val="nil" w:sz="6" w:space="0" w:color="auto"/>
              <w:left w:val="nil" w:sz="6" w:space="0" w:color="auto"/>
              <w:bottom w:val="single" w:sz="6"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06" w:type="dxa"/>
            <w:tcBorders>
              <w:top w:val="nil" w:sz="6" w:space="0" w:color="auto"/>
              <w:left w:val="nil" w:sz="6" w:space="0" w:color="auto"/>
              <w:bottom w:val="single" w:sz="6" w:space="0" w:color="000000"/>
              <w:right w:val="nil" w:sz="6" w:space="0" w:color="auto"/>
            </w:tcBorders>
          </w:tcPr>
          <w:p>
            <w:pPr>
              <w:pStyle w:val="TableParagraph"/>
              <w:spacing w:line="180"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c>
          <w:tcPr>
            <w:tcW w:w="1551" w:type="dxa"/>
            <w:tcBorders>
              <w:top w:val="nil" w:sz="6" w:space="0" w:color="auto"/>
              <w:left w:val="nil" w:sz="6" w:space="0" w:color="auto"/>
              <w:bottom w:val="single" w:sz="6" w:space="0" w:color="000000"/>
              <w:right w:val="nil" w:sz="6" w:space="0" w:color="auto"/>
            </w:tcBorders>
          </w:tcPr>
          <w:p>
            <w:pPr>
              <w:pStyle w:val="TableParagraph"/>
              <w:spacing w:line="180" w:lineRule="exact"/>
              <w:ind w:right="27"/>
              <w:jc w:val="center"/>
              <w:rPr>
                <w:rFonts w:ascii="宋体" w:hAnsi="宋体" w:cs="宋体" w:eastAsia="宋体" w:hint="default"/>
                <w:sz w:val="18"/>
                <w:szCs w:val="18"/>
              </w:rPr>
            </w:pPr>
            <w:r>
              <w:rPr>
                <w:rFonts w:ascii="宋体" w:hAnsi="宋体" w:cs="宋体" w:eastAsia="宋体" w:hint="default"/>
                <w:b/>
                <w:bCs/>
                <w:sz w:val="18"/>
                <w:szCs w:val="18"/>
              </w:rPr>
              <w:t>占预付款项余额的</w:t>
            </w:r>
            <w:r>
              <w:rPr>
                <w:rFonts w:ascii="宋体" w:hAnsi="宋体" w:cs="宋体" w:eastAsia="宋体" w:hint="default"/>
                <w:sz w:val="18"/>
                <w:szCs w:val="18"/>
              </w:rPr>
            </w:r>
          </w:p>
          <w:p>
            <w:pPr>
              <w:pStyle w:val="TableParagraph"/>
              <w:spacing w:line="240" w:lineRule="auto" w:before="76"/>
              <w:ind w:right="26"/>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7" w:hRule="exact"/>
        </w:trPr>
        <w:tc>
          <w:tcPr>
            <w:tcW w:w="93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1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7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3,000,000.00</w:t>
            </w:r>
          </w:p>
        </w:tc>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0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6"/>
              <w:jc w:val="right"/>
              <w:rPr>
                <w:rFonts w:ascii="宋体" w:hAnsi="宋体" w:cs="宋体" w:eastAsia="宋体" w:hint="default"/>
                <w:sz w:val="18"/>
                <w:szCs w:val="18"/>
              </w:rPr>
            </w:pPr>
            <w:r>
              <w:rPr>
                <w:rFonts w:ascii="宋体" w:hAnsi="宋体" w:cs="宋体" w:eastAsia="宋体" w:hint="default"/>
                <w:sz w:val="18"/>
                <w:szCs w:val="18"/>
              </w:rPr>
              <w:t>预付材料款</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sz w:val="18"/>
              </w:rPr>
              <w:t>10.27</w:t>
            </w:r>
          </w:p>
        </w:tc>
      </w:tr>
      <w:tr>
        <w:trPr>
          <w:trHeight w:val="337" w:hRule="exact"/>
        </w:trPr>
        <w:tc>
          <w:tcPr>
            <w:tcW w:w="93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1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2,918,878.63</w:t>
            </w:r>
          </w:p>
        </w:tc>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6"/>
              <w:jc w:val="right"/>
              <w:rPr>
                <w:rFonts w:ascii="宋体" w:hAnsi="宋体" w:cs="宋体" w:eastAsia="宋体" w:hint="default"/>
                <w:sz w:val="18"/>
                <w:szCs w:val="18"/>
              </w:rPr>
            </w:pPr>
            <w:r>
              <w:rPr>
                <w:rFonts w:ascii="宋体" w:hAnsi="宋体" w:cs="宋体" w:eastAsia="宋体" w:hint="default"/>
                <w:sz w:val="18"/>
                <w:szCs w:val="18"/>
              </w:rPr>
              <w:t>预付材料款</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10.00</w:t>
            </w:r>
          </w:p>
        </w:tc>
      </w:tr>
      <w:tr>
        <w:trPr>
          <w:trHeight w:val="337" w:hRule="exact"/>
        </w:trPr>
        <w:tc>
          <w:tcPr>
            <w:tcW w:w="93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1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2,385,121.00</w:t>
            </w:r>
          </w:p>
        </w:tc>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6"/>
              <w:jc w:val="right"/>
              <w:rPr>
                <w:rFonts w:ascii="宋体" w:hAnsi="宋体" w:cs="宋体" w:eastAsia="宋体" w:hint="default"/>
                <w:sz w:val="18"/>
                <w:szCs w:val="18"/>
              </w:rPr>
            </w:pPr>
            <w:r>
              <w:rPr>
                <w:rFonts w:ascii="宋体" w:hAnsi="宋体" w:cs="宋体" w:eastAsia="宋体" w:hint="default"/>
                <w:sz w:val="18"/>
                <w:szCs w:val="18"/>
              </w:rPr>
              <w:t>预付材料款</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8.17</w:t>
            </w:r>
          </w:p>
        </w:tc>
      </w:tr>
      <w:tr>
        <w:trPr>
          <w:trHeight w:val="336" w:hRule="exact"/>
        </w:trPr>
        <w:tc>
          <w:tcPr>
            <w:tcW w:w="933" w:type="dxa"/>
            <w:tcBorders>
              <w:top w:val="single" w:sz="6" w:space="0" w:color="000000"/>
              <w:left w:val="nil" w:sz="6" w:space="0" w:color="auto"/>
              <w:bottom w:val="single" w:sz="6"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71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2,249,500.00</w:t>
            </w:r>
          </w:p>
        </w:tc>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6"/>
              <w:jc w:val="right"/>
              <w:rPr>
                <w:rFonts w:ascii="宋体" w:hAnsi="宋体" w:cs="宋体" w:eastAsia="宋体" w:hint="default"/>
                <w:sz w:val="18"/>
                <w:szCs w:val="18"/>
              </w:rPr>
            </w:pPr>
            <w:r>
              <w:rPr>
                <w:rFonts w:ascii="宋体" w:hAnsi="宋体" w:cs="宋体" w:eastAsia="宋体" w:hint="default"/>
                <w:sz w:val="18"/>
                <w:szCs w:val="18"/>
              </w:rPr>
              <w:t>预付材料款</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7.70</w:t>
            </w:r>
          </w:p>
        </w:tc>
      </w:tr>
      <w:tr>
        <w:trPr>
          <w:trHeight w:val="337" w:hRule="exact"/>
        </w:trPr>
        <w:tc>
          <w:tcPr>
            <w:tcW w:w="933" w:type="dxa"/>
            <w:tcBorders>
              <w:top w:val="single" w:sz="6" w:space="0" w:color="000000"/>
              <w:left w:val="nil" w:sz="6" w:space="0" w:color="auto"/>
              <w:bottom w:val="single" w:sz="6" w:space="0" w:color="000000"/>
              <w:right w:val="nil" w:sz="6" w:space="0" w:color="auto"/>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71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7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2,192,820.54</w:t>
            </w:r>
          </w:p>
        </w:tc>
        <w:tc>
          <w:tcPr>
            <w:tcW w:w="17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0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6"/>
              <w:jc w:val="right"/>
              <w:rPr>
                <w:rFonts w:ascii="宋体" w:hAnsi="宋体" w:cs="宋体" w:eastAsia="宋体" w:hint="default"/>
                <w:sz w:val="18"/>
                <w:szCs w:val="18"/>
              </w:rPr>
            </w:pPr>
            <w:r>
              <w:rPr>
                <w:rFonts w:ascii="宋体" w:hAnsi="宋体" w:cs="宋体" w:eastAsia="宋体" w:hint="default"/>
                <w:sz w:val="18"/>
                <w:szCs w:val="18"/>
              </w:rPr>
              <w:t>预付材料款</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sz w:val="18"/>
              </w:rPr>
              <w:t>7.51</w:t>
            </w:r>
          </w:p>
        </w:tc>
      </w:tr>
      <w:tr>
        <w:trPr>
          <w:trHeight w:val="262" w:hRule="exact"/>
        </w:trPr>
        <w:tc>
          <w:tcPr>
            <w:tcW w:w="933"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7" w:type="dxa"/>
            <w:tcBorders>
              <w:top w:val="single" w:sz="6" w:space="0" w:color="000000"/>
              <w:left w:val="nil" w:sz="6" w:space="0" w:color="auto"/>
              <w:bottom w:val="nil" w:sz="6" w:space="0" w:color="auto"/>
              <w:right w:val="nil" w:sz="6" w:space="0" w:color="auto"/>
            </w:tcBorders>
          </w:tcPr>
          <w:p>
            <w:pPr/>
          </w:p>
        </w:tc>
        <w:tc>
          <w:tcPr>
            <w:tcW w:w="1170"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12,746,320.17</w:t>
            </w:r>
          </w:p>
        </w:tc>
        <w:tc>
          <w:tcPr>
            <w:tcW w:w="1793" w:type="dxa"/>
            <w:tcBorders>
              <w:top w:val="single" w:sz="6" w:space="0" w:color="000000"/>
              <w:left w:val="nil" w:sz="6" w:space="0" w:color="auto"/>
              <w:bottom w:val="nil" w:sz="6" w:space="0" w:color="auto"/>
              <w:right w:val="nil" w:sz="6" w:space="0" w:color="auto"/>
            </w:tcBorders>
          </w:tcPr>
          <w:p>
            <w:pPr/>
          </w:p>
        </w:tc>
        <w:tc>
          <w:tcPr>
            <w:tcW w:w="1506" w:type="dxa"/>
            <w:tcBorders>
              <w:top w:val="single" w:sz="6" w:space="0" w:color="000000"/>
              <w:left w:val="nil" w:sz="6" w:space="0" w:color="auto"/>
              <w:bottom w:val="nil" w:sz="6" w:space="0" w:color="auto"/>
              <w:right w:val="nil" w:sz="6" w:space="0" w:color="auto"/>
            </w:tcBorders>
          </w:tcPr>
          <w:p>
            <w:pPr/>
          </w:p>
        </w:tc>
        <w:tc>
          <w:tcPr>
            <w:tcW w:w="1551" w:type="dxa"/>
            <w:tcBorders>
              <w:top w:val="single" w:sz="6" w:space="0" w:color="000000"/>
              <w:left w:val="nil" w:sz="6" w:space="0" w:color="auto"/>
              <w:bottom w:val="single" w:sz="4" w:space="0" w:color="000000"/>
              <w:right w:val="nil" w:sz="6" w:space="0" w:color="auto"/>
            </w:tcBorders>
          </w:tcPr>
          <w:p>
            <w:pPr>
              <w:pStyle w:val="TableParagraph"/>
              <w:spacing w:line="240" w:lineRule="auto" w:before="11"/>
              <w:ind w:right="7"/>
              <w:jc w:val="right"/>
              <w:rPr>
                <w:rFonts w:ascii="宋体" w:hAnsi="宋体" w:cs="宋体" w:eastAsia="宋体" w:hint="default"/>
                <w:sz w:val="18"/>
                <w:szCs w:val="18"/>
              </w:rPr>
            </w:pPr>
            <w:r>
              <w:rPr>
                <w:rFonts w:ascii="宋体"/>
                <w:sz w:val="18"/>
              </w:rPr>
              <w:t>43.65</w:t>
            </w:r>
          </w:p>
        </w:tc>
      </w:tr>
    </w:tbl>
    <w:p>
      <w:pPr>
        <w:spacing w:line="240" w:lineRule="auto" w:before="12"/>
        <w:rPr>
          <w:rFonts w:ascii="宋体" w:hAnsi="宋体" w:cs="宋体" w:eastAsia="宋体" w:hint="default"/>
          <w:b/>
          <w:bCs/>
          <w:sz w:val="4"/>
          <w:szCs w:val="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34.95pt;height:.75pt;mso-position-horizontal-relative:char;mso-position-vertical-relative:line" coordorigin="0,0" coordsize="8699,15">
            <v:group style="position:absolute;left:7;top:7;width:1012;height:2" coordorigin="7,7" coordsize="1012,2">
              <v:shape style="position:absolute;left:7;top:7;width:1012;height:2" coordorigin="7,7" coordsize="1012,0" path="m7,7l1019,7e" filled="false" stroked="true" strokeweight=".72pt" strokecolor="#000000">
                <v:path arrowok="t"/>
              </v:shape>
            </v:group>
            <v:group style="position:absolute;left:1005;top:7;width:15;height:2" coordorigin="1005,7" coordsize="15,2">
              <v:shape style="position:absolute;left:1005;top:7;width:15;height:2" coordorigin="1005,7" coordsize="15,0" path="m1005,7l1019,7e" filled="false" stroked="true" strokeweight=".72pt" strokecolor="#000000">
                <v:path arrowok="t"/>
              </v:shape>
            </v:group>
            <v:group style="position:absolute;left:1019;top:7;width:1275;height:2" coordorigin="1019,7" coordsize="1275,2">
              <v:shape style="position:absolute;left:1019;top:7;width:1275;height:2" coordorigin="1019,7" coordsize="1275,0" path="m1019,7l2294,7e" filled="false" stroked="true" strokeweight=".72pt" strokecolor="#000000">
                <v:path arrowok="t"/>
              </v:shape>
            </v:group>
            <v:group style="position:absolute;left:2279;top:7;width:15;height:2" coordorigin="2279,7" coordsize="15,2">
              <v:shape style="position:absolute;left:2279;top:7;width:15;height:2" coordorigin="2279,7" coordsize="15,0" path="m2279,7l2294,7e" filled="false" stroked="true" strokeweight=".72pt" strokecolor="#000000">
                <v:path arrowok="t"/>
              </v:shape>
            </v:group>
            <v:group style="position:absolute;left:2294;top:7;width:1560;height:2" coordorigin="2294,7" coordsize="1560,2">
              <v:shape style="position:absolute;left:2294;top:7;width:1560;height:2" coordorigin="2294,7" coordsize="1560,0" path="m2294,7l3853,7e" filled="false" stroked="true" strokeweight=".72pt" strokecolor="#000000">
                <v:path arrowok="t"/>
              </v:shape>
            </v:group>
            <v:group style="position:absolute;left:3838;top:7;width:15;height:2" coordorigin="3838,7" coordsize="15,2">
              <v:shape style="position:absolute;left:3838;top:7;width:15;height:2" coordorigin="3838,7" coordsize="15,0" path="m3838,7l3853,7e" filled="false" stroked="true" strokeweight=".72pt" strokecolor="#000000">
                <v:path arrowok="t"/>
              </v:shape>
            </v:group>
            <v:group style="position:absolute;left:3853;top:7;width:1418;height:2" coordorigin="3853,7" coordsize="1418,2">
              <v:shape style="position:absolute;left:3853;top:7;width:1418;height:2" coordorigin="3853,7" coordsize="1418,0" path="m3853,7l5270,7e" filled="false" stroked="true" strokeweight=".72pt" strokecolor="#000000">
                <v:path arrowok="t"/>
              </v:shape>
            </v:group>
            <v:group style="position:absolute;left:5256;top:7;width:15;height:2" coordorigin="5256,7" coordsize="15,2">
              <v:shape style="position:absolute;left:5256;top:7;width:15;height:2" coordorigin="5256,7" coordsize="15,0" path="m5256,7l5270,7e" filled="false" stroked="true" strokeweight=".72pt" strokecolor="#000000">
                <v:path arrowok="t"/>
              </v:shape>
            </v:group>
            <v:group style="position:absolute;left:5270;top:7;width:1843;height:2" coordorigin="5270,7" coordsize="1843,2">
              <v:shape style="position:absolute;left:5270;top:7;width:1843;height:2" coordorigin="5270,7" coordsize="1843,0" path="m5270,7l7112,7e" filled="false" stroked="true" strokeweight=".72pt" strokecolor="#000000">
                <v:path arrowok="t"/>
              </v:shape>
            </v:group>
            <v:group style="position:absolute;left:7098;top:7;width:15;height:2" coordorigin="7098,7" coordsize="15,2">
              <v:shape style="position:absolute;left:7098;top:7;width:15;height:2" coordorigin="7098,7" coordsize="15,0" path="m7098,7l7112,7e" filled="false" stroked="true" strokeweight=".72pt" strokecolor="#000000">
                <v:path arrowok="t"/>
              </v:shape>
            </v:group>
            <v:group style="position:absolute;left:7112;top:7;width:1580;height:2" coordorigin="7112,7" coordsize="1580,2">
              <v:shape style="position:absolute;left:7112;top:7;width:1580;height:2" coordorigin="7112,7" coordsize="1580,0" path="m7112,7l869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spacing w:before="35"/>
        <w:ind w:left="154" w:right="1032" w:firstLine="0"/>
        <w:jc w:val="left"/>
        <w:rPr>
          <w:rFonts w:ascii="宋体" w:hAnsi="宋体" w:cs="宋体" w:eastAsia="宋体" w:hint="default"/>
          <w:sz w:val="21"/>
          <w:szCs w:val="21"/>
        </w:rPr>
      </w:pPr>
      <w:bookmarkStart w:name="4、其他应收款" w:id="213"/>
      <w:bookmarkEnd w:id="21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73,262,386.57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68,597,178.82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73,262,386.57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68,597,178.82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其他应收款" w:id="214"/>
      <w:bookmarkEnd w:id="214"/>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81,790,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874.80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8,528,4</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88.23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10.43</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73,262,</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386.57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74,62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7,911</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6,030,7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32.20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68,597,1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78.82</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3" w:right="261"/>
              <w:jc w:val="left"/>
              <w:rPr>
                <w:rFonts w:ascii="宋体" w:hAnsi="宋体" w:cs="宋体" w:eastAsia="宋体" w:hint="default"/>
                <w:sz w:val="18"/>
                <w:szCs w:val="18"/>
              </w:rPr>
            </w:pPr>
            <w:r>
              <w:rPr>
                <w:rFonts w:ascii="宋体" w:hAnsi="宋体" w:cs="宋体" w:eastAsia="宋体" w:hint="default"/>
                <w:sz w:val="18"/>
                <w:szCs w:val="18"/>
              </w:rPr>
              <w:t>单项金额不重大 但单独计提坏账</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04"/>
              <w:ind w:left="181" w:right="0"/>
              <w:jc w:val="left"/>
              <w:rPr>
                <w:rFonts w:ascii="Times New Roman" w:hAnsi="Times New Roman" w:cs="Times New Roman" w:eastAsia="Times New Roman" w:hint="default"/>
                <w:sz w:val="18"/>
                <w:szCs w:val="18"/>
              </w:rPr>
            </w:pPr>
            <w:r>
              <w:rPr>
                <w:rFonts w:ascii="Times New Roman"/>
                <w:sz w:val="18"/>
              </w:rPr>
              <w:t>,083.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1,241,0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83.21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59"/>
              <w:jc w:val="left"/>
              <w:rPr>
                <w:rFonts w:ascii="宋体" w:hAnsi="宋体" w:cs="宋体" w:eastAsia="宋体" w:hint="default"/>
                <w:sz w:val="18"/>
                <w:szCs w:val="18"/>
              </w:rPr>
            </w:pPr>
            <w:r>
              <w:rPr>
                <w:rFonts w:ascii="宋体" w:hAnsi="宋体" w:cs="宋体" w:eastAsia="宋体" w:hint="default"/>
                <w:sz w:val="18"/>
                <w:szCs w:val="18"/>
              </w:rPr>
              <w:t>准备的其他应收 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81,790,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874.80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8,528,4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10.43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73,262,</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386.57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75,86</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8,994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7,271,8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15.41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9.58%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68,597,1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78.82</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50,956,273.23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2,547,813.66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22,100,367.65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2,210,036.76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3,931,288.27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1,179,386.49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4,231,329.96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2,115,664.98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480,146.74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384,117.39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91,468.95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91,468.95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81,790,874.80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8,528,488.23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10.43%</w:t>
            </w:r>
          </w:p>
        </w:tc>
      </w:tr>
    </w:tbl>
    <w:p>
      <w:pPr>
        <w:pStyle w:val="BodyText"/>
        <w:spacing w:line="360" w:lineRule="auto" w:before="51"/>
        <w:ind w:right="4272"/>
        <w:jc w:val="left"/>
      </w:pPr>
      <w:r>
        <w:rPr/>
        <w:t>确定该组合依据的说明： 公司其他应收账款的坏账风险主要与账龄相关，故以账龄作为信用风险组合依据。 组合中，采用余额百分比法计提坏账准备的其他应收款：</w:t>
      </w:r>
    </w:p>
    <w:p>
      <w:pPr>
        <w:pStyle w:val="BodyText"/>
        <w:spacing w:line="240" w:lineRule="auto" w:before="27"/>
        <w:ind w:right="1032"/>
        <w:jc w:val="left"/>
      </w:pPr>
      <w:r>
        <w:rPr/>
        <w:t>□ 适用 √ 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03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4"/>
        <w:ind w:right="1032"/>
        <w:jc w:val="left"/>
      </w:pPr>
      <w:r>
        <w:rPr/>
        <w:t>本期计提坏账准备金额</w:t>
      </w:r>
      <w:r>
        <w:rPr>
          <w:spacing w:val="-47"/>
        </w:rPr>
        <w:t> </w:t>
      </w:r>
      <w:r>
        <w:rPr>
          <w:rFonts w:ascii="Times New Roman" w:hAnsi="Times New Roman" w:cs="Times New Roman" w:eastAsia="Times New Roman" w:hint="default"/>
        </w:rPr>
        <w:t>2,887,906.03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103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after="0" w:line="240" w:lineRule="auto"/>
        <w:jc w:val="right"/>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1,631,233.21</w:t>
            </w:r>
          </w:p>
        </w:tc>
      </w:tr>
    </w:tbl>
    <w:p>
      <w:pPr>
        <w:pStyle w:val="BodyText"/>
        <w:spacing w:line="240" w:lineRule="auto" w:before="51"/>
        <w:ind w:right="1032"/>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771,049.21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470,034.00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390,150.00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1,631,233.21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right="1032"/>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投标、履约及农民工工资保证金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59,767,369.41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55,985,053.17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8,800,128.69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7,298,349.43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7,223,376.70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6,585,591.63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81,790,874.80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75,868,994.23</w:t>
            </w:r>
          </w:p>
        </w:tc>
      </w:tr>
    </w:tbl>
    <w:p>
      <w:pPr>
        <w:spacing w:line="240" w:lineRule="auto" w:before="6"/>
        <w:rPr>
          <w:rFonts w:ascii="宋体" w:hAnsi="宋体" w:cs="宋体" w:eastAsia="宋体" w:hint="default"/>
          <w:sz w:val="27"/>
          <w:szCs w:val="27"/>
        </w:rPr>
      </w:pPr>
    </w:p>
    <w:p>
      <w:pPr>
        <w:pStyle w:val="BodyText"/>
        <w:spacing w:line="240" w:lineRule="auto" w:before="44"/>
        <w:ind w:right="103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2,746,473.00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137,323.65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农民工工资保证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249,900.00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1,540,122.00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154,012.20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15,285,595.00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1,266,235.85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5、存货" w:id="215"/>
      <w:bookmarkEnd w:id="215"/>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存货分类"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1,932,685.40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1,932,685.40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1,607,439.90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1,607,439.90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189,257,633.80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1,951,137.93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187,306,495.87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125,094,595.36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122,374,737.10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191,190,319.20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1,951,137.93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189,239,181.27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126,702,035.26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123,982,177.00</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存货跌价准备" w:id="217"/>
      <w:bookmarkEnd w:id="21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1,951,137.93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1,951,137.93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1,951,137.93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2,719,858.26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1,951,137.93</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3）存货期末余额含有借款费用资本化金额的说明" w:id="218"/>
      <w:bookmarkEnd w:id="21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4）期末建造合同形成的已完工未结算资产情况" w:id="219"/>
      <w:bookmarkEnd w:id="21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7,717,160,606.83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1,392,284,119.86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1,951,137.93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8,920,187,092.89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187,306,495.87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其他流动资产" w:id="220"/>
      <w:bookmarkEnd w:id="220"/>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147,906.49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35,579.25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147,906.49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35,579.25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7、可供出售金融资产" w:id="221"/>
      <w:bookmarkEnd w:id="221"/>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可供出售金融资产情况"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2,494,700.00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2,494,700.00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按公允价值计量</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2,494,700.00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2,494,700.00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2,494,700.00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2,494,700.00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8、长期股权投资" w:id="223"/>
      <w:bookmarkEnd w:id="223"/>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赛格物 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40,454,</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915.28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6,471,7</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63.72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46,926,</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679.00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引爆互 联网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66.89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66.89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南亿科 技</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1,113,5</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95.84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16,113,</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595.84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50,377,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882.17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66.89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7,585,3</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59.56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274.84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50,377,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882.17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66.89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7,585,3</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59.56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274.84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9、固定资产" w:id="224"/>
      <w:bookmarkEnd w:id="224"/>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153,550,996.42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160,635,723.88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153,550,996.42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160,635,723.88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固定资产情况" w:id="225"/>
      <w:bookmarkEnd w:id="22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587" w:right="138" w:hanging="450"/>
              <w:jc w:val="left"/>
              <w:rPr>
                <w:rFonts w:ascii="宋体" w:hAnsi="宋体" w:cs="宋体" w:eastAsia="宋体" w:hint="default"/>
                <w:sz w:val="18"/>
                <w:szCs w:val="18"/>
              </w:rPr>
            </w:pPr>
            <w:r>
              <w:rPr>
                <w:rFonts w:ascii="宋体" w:hAnsi="宋体" w:cs="宋体" w:eastAsia="宋体" w:hint="default"/>
                <w:sz w:val="18"/>
                <w:szCs w:val="18"/>
              </w:rPr>
              <w:t>房屋建筑物装 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588" w:right="137" w:hanging="451"/>
              <w:jc w:val="left"/>
              <w:rPr>
                <w:rFonts w:ascii="宋体" w:hAnsi="宋体" w:cs="宋体" w:eastAsia="宋体" w:hint="default"/>
                <w:sz w:val="18"/>
                <w:szCs w:val="18"/>
              </w:rPr>
            </w:pPr>
            <w:r>
              <w:rPr>
                <w:rFonts w:ascii="宋体" w:hAnsi="宋体" w:cs="宋体" w:eastAsia="宋体" w:hint="default"/>
                <w:sz w:val="18"/>
                <w:szCs w:val="18"/>
              </w:rPr>
              <w:t>办公设备及其 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180,418,424.06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19,317,641.45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9,687,842.75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2,723,276.21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9,977,623.12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222,124,807.59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3,807,637.69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785,689.83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1,479,476.28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6,072,803.80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3,807,637.69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785,689.83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1,479,476.28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6,072,803.80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367,120.79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107,088.00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474,208.79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367,120.79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107,088.00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474,208.79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180,418,424.06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23,125,279.14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9,687,842.75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3,141,845.25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11,350,011.40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227,723,402.60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28,527,904.55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17,631,494.09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6,786,398.11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1,272,308.10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7,270,978.86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61,489,083.71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8,569,875.12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1,853,540.16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666,115.58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493,949.58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1,461,359.18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13,044,839.62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8,569,875.12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1,853,540.16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666,115.58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493,949.58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1,461,359.18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13,044,839.62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258,996.92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102,520.23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361,517.15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258,996.92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102,520.23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361,517.15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37,097,779.67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19,485,034.25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7,452,513.69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1,507,260.76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8,629,817.81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74,172,406.18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143,320,644.39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3,640,244.89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2,235,329.06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1,634,584.49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2,720,193.59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153,550,996.42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151,890,519.51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1,686,147.36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2,901,444.64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1,450,968.11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2,706,644.26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160,635,723.88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2）未办妥产权证书的固定资产情况" w:id="226"/>
      <w:bookmarkEnd w:id="22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莲馨家园三套</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1,294,242.26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政府人才住房</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0、在建工程" w:id="227"/>
      <w:bookmarkEnd w:id="227"/>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12,853,407.10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761,233.92</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15" w:type="dxa"/>
            <w:tcBorders>
              <w:top w:val="single" w:sz="4" w:space="0" w:color="000000"/>
              <w:left w:val="single" w:sz="4" w:space="0" w:color="000000"/>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12,853,407.10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761,233.92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在建工程情况" w:id="228"/>
      <w:bookmarkEnd w:id="22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部品部件工厂 化生产项目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12,853,407.10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12,853,407.10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761,233.92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761,233.92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12,853,407.10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12,853,407.10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761,233.92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761,233.92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在建工程项目本期变动情况" w:id="229"/>
      <w:bookmarkEnd w:id="22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57"/>
              <w:jc w:val="both"/>
              <w:rPr>
                <w:rFonts w:ascii="宋体" w:hAnsi="宋体" w:cs="宋体" w:eastAsia="宋体" w:hint="default"/>
                <w:sz w:val="18"/>
                <w:szCs w:val="18"/>
              </w:rPr>
            </w:pPr>
            <w:r>
              <w:rPr>
                <w:rFonts w:ascii="宋体" w:hAnsi="宋体" w:cs="宋体" w:eastAsia="宋体" w:hint="default"/>
                <w:sz w:val="18"/>
                <w:szCs w:val="18"/>
              </w:rPr>
              <w:t>部品 部件 工厂</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239,81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761,23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,407.1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bl>
    <w:p>
      <w:pPr>
        <w:spacing w:after="0" w:line="319"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7"/>
              <w:jc w:val="both"/>
              <w:rPr>
                <w:rFonts w:ascii="宋体" w:hAnsi="宋体" w:cs="宋体" w:eastAsia="宋体" w:hint="default"/>
                <w:sz w:val="18"/>
                <w:szCs w:val="18"/>
              </w:rPr>
            </w:pPr>
            <w:r>
              <w:rPr>
                <w:rFonts w:ascii="宋体" w:hAnsi="宋体" w:cs="宋体" w:eastAsia="宋体" w:hint="default"/>
                <w:sz w:val="18"/>
                <w:szCs w:val="18"/>
              </w:rPr>
              <w:t>化生 产项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239,81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761,23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12,092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,173.1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12,853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,407.1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1、无形资产" w:id="230"/>
      <w:bookmarkEnd w:id="230"/>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无形资产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52,962,600.00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4,877,067.40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81,839,667.40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201,978,001.80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618,588.79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202,596,590.59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201,978,001.80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618,588.79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202,596,590.59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3" w:right="1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254,940,601.80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5,495,656.19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284,436,257.99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4,943,176.00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2,660,966.55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8,004,142.55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7,230,802.11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668,909.65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10,299,711.76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7,230,802.11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668,909.65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10,299,711.76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12,173,978.11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3,329,876.20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18,303,854.31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242,766,623.69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2,165,779.99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266,132,403.68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48,019,424.00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2,216,100.85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73,835,524.85</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12、商誉" w:id="232"/>
      <w:bookmarkEnd w:id="232"/>
      <w:r>
        <w:rPr>
          <w:b w:val="0"/>
          <w:bCs w:val="0"/>
        </w:rPr>
      </w:r>
      <w:r>
        <w:rPr>
          <w:rFonts w:ascii="Times New Roman" w:hAnsi="Times New Roman" w:cs="Times New Roman" w:eastAsia="Times New Roman" w:hint="default"/>
        </w:rPr>
        <w:t>12</w:t>
      </w:r>
      <w:r>
        <w:rPr/>
        <w:t>、商誉</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商誉账面原值"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97"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9"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87" w:right="138" w:hanging="450"/>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532"/>
              <w:jc w:val="right"/>
              <w:rPr>
                <w:rFonts w:ascii="宋体" w:hAnsi="宋体" w:cs="宋体" w:eastAsia="宋体" w:hint="default"/>
                <w:sz w:val="18"/>
                <w:szCs w:val="18"/>
              </w:rPr>
            </w:pPr>
            <w:r>
              <w:rPr>
                <w:rFonts w:ascii="宋体" w:hAnsi="宋体" w:cs="宋体" w:eastAsia="宋体" w:hint="default"/>
                <w:sz w:val="18"/>
                <w:szCs w:val="18"/>
              </w:rPr>
              <w:t>中装园林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144,882.75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144,882.75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144,882.75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144,882.75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3、长期待摊费用" w:id="234"/>
      <w:bookmarkEnd w:id="234"/>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租赁房产办公室 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1,718,110.10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1,654,232.98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2,064,474.77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1,307,868.31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1,718,110.10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1,654,232.98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2,064,474.77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1,307,868.31</w:t>
            </w:r>
          </w:p>
        </w:tc>
      </w:tr>
    </w:tbl>
    <w:p>
      <w:pPr>
        <w:pStyle w:val="BodyText"/>
        <w:spacing w:line="240" w:lineRule="auto" w:before="51"/>
        <w:ind w:right="1032"/>
        <w:jc w:val="left"/>
      </w:pPr>
      <w:r>
        <w:rPr/>
        <w:t>其他说明</w:t>
      </w:r>
    </w:p>
    <w:p>
      <w:pPr>
        <w:spacing w:after="0" w:line="240" w:lineRule="auto"/>
        <w:jc w:val="left"/>
        <w:sectPr>
          <w:pgSz w:w="11910" w:h="16840"/>
          <w:pgMar w:header="917" w:footer="1019" w:top="1100" w:bottom="1200" w:left="98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14、递延所得税资产/递延所得税负债" w:id="235"/>
      <w:bookmarkEnd w:id="235"/>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未经抵销的递延所得税资产"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1,951,137.93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487,784.48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2,719,858.26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407,978.74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3,216,471.60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804,117.90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5,167,609.53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1,291,902.38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2,719,858.26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407,978.74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以抵销后净额列示的递延所得税资产或负债" w:id="237"/>
      <w:bookmarkEnd w:id="237"/>
      <w:r>
        <w:rPr>
          <w:b w:val="0"/>
          <w:bCs w:val="0"/>
        </w:rPr>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1,291,902.38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1" w:right="0"/>
              <w:jc w:val="left"/>
              <w:rPr>
                <w:rFonts w:ascii="Times New Roman" w:hAnsi="Times New Roman" w:cs="Times New Roman" w:eastAsia="Times New Roman" w:hint="default"/>
                <w:sz w:val="18"/>
                <w:szCs w:val="18"/>
              </w:rPr>
            </w:pPr>
            <w:r>
              <w:rPr>
                <w:rFonts w:ascii="Times New Roman"/>
                <w:sz w:val="18"/>
              </w:rPr>
              <w:t>407,978.74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5、其他非流动资产" w:id="238"/>
      <w:bookmarkEnd w:id="238"/>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长期资产的预付款项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26,336,243.19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2,693,517.18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26,336,243.19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2,693,517.18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6、短期借款" w:id="239"/>
      <w:bookmarkEnd w:id="239"/>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短期借款分类"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0" w:right="0"/>
              <w:jc w:val="left"/>
              <w:rPr>
                <w:rFonts w:ascii="Times New Roman" w:hAnsi="Times New Roman" w:cs="Times New Roman" w:eastAsia="Times New Roman" w:hint="default"/>
                <w:sz w:val="18"/>
                <w:szCs w:val="18"/>
              </w:rPr>
            </w:pPr>
            <w:r>
              <w:rPr>
                <w:rFonts w:ascii="Times New Roman"/>
                <w:sz w:val="18"/>
              </w:rPr>
              <w:t>1,310,000,000.00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970,000,000.00</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0" w:right="0"/>
              <w:jc w:val="left"/>
              <w:rPr>
                <w:rFonts w:ascii="Times New Roman" w:hAnsi="Times New Roman" w:cs="Times New Roman" w:eastAsia="Times New Roman" w:hint="default"/>
                <w:sz w:val="18"/>
                <w:szCs w:val="18"/>
              </w:rPr>
            </w:pPr>
            <w:r>
              <w:rPr>
                <w:rFonts w:ascii="Times New Roman"/>
                <w:sz w:val="18"/>
              </w:rPr>
              <w:t>1,310,000,000.00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970,000,000.00</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17、应付票据及应付账款" w:id="241"/>
      <w:bookmarkEnd w:id="241"/>
      <w:r>
        <w:rPr>
          <w:b w:val="0"/>
          <w:bCs w:val="0"/>
        </w:rPr>
      </w:r>
      <w:r>
        <w:rPr>
          <w:rFonts w:ascii="Times New Roman" w:hAnsi="Times New Roman" w:cs="Times New Roman" w:eastAsia="Times New Roman" w:hint="default"/>
        </w:rPr>
        <w:t>17</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165,375,360.83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13,057,835.40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588,135,857.55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737,416,278.55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753,511,218.38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750,474,113.95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付票据分类列示" w:id="242"/>
      <w:bookmarkEnd w:id="24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165,375,360.83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13,057,835.40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165,375,360.83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13,057,835.40</w:t>
            </w:r>
          </w:p>
        </w:tc>
      </w:tr>
    </w:tbl>
    <w:p>
      <w:pPr>
        <w:pStyle w:val="BodyText"/>
        <w:spacing w:line="240" w:lineRule="auto" w:before="51"/>
        <w:ind w:right="103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应付账款列示" w:id="243"/>
      <w:bookmarkEnd w:id="24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525,564,035.70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684,751,251.93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60,240,641.31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49,926,234.16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2,331,180.54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2,738,792.46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588,135,857.55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737,416,278.55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8、预收款项" w:id="244"/>
      <w:bookmarkEnd w:id="244"/>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预收款项列示"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13,822,145.05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31,844,371.11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67,865,574.50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22,840,486.23</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6" w:right="0"/>
              <w:jc w:val="left"/>
              <w:rPr>
                <w:rFonts w:ascii="Times New Roman" w:hAnsi="Times New Roman" w:cs="Times New Roman" w:eastAsia="Times New Roman" w:hint="default"/>
                <w:sz w:val="18"/>
                <w:szCs w:val="18"/>
              </w:rPr>
            </w:pPr>
            <w:r>
              <w:rPr>
                <w:rFonts w:ascii="Times New Roman"/>
                <w:sz w:val="18"/>
              </w:rPr>
              <w:t>81,687,719.55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54,684,857.34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9、应付职工薪酬" w:id="246"/>
      <w:bookmarkEnd w:id="246"/>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9"/>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应付职工薪酬列示"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11,902,565.39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96,616,498.28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94,274,744.57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14,244,319.10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6,085,729.04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6,085,729.04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四、一年内到期的其 他福利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11,902,565.39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102,702,227.32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100,360,473.61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14,244,319.10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短期薪酬列示" w:id="248"/>
      <w:bookmarkEnd w:id="24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11,902,565.39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87,771,980.00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85,430,416.29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14,244,129.10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3,314,073.78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3,314,073.78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3,133,679.97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3,133,679.97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2,744,941.07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2,744,941.07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179,562.46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179,562.46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209,176.44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209,176.44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2,077,487.05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2,077,297.05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319,277.48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319,277.48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11,902,565.39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96,616,498.28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94,274,744.57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14,244,319.10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设定提存计划列示" w:id="249"/>
      <w:bookmarkEnd w:id="24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5,884,411.87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5,884,411.87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201,317.17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201,317.17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6,085,729.04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6,085,729.04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0、应交税费" w:id="250"/>
      <w:bookmarkEnd w:id="250"/>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193,406,917.31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150,473,518.35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50,215,429.89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13,515,669.66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1,053,969.39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298,551.88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16,432,898.93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12,871,811.42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11,119,395.46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8,666,242.44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296,370.11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322,340.00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272,550,950.98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186,122,163.86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1、其他应付款" w:id="251"/>
      <w:bookmarkEnd w:id="251"/>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22,323,313.92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17,519,460.70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22,323,313.92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17,519,460.70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其他应付款" w:id="252"/>
      <w:bookmarkEnd w:id="252"/>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1)</w:t>
      </w:r>
      <w:r>
        <w:rPr/>
        <w:t>按款项性质列示其他应付款</w:t>
      </w:r>
    </w:p>
    <w:p>
      <w:pPr>
        <w:spacing w:after="0" w:line="240" w:lineRule="auto"/>
        <w:jc w:val="left"/>
        <w:sectPr>
          <w:pgSz w:w="11910" w:h="16840"/>
          <w:pgMar w:header="917" w:footer="1019" w:top="1100" w:bottom="1200" w:left="98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应付专利款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751,845.23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690,173.90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应付未终止确认商业承兑汇票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12,079,376.60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预提费用及其他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2,492,092.09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1,950,286.80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22,323,313.92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17,519,460.70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2、一年内到期的非流动负债" w:id="253"/>
      <w:bookmarkEnd w:id="253"/>
      <w:r>
        <w:rPr>
          <w:b w:val="0"/>
          <w:bCs w:val="0"/>
        </w:rPr>
      </w:r>
      <w:r>
        <w:rPr>
          <w:rFonts w:ascii="Times New Roman" w:hAnsi="Times New Roman" w:cs="Times New Roman" w:eastAsia="Times New Roman" w:hint="default"/>
        </w:rPr>
        <w:t>22</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3、长期借款" w:id="254"/>
      <w:bookmarkEnd w:id="254"/>
      <w:r>
        <w:rPr>
          <w:b w:val="0"/>
          <w:bCs w:val="0"/>
        </w:rPr>
      </w:r>
      <w:r>
        <w:rPr>
          <w:rFonts w:ascii="Times New Roman" w:hAnsi="Times New Roman" w:cs="Times New Roman" w:eastAsia="Times New Roman" w:hint="default"/>
        </w:rPr>
        <w:t>23</w:t>
      </w:r>
      <w:r>
        <w:rPr/>
        <w:t>、长期借款</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长期借款分类"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240" w:lineRule="auto" w:before="51"/>
        <w:ind w:right="1032"/>
        <w:jc w:val="left"/>
      </w:pPr>
      <w:r>
        <w:rPr/>
        <w:t>长期借款分类的说明：</w:t>
      </w:r>
    </w:p>
    <w:p>
      <w:pPr>
        <w:spacing w:before="123"/>
        <w:ind w:left="574" w:right="1032" w:firstLine="0"/>
        <w:jc w:val="left"/>
        <w:rPr>
          <w:rFonts w:ascii="宋体" w:hAnsi="宋体" w:cs="宋体" w:eastAsia="宋体" w:hint="default"/>
          <w:sz w:val="21"/>
          <w:szCs w:val="21"/>
        </w:rPr>
      </w:pPr>
      <w:r>
        <w:rPr>
          <w:rFonts w:ascii="宋体" w:hAnsi="宋体" w:cs="宋体" w:eastAsia="宋体" w:hint="default"/>
          <w:sz w:val="21"/>
          <w:szCs w:val="21"/>
        </w:rPr>
        <w:t>保证借款担保情况详见本财务报表附注十一、</w:t>
      </w:r>
      <w:r>
        <w:rPr>
          <w:rFonts w:ascii="宋体" w:hAnsi="宋体" w:cs="宋体" w:eastAsia="宋体" w:hint="default"/>
          <w:sz w:val="21"/>
          <w:szCs w:val="21"/>
        </w:rPr>
        <w:t>5</w:t>
      </w:r>
      <w:r>
        <w:rPr>
          <w:rFonts w:ascii="宋体" w:hAnsi="宋体" w:cs="宋体" w:eastAsia="宋体" w:hint="default"/>
          <w:sz w:val="21"/>
          <w:szCs w:val="21"/>
        </w:rPr>
        <w:t>关联担保情况。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0"/>
        <w:ind w:left="154" w:right="1032" w:firstLine="0"/>
        <w:jc w:val="left"/>
        <w:rPr>
          <w:rFonts w:ascii="宋体" w:hAnsi="宋体" w:cs="宋体" w:eastAsia="宋体" w:hint="default"/>
          <w:sz w:val="21"/>
          <w:szCs w:val="21"/>
        </w:rPr>
      </w:pPr>
      <w:bookmarkStart w:name="24、预计负债" w:id="256"/>
      <w:bookmarkEnd w:id="256"/>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3,216,471.60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未决诉讼</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3,216,471.60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5、递延收益" w:id="257"/>
      <w:bookmarkEnd w:id="257"/>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4,335,305.00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301,015.75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4,331,389.25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4,335,305.00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301,015.75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4,331,389.25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深圳市罗 湖区产业 转型升级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4,335,305.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281,209.08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4,054,095.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产业转型 升级专项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297,100.00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19,806.67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277,293.33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6、股本" w:id="258"/>
      <w:bookmarkEnd w:id="258"/>
      <w:r>
        <w:rPr>
          <w:b w:val="0"/>
          <w:bCs w:val="0"/>
        </w:rPr>
      </w:r>
      <w:r>
        <w:rPr>
          <w:rFonts w:ascii="Times New Roman" w:hAnsi="Times New Roman" w:cs="Times New Roman" w:eastAsia="Times New Roman" w:hint="default"/>
        </w:rPr>
        <w:t>26</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7、资本公积" w:id="259"/>
      <w:bookmarkEnd w:id="259"/>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660,660,373.06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660,660,373.06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660,660,373.06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660,660,373.06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8、其他综合收益" w:id="260"/>
      <w:bookmarkEnd w:id="260"/>
      <w:r>
        <w:rPr>
          <w:b w:val="0"/>
          <w:bCs w:val="0"/>
        </w:rPr>
      </w:r>
      <w:r>
        <w:rPr>
          <w:rFonts w:ascii="Times New Roman" w:hAnsi="Times New Roman" w:cs="Times New Roman" w:eastAsia="Times New Roman" w:hint="default"/>
        </w:rPr>
        <w:t>28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92"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一、不能重分类进损益的其他综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其中：重新计量设定受益计划变 动额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firstLine="540"/>
              <w:jc w:val="left"/>
              <w:rPr>
                <w:rFonts w:ascii="宋体" w:hAnsi="宋体" w:cs="宋体" w:eastAsia="宋体" w:hint="default"/>
                <w:sz w:val="18"/>
                <w:szCs w:val="18"/>
              </w:rPr>
            </w:pPr>
            <w:r>
              <w:rPr>
                <w:rFonts w:ascii="宋体" w:hAnsi="宋体" w:cs="宋体" w:eastAsia="宋体" w:hint="default"/>
                <w:sz w:val="18"/>
                <w:szCs w:val="18"/>
              </w:rPr>
              <w:t>权益法下不能转进损益的 其他综合收益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二、将重分类进损益的其他综合 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1,178.01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59,498.60</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-30,344.2</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-29,154.3</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.27</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其中：权益法下可转损益的其他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 值变动损益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 可供出售金融资产损益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1,178.01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59,498.60</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-30,344.2</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-29,154.3</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1,178.01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59,498.60</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-30,344.2</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-29,154.3</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-29,166</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.27</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9、专项储备" w:id="261"/>
      <w:bookmarkEnd w:id="261"/>
      <w:r>
        <w:rPr>
          <w:b w:val="0"/>
          <w:bCs w:val="0"/>
        </w:rPr>
      </w:r>
      <w:r>
        <w:rPr>
          <w:rFonts w:ascii="Times New Roman" w:hAnsi="Times New Roman" w:cs="Times New Roman" w:eastAsia="Times New Roman" w:hint="default"/>
        </w:rPr>
        <w:t>29</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81,719,199.36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81,719,199.36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81,719,199.36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81,719,199.36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0、盈余公积" w:id="262"/>
      <w:bookmarkEnd w:id="262"/>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82,964,825.54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16,151,669.26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99,116,494.80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82,964,825.54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16,151,669.26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99,116,494.80</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1、未分配利润" w:id="263"/>
      <w:bookmarkEnd w:id="263"/>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691,765,585.13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606,875,083.65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691,765,585.13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606,875,083.65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167,090,740.33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160,749,979.46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16,151,669.26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15,859,477.98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812,704,656.20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691,765,585.13</w:t>
            </w:r>
          </w:p>
        </w:tc>
      </w:tr>
    </w:tbl>
    <w:p>
      <w:pPr>
        <w:pStyle w:val="BodyText"/>
        <w:spacing w:line="240" w:lineRule="auto" w:before="51"/>
        <w:ind w:right="1032"/>
        <w:jc w:val="left"/>
      </w:pPr>
      <w:r>
        <w:rPr/>
        <w:t>调整期初未分配利润明细：</w:t>
      </w:r>
    </w:p>
    <w:p>
      <w:pPr>
        <w:pStyle w:val="BodyText"/>
        <w:spacing w:line="240" w:lineRule="auto" w:before="117"/>
        <w:ind w:right="1032"/>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3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17" w:footer="1019" w:top="1100" w:bottom="1200" w:left="980" w:right="0"/>
        </w:sectPr>
      </w:pPr>
    </w:p>
    <w:p>
      <w:pPr>
        <w:spacing w:line="240" w:lineRule="auto" w:before="13"/>
        <w:rPr>
          <w:rFonts w:ascii="宋体" w:hAnsi="宋体" w:cs="宋体" w:eastAsia="宋体" w:hint="default"/>
          <w:sz w:val="22"/>
          <w:szCs w:val="22"/>
        </w:rPr>
      </w:pPr>
    </w:p>
    <w:p>
      <w:pPr>
        <w:pStyle w:val="BodyText"/>
        <w:spacing w:line="240" w:lineRule="auto" w:before="44"/>
        <w:ind w:right="103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3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3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2、营业收入和营业成本" w:id="264"/>
      <w:bookmarkEnd w:id="264"/>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4,145,695,271.65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3,541,342,194.42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3,172,996,288.26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2,708,228,113.56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4,145,695,271.65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3,541,342,194.42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3,172,996,288.26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2,708,228,113.56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3、税金及附加" w:id="265"/>
      <w:bookmarkEnd w:id="265"/>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8,696,436.63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9,288,294.67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6,211,664.71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6,667,668.24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1,612,820.06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1,219,014.57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340,601.14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402,925.00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2,353,213.54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1,439,908.16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7,616,482.03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12,119,262.85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26,831,218.11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31,137,073.49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4、销售费用" w:id="266"/>
      <w:bookmarkEnd w:id="266"/>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21,170,280.46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17,245,054.00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汽车、差旅费及业务费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12,491,017.93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11,165,203.66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1,242,383.17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1,338,895.91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通讯及其他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4,396,846.62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2,761,670.07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39,300,528.18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32,510,823.64</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35、管理费用" w:id="267"/>
      <w:bookmarkEnd w:id="267"/>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29,669,807.86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26,577,183.71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业务招待及差旅费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9,420,207.59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10,129,985.36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汽车、维修、劳保费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6,338,090.02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5,904,581.50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办公、通讯及邮费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5,119,693.87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5,682,089.15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折旧及无形资产、长期待摊费用摊销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24,651,870.63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16,982,746.17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会议、协会评审及培训费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1,523,268.08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2,272,442.04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律师、咨询及中介费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6,038,947.93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5,341,592.73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12,110,982.09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9,697,092.94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4,150,310.22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4,266,545.77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99,023,178.29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86,854,259.37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6、研发费用" w:id="268"/>
      <w:bookmarkEnd w:id="268"/>
      <w:r>
        <w:rPr>
          <w:b w:val="0"/>
          <w:bCs w:val="0"/>
        </w:rPr>
      </w:r>
      <w:r>
        <w:rPr>
          <w:rFonts w:ascii="Times New Roman" w:hAnsi="Times New Roman" w:cs="Times New Roman" w:eastAsia="Times New Roman" w:hint="default"/>
        </w:rPr>
        <w:t>36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10,435,184.84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8,495,881.69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763,655.52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613,682.45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136,742.40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135,303.02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616,819.91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557,604.86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11,952,402.67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9,802,472.02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7、财务费用" w:id="269"/>
      <w:bookmarkEnd w:id="269"/>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73,872,983.88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51,382,264.67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6,806,579.69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10,019,988.43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2,989,065.33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1,473,186.27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1,996,685.02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333,219.75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-14,538.34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72,037,616.20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43,168,798.91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38、资产减值损失" w:id="270"/>
      <w:bookmarkEnd w:id="270"/>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116,748,152.73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62,651,056.34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1,951,137.93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118,699,290.66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62,651,056.34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9、其他收益" w:id="271"/>
      <w:bookmarkEnd w:id="271"/>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、与资产相关政府补助摊销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301,015.75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281,209.08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、与收益相关补偿已发生的成本费用 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2,210,888.97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2,792,284.00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2,511,904.72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3,073,493.08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0、投资收益" w:id="272"/>
      <w:bookmarkEnd w:id="272"/>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7,585,359.56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2,487,883.69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5,863,534.34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1,812,863.71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13,448,874.01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3,985,289.82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1、资产处置收益" w:id="273"/>
      <w:bookmarkEnd w:id="273"/>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-4,228.63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-14,801.61</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2、营业外收入" w:id="274"/>
      <w:bookmarkEnd w:id="274"/>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174,092.52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526,008.88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174,092.52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526,008.88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3、营业外支出" w:id="275"/>
      <w:bookmarkEnd w:id="275"/>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3,789,693.00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3,789,693.00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未决诉讼预计损失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3,216,471.60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3,216,471.60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罚款支出、违约金、滞纳金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67,180.01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22,424.85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67,180.01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8,084.37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8,084.37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68,349.27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68,349.27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7,149,778.25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3,934,931.06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7,149,778.25</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44、所得税费用" w:id="276"/>
      <w:bookmarkEnd w:id="276"/>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所得税费用表"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81,295,357.07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42,060,894.62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-883,923.64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80,411,433.43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42,060,894.62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会计利润与所得税费用调整过程" w:id="278"/>
      <w:bookmarkEnd w:id="27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245,489,707.49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61,372,426.86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-1,033,616.34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-3,535,850.86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-1,896,339.89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1,200,275.64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-244,176.48</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24,140,735.76</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以前年度已确认递延所得税的可抵扣暂时性差异和可抵扣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407,978.74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80,411,433.43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5、其他综合收益" w:id="279"/>
      <w:bookmarkEnd w:id="279"/>
      <w:r>
        <w:rPr>
          <w:b w:val="0"/>
          <w:bCs w:val="0"/>
        </w:rPr>
      </w:r>
      <w:r>
        <w:rPr>
          <w:rFonts w:ascii="Times New Roman" w:hAnsi="Times New Roman" w:cs="Times New Roman" w:eastAsia="Times New Roman" w:hint="default"/>
        </w:rPr>
        <w:t>45</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详见附注</w:t>
      </w:r>
      <w:r>
        <w:rPr>
          <w:spacing w:val="-46"/>
        </w:rPr>
        <w:t> </w:t>
      </w:r>
      <w:r>
        <w:rPr>
          <w:rFonts w:ascii="Times New Roman" w:hAnsi="Times New Roman" w:cs="Times New Roman" w:eastAsia="Times New Roman" w:hint="default"/>
        </w:rPr>
        <w:t>28</w:t>
      </w:r>
      <w:r>
        <w:rPr/>
        <w:t>。</w:t>
      </w:r>
    </w:p>
    <w:p>
      <w:pPr>
        <w:spacing w:after="0" w:line="240" w:lineRule="auto"/>
        <w:jc w:val="left"/>
        <w:sectPr>
          <w:pgSz w:w="11910" w:h="16840"/>
          <w:pgMar w:header="917" w:footer="1019" w:top="1100" w:bottom="1200" w:left="98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46、现金流量表项目" w:id="280"/>
      <w:bookmarkEnd w:id="280"/>
      <w:r>
        <w:rPr>
          <w:b w:val="0"/>
          <w:bCs w:val="0"/>
        </w:rPr>
      </w:r>
      <w:r>
        <w:rPr>
          <w:rFonts w:ascii="Times New Roman" w:hAnsi="Times New Roman" w:cs="Times New Roman" w:eastAsia="Times New Roman" w:hint="default"/>
        </w:rPr>
        <w:t>46</w:t>
      </w:r>
      <w:r>
        <w:rPr/>
        <w:t>、现金流量表项目</w:t>
      </w:r>
      <w:r>
        <w:rPr>
          <w:b w:val="0"/>
          <w:bCs w:val="0"/>
        </w:rPr>
      </w:r>
    </w:p>
    <w:p>
      <w:pPr>
        <w:spacing w:line="240" w:lineRule="auto" w:before="10"/>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收到的其他与经营活动有关的现金"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6,806,579.69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10,019,988.43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收现的其他收益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2,507,988.97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2,792,284.00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收现的营业外收入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174,092.52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526,008.88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78,876.65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9,488,661.18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13,417,157.96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支付的其他与经营活动有关的现金" w:id="282"/>
      <w:bookmarkEnd w:id="28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保证金、备用金及其他往来款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9,441,299.72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21,935,160.93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44,651,499.80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43,294,329.49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753,562.31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692,907.88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18,130,247.72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15,265,769.64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2,149,065.33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1,473,186.27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付现营业外支出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3,933,306.65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3,934,931.06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53,708,999.75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132,767,981.28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86,596,285.27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收到的其他与投资活动有关的现金" w:id="283"/>
      <w:bookmarkEnd w:id="28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收回理财产品及收益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885,863,534.34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481,812,863.71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885,863,534.34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481,812,863.71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支付的其他与投资活动有关的现金" w:id="284"/>
      <w:bookmarkEnd w:id="28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880,000,000.00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880,000,000.00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486,000,000.00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收到的其他与筹资活动有关的现金" w:id="285"/>
      <w:bookmarkEnd w:id="28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支付的其他与筹资活动有关的现金" w:id="286"/>
      <w:bookmarkEnd w:id="28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上市中介费、手续费、宣传费等</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4,855,000.00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可转债中介费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2,216,981.11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7,071,981.11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7、现金流量表补充资料" w:id="287"/>
      <w:bookmarkEnd w:id="287"/>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9"/>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现金流量表补充资料"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165,078,274.06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160,217,855.42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118,699,290.66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62,651,056.34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13,044,839.62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13,627,134.68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10,299,711.76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2,277,507.25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2,064,474.77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1,691,786.69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4,228.63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14,801.61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8,084.37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74,700,219.16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51,382,264.67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-13,448,874.01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-3,985,289.82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-883,923.64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-69,928,000.46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-47,397,872.48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-671,971,778.11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-670,801,310.84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126,826,916.54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252,023,494.06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-245,506,536.65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-178,298,572.42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1,006,921,932.12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1,254,371,054.51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1,254,371,054.51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1,266,202,177.80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-247,449,122.39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-11,831,123.29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现金和现金等价物的构成" w:id="289"/>
      <w:bookmarkEnd w:id="28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1,006,921,932.12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1,254,371,054.51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205,439.65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230,849.64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1,006,716,492.47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1,254,140,204.87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3" w:right="0"/>
              <w:jc w:val="left"/>
              <w:rPr>
                <w:rFonts w:ascii="Times New Roman" w:hAnsi="Times New Roman" w:cs="Times New Roman" w:eastAsia="Times New Roman" w:hint="default"/>
                <w:sz w:val="18"/>
                <w:szCs w:val="18"/>
              </w:rPr>
            </w:pPr>
            <w:r>
              <w:rPr>
                <w:rFonts w:ascii="Times New Roman"/>
                <w:sz w:val="18"/>
              </w:rPr>
              <w:t>1,006,921,932.12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1,254,371,054.51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 制的现金和现金等价物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8、所有权或使用权受到限制的资产" w:id="290"/>
      <w:bookmarkEnd w:id="290"/>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79,523,769.70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保证金及因诉讼而被冻结的银行存款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12,079,376.60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已背书未终止确认的商业承兑汇票</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91,603,146.30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9、外币货币性项目" w:id="291"/>
      <w:bookmarkEnd w:id="291"/>
      <w:r>
        <w:rPr>
          <w:b w:val="0"/>
          <w:bCs w:val="0"/>
        </w:rPr>
      </w:r>
      <w:r>
        <w:rPr>
          <w:rFonts w:ascii="Times New Roman" w:hAnsi="Times New Roman" w:cs="Times New Roman" w:eastAsia="Times New Roman" w:hint="default"/>
        </w:rPr>
        <w:t>49</w:t>
      </w:r>
      <w:r>
        <w:rPr/>
        <w:t>、外币货币性项目</w:t>
      </w:r>
      <w:r>
        <w:rPr>
          <w:b w:val="0"/>
          <w:bCs w:val="0"/>
        </w:rPr>
      </w:r>
    </w:p>
    <w:p>
      <w:pPr>
        <w:spacing w:line="240" w:lineRule="auto" w:before="9"/>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外币货币性项目"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28,334.48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194,465.20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36,699.28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32,155.91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18,027.24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15,323.15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884,523.79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751,845.22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0"/>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1"/>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1032"/>
        <w:jc w:val="left"/>
        <w:rPr>
          <w:b w:val="0"/>
          <w:bCs w:val="0"/>
        </w:rPr>
      </w:pPr>
      <w:bookmarkStart w:name="（2）境外经营实体说明，包括对于重要的境外经营实体，应披露其境外主要经营地、记账" w:id="293"/>
      <w:bookmarkEnd w:id="29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合并范围的变更" w:id="294"/>
      <w:bookmarkEnd w:id="29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其他原因的合并范围变动" w:id="295"/>
      <w:bookmarkEnd w:id="295"/>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3912" w:hanging="360"/>
        <w:jc w:val="left"/>
      </w:pPr>
      <w:r>
        <w:rPr/>
        <w:t>说明其他原因导致的合并范围变动（如，新设子公司、清算子公司等）及其相关情况： </w:t>
      </w:r>
      <w:r>
        <w:rPr>
          <w:rFonts w:ascii="宋体" w:hAnsi="宋体" w:cs="宋体" w:eastAsia="宋体" w:hint="default"/>
        </w:rPr>
        <w:t>1</w:t>
      </w:r>
      <w:r>
        <w:rPr/>
        <w:t>、本期增加孙公司的情况说明</w:t>
      </w:r>
    </w:p>
    <w:p>
      <w:pPr>
        <w:pStyle w:val="BodyText"/>
        <w:spacing w:line="316" w:lineRule="auto" w:before="108"/>
        <w:ind w:right="1122" w:firstLine="360"/>
        <w:jc w:val="left"/>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日，本公司通过子公司深圳市中装新能源科技有限公司投资设立控股孙公司深圳市中装希奥特能源科技有 </w:t>
      </w:r>
      <w:r>
        <w:rPr>
          <w:spacing w:val="-2"/>
        </w:rPr>
        <w:t>限公司（以下简称中装希奥特），注册资本</w:t>
      </w:r>
      <w:r>
        <w:rPr>
          <w:rFonts w:ascii="宋体" w:hAnsi="宋体" w:cs="宋体" w:eastAsia="宋体" w:hint="default"/>
          <w:spacing w:val="-2"/>
        </w:rPr>
        <w:t>1,000.00</w:t>
      </w:r>
      <w:r>
        <w:rPr>
          <w:spacing w:val="-2"/>
        </w:rPr>
        <w:t>万元。因此中装希奥特自</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日开始纳入合并范围。</w:t>
      </w:r>
    </w:p>
    <w:p>
      <w:pPr>
        <w:pStyle w:val="BodyText"/>
        <w:spacing w:line="432" w:lineRule="exact" w:before="3"/>
        <w:ind w:left="514" w:right="1032"/>
        <w:jc w:val="left"/>
      </w:pPr>
      <w:r>
        <w:rPr>
          <w:rFonts w:ascii="宋体" w:hAnsi="宋体" w:cs="宋体" w:eastAsia="宋体" w:hint="default"/>
        </w:rPr>
        <w:t>2</w:t>
      </w:r>
      <w:r>
        <w:rPr/>
        <w:t>、本期减少子公司的情况说明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日经第三届董事会第二次会议审议通过《关于注销全资子公司吉林省中装装饰工程有限公司的议案》</w:t>
      </w:r>
    </w:p>
    <w:p>
      <w:pPr>
        <w:pStyle w:val="BodyText"/>
        <w:spacing w:line="316" w:lineRule="auto" w:before="15"/>
        <w:ind w:right="1131"/>
        <w:jc w:val="both"/>
      </w:pPr>
      <w:r>
        <w:rPr>
          <w:spacing w:val="-2"/>
        </w:rPr>
        <w:t>和《关于注销控股子公司中装利丰建筑工程有限公司的议案》，同意注销吉林中装和中装利丰，并授权吉林中装和中装利丰</w:t>
      </w:r>
      <w:r>
        <w:rPr>
          <w:spacing w:val="-65"/>
        </w:rPr>
        <w:t> </w:t>
      </w:r>
      <w:r>
        <w:rPr>
          <w:spacing w:val="-65"/>
        </w:rPr>
      </w:r>
      <w:r>
        <w:rPr>
          <w:spacing w:val="-2"/>
        </w:rPr>
        <w:t>经营管理层负责办理清算、注销事宜，截至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日，吉林省中装装饰工程有限公司已经完成了清算并办理完成了工</w:t>
      </w:r>
      <w:r>
        <w:rPr>
          <w:spacing w:val="-58"/>
        </w:rPr>
        <w:t> </w:t>
      </w:r>
      <w:r>
        <w:rPr>
          <w:spacing w:val="-58"/>
        </w:rPr>
      </w:r>
      <w:r>
        <w:rPr/>
        <w:t>商、税务注销，仅银行注销手续在办理过程中。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0"/>
        <w:jc w:val="both"/>
        <w:rPr>
          <w:b w:val="0"/>
          <w:bCs w:val="0"/>
        </w:rPr>
      </w:pPr>
      <w:bookmarkStart w:name="九、在其他主体中的权益" w:id="296"/>
      <w:bookmarkEnd w:id="29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在子公司中的权益" w:id="297"/>
      <w:bookmarkEnd w:id="29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企业集团的构成"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建筑装饰材料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南京卓佰年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对外投资、咨 询顾问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新能源开发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中装希奥特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新能源开发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通过中装新能 源投资设立</w:t>
            </w:r>
          </w:p>
        </w:tc>
      </w:tr>
    </w:tbl>
    <w:p>
      <w:pPr>
        <w:spacing w:line="240" w:lineRule="auto" w:before="2"/>
        <w:rPr>
          <w:rFonts w:ascii="宋体" w:hAnsi="宋体" w:cs="宋体" w:eastAsia="宋体" w:hint="default"/>
          <w:b/>
          <w:bCs/>
          <w:sz w:val="19"/>
          <w:szCs w:val="19"/>
        </w:rPr>
      </w:pPr>
    </w:p>
    <w:p>
      <w:pPr>
        <w:spacing w:before="35"/>
        <w:ind w:left="154" w:right="1032" w:firstLine="0"/>
        <w:jc w:val="left"/>
        <w:rPr>
          <w:rFonts w:ascii="宋体" w:hAnsi="宋体" w:cs="宋体" w:eastAsia="宋体" w:hint="default"/>
          <w:sz w:val="21"/>
          <w:szCs w:val="21"/>
        </w:rPr>
      </w:pPr>
      <w:bookmarkStart w:name="2、在合营安排或联营企业中的权益" w:id="299"/>
      <w:bookmarkEnd w:id="29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重要的合营企业或联营企业"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赛格物业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南亿科技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智能家居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032"/>
        <w:jc w:val="left"/>
      </w:pPr>
      <w:r>
        <w:rPr/>
        <w:t>在合营企业或联营企业的持股比例不同于表决权比例的说明：</w:t>
      </w:r>
    </w:p>
    <w:p>
      <w:pPr>
        <w:pStyle w:val="BodyText"/>
        <w:spacing w:line="338" w:lineRule="auto" w:before="117"/>
        <w:ind w:left="514" w:right="1032" w:hanging="360"/>
        <w:jc w:val="left"/>
      </w:pPr>
      <w:r>
        <w:rPr/>
        <w:t>持有</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w:t>
      </w:r>
      <w:r>
        <w:rPr>
          <w:rFonts w:ascii="宋体" w:hAnsi="宋体" w:cs="宋体" w:eastAsia="宋体" w:hint="default"/>
          <w:spacing w:val="-2"/>
        </w:rPr>
        <w:t>2018</w:t>
      </w:r>
      <w:r>
        <w:rPr>
          <w:spacing w:val="-2"/>
        </w:rPr>
        <w:t>年，公司对南亿科技进行增资，根据《深圳南亿科技股份有限公司定向发行增资认购协议书》及其补充协议，公司</w:t>
      </w:r>
    </w:p>
    <w:p>
      <w:pPr>
        <w:pStyle w:val="BodyText"/>
        <w:spacing w:line="316" w:lineRule="auto" w:before="3"/>
        <w:ind w:right="1122"/>
        <w:jc w:val="left"/>
      </w:pPr>
      <w:r>
        <w:rPr/>
        <w:t>有权向南亿科技派驻</w:t>
      </w:r>
      <w:r>
        <w:rPr>
          <w:rFonts w:ascii="宋体" w:hAnsi="宋体" w:cs="宋体" w:eastAsia="宋体" w:hint="default"/>
        </w:rPr>
        <w:t>1</w:t>
      </w:r>
      <w:r>
        <w:rPr/>
        <w:t>名董事，因此公司对南亿科技的财务和经营政策有参与决策的权力，但并不能够控制或者与其他方一</w:t>
      </w:r>
      <w:r>
        <w:rPr>
          <w:spacing w:val="-83"/>
        </w:rPr>
        <w:t> </w:t>
      </w:r>
      <w:r>
        <w:rPr>
          <w:spacing w:val="-83"/>
        </w:rPr>
      </w:r>
      <w:r>
        <w:rPr/>
        <w:t>起共同控制这些政策的制定，故判断公司对该被投资单位具有重大影响，以权益法进行后续计量。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1032"/>
        <w:jc w:val="left"/>
        <w:rPr>
          <w:b w:val="0"/>
          <w:bCs w:val="0"/>
        </w:rPr>
      </w:pPr>
      <w:bookmarkStart w:name="（2）重要联营企业的主要财务信息" w:id="301"/>
      <w:bookmarkEnd w:id="30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南亿科技</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南亿科技</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241,352,020.44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68,252,257.82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223,277,699.43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21,773,757.30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7,351,850.99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18,195,109.15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263,125,777.74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75,604,108.81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241,472,808.58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91,154,753.82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27,234,059.16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95,388,839.54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91,154,753.82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27,234,059.16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95,388,839.54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171,971,023.92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48,370,049.65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146,083,969.04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按持股比例计算的净 资产份额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42,992,755.98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7,255,507.45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36,520,992.26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w:t>
            </w:r>
            <w:r>
              <w:rPr>
                <w:rFonts w:ascii="宋体" w:hAnsi="宋体" w:cs="宋体" w:eastAsia="宋体" w:hint="default"/>
                <w:w w:val="99"/>
                <w:sz w:val="18"/>
                <w:szCs w:val="18"/>
              </w:rPr>
              <w:t> </w:t>
            </w:r>
            <w:r>
              <w:rPr>
                <w:rFonts w:ascii="宋体" w:hAnsi="宋体" w:cs="宋体" w:eastAsia="宋体" w:hint="default"/>
                <w:sz w:val="18"/>
                <w:szCs w:val="18"/>
              </w:rPr>
              <w:t>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对联营企业权益投资 的账面价值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46,926,679.00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16,113,595.84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40,454,915.28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9"/>
              <w:jc w:val="both"/>
              <w:rPr>
                <w:rFonts w:ascii="宋体" w:hAnsi="宋体" w:cs="宋体" w:eastAsia="宋体" w:hint="default"/>
                <w:sz w:val="18"/>
                <w:szCs w:val="18"/>
              </w:rPr>
            </w:pPr>
            <w:r>
              <w:rPr>
                <w:rFonts w:ascii="宋体" w:hAnsi="宋体" w:cs="宋体" w:eastAsia="宋体" w:hint="default"/>
                <w:sz w:val="18"/>
                <w:szCs w:val="18"/>
              </w:rPr>
              <w:t>存在公开报价的联营 企业权益投资的公允 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248,842,869.98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53,953,511.18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99,542,940.84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25,887,054.88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7,423,972.24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10,259,667.20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25,887,054.88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7,423,972.24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10,259,667.20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本年度收到的来自联 营企业的股利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十、与金融工具相关的风险" w:id="302"/>
      <w:bookmarkEnd w:id="30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firstLine="360"/>
        <w:jc w:val="left"/>
      </w:pPr>
      <w:r>
        <w:rPr>
          <w:spacing w:val="-2"/>
        </w:rPr>
        <w:t>本公司的主要金融工具为货币资金、银行借款。金融工具的主要目的在于为本公司的运营融资。本公司具有多种因经营</w:t>
      </w:r>
      <w:r>
        <w:rPr/>
        <w:t> 而直接产生的其他金融资产和负债，如应收账款和应付账款等。</w:t>
      </w:r>
    </w:p>
    <w:p>
      <w:pPr>
        <w:spacing w:line="439" w:lineRule="auto" w:before="139"/>
        <w:ind w:left="515" w:right="4813" w:hanging="2"/>
        <w:jc w:val="left"/>
        <w:rPr>
          <w:rFonts w:ascii="宋体" w:hAnsi="宋体" w:cs="宋体" w:eastAsia="宋体" w:hint="default"/>
          <w:sz w:val="18"/>
          <w:szCs w:val="18"/>
        </w:rPr>
      </w:pPr>
      <w:r>
        <w:rPr>
          <w:rFonts w:ascii="宋体" w:hAnsi="宋体" w:cs="宋体" w:eastAsia="宋体" w:hint="default"/>
          <w:sz w:val="18"/>
          <w:szCs w:val="18"/>
        </w:rPr>
        <w:t>本公司的金融工具导致的主要风险是信用风险、流动风险及市场风险。 </w:t>
      </w:r>
      <w:r>
        <w:rPr>
          <w:rFonts w:ascii="宋体" w:hAnsi="宋体" w:cs="宋体" w:eastAsia="宋体" w:hint="default"/>
          <w:b/>
          <w:bCs/>
          <w:sz w:val="18"/>
          <w:szCs w:val="18"/>
        </w:rPr>
        <w:t>1.</w:t>
      </w:r>
      <w:r>
        <w:rPr>
          <w:rFonts w:ascii="宋体" w:hAnsi="宋体" w:cs="宋体" w:eastAsia="宋体" w:hint="default"/>
          <w:b/>
          <w:bCs/>
          <w:spacing w:val="-2"/>
          <w:sz w:val="18"/>
          <w:szCs w:val="18"/>
        </w:rPr>
        <w:t> </w:t>
      </w:r>
      <w:r>
        <w:rPr>
          <w:rFonts w:ascii="宋体" w:hAnsi="宋体" w:cs="宋体" w:eastAsia="宋体" w:hint="default"/>
          <w:b/>
          <w:bCs/>
          <w:sz w:val="18"/>
          <w:szCs w:val="18"/>
        </w:rPr>
        <w:t>金融工具分类</w:t>
      </w:r>
      <w:r>
        <w:rPr>
          <w:rFonts w:ascii="宋体" w:hAnsi="宋体" w:cs="宋体" w:eastAsia="宋体" w:hint="default"/>
          <w:sz w:val="18"/>
          <w:szCs w:val="18"/>
        </w:rPr>
      </w:r>
    </w:p>
    <w:p>
      <w:pPr>
        <w:pStyle w:val="BodyText"/>
        <w:spacing w:line="240" w:lineRule="auto" w:before="47"/>
        <w:ind w:left="514" w:right="1032"/>
        <w:jc w:val="left"/>
      </w:pPr>
      <w:r>
        <w:rPr/>
        <w:t>（</w:t>
      </w:r>
      <w:r>
        <w:rPr>
          <w:rFonts w:ascii="宋体" w:hAnsi="宋体" w:cs="宋体" w:eastAsia="宋体" w:hint="default"/>
        </w:rPr>
        <w:t>1</w:t>
      </w:r>
      <w:r>
        <w:rPr/>
        <w:t>）资产负债表日的各类金融资产的账面价值如下：</w:t>
      </w:r>
    </w:p>
    <w:p>
      <w:pPr>
        <w:spacing w:line="240" w:lineRule="auto" w:before="13"/>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3391"/>
        <w:gridCol w:w="722"/>
        <w:gridCol w:w="1593"/>
        <w:gridCol w:w="1619"/>
        <w:gridCol w:w="1347"/>
      </w:tblGrid>
      <w:tr>
        <w:trPr>
          <w:trHeight w:val="264" w:hRule="exact"/>
        </w:trPr>
        <w:tc>
          <w:tcPr>
            <w:tcW w:w="3391" w:type="dxa"/>
            <w:tcBorders>
              <w:top w:val="nil" w:sz="6" w:space="0" w:color="auto"/>
              <w:left w:val="nil" w:sz="6" w:space="0" w:color="auto"/>
              <w:bottom w:val="single" w:sz="6" w:space="0" w:color="000000"/>
              <w:right w:val="nil" w:sz="6" w:space="0" w:color="auto"/>
            </w:tcBorders>
          </w:tcPr>
          <w:p>
            <w:pPr>
              <w:pStyle w:val="TableParagraph"/>
              <w:spacing w:line="180"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722" w:type="dxa"/>
            <w:tcBorders>
              <w:top w:val="nil" w:sz="6" w:space="0" w:color="auto"/>
              <w:left w:val="nil" w:sz="6" w:space="0" w:color="auto"/>
              <w:bottom w:val="single" w:sz="6" w:space="0" w:color="000000"/>
              <w:right w:val="nil" w:sz="6" w:space="0" w:color="auto"/>
            </w:tcBorders>
          </w:tcPr>
          <w:p>
            <w:pPr/>
          </w:p>
        </w:tc>
        <w:tc>
          <w:tcPr>
            <w:tcW w:w="3211" w:type="dxa"/>
            <w:gridSpan w:val="2"/>
            <w:tcBorders>
              <w:top w:val="nil" w:sz="6" w:space="0" w:color="auto"/>
              <w:left w:val="nil" w:sz="6" w:space="0" w:color="auto"/>
              <w:bottom w:val="single" w:sz="6" w:space="0" w:color="000000"/>
              <w:right w:val="nil" w:sz="6" w:space="0" w:color="auto"/>
            </w:tcBorders>
          </w:tcPr>
          <w:p>
            <w:pPr>
              <w:pStyle w:val="TableParagraph"/>
              <w:spacing w:line="180" w:lineRule="exact"/>
              <w:ind w:left="96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47" w:type="dxa"/>
            <w:tcBorders>
              <w:top w:val="nil" w:sz="6" w:space="0" w:color="auto"/>
              <w:left w:val="nil" w:sz="6" w:space="0" w:color="auto"/>
              <w:bottom w:val="single" w:sz="6" w:space="0" w:color="000000"/>
              <w:right w:val="nil" w:sz="6" w:space="0" w:color="auto"/>
            </w:tcBorders>
          </w:tcPr>
          <w:p>
            <w:pPr/>
          </w:p>
        </w:tc>
      </w:tr>
      <w:tr>
        <w:trPr>
          <w:trHeight w:val="1273" w:hRule="exact"/>
        </w:trPr>
        <w:tc>
          <w:tcPr>
            <w:tcW w:w="3391"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2253" w:right="52"/>
              <w:jc w:val="center"/>
              <w:rPr>
                <w:rFonts w:ascii="宋体" w:hAnsi="宋体" w:cs="宋体" w:eastAsia="宋体" w:hint="default"/>
                <w:sz w:val="18"/>
                <w:szCs w:val="18"/>
              </w:rPr>
            </w:pPr>
            <w:r>
              <w:rPr>
                <w:rFonts w:ascii="宋体" w:hAnsi="宋体" w:cs="宋体" w:eastAsia="宋体" w:hint="default"/>
                <w:b/>
                <w:bCs/>
                <w:w w:val="95"/>
                <w:sz w:val="18"/>
                <w:szCs w:val="18"/>
              </w:rPr>
              <w:t>以公允价值计</w:t>
            </w:r>
            <w:r>
              <w:rPr>
                <w:rFonts w:ascii="宋体" w:hAnsi="宋体" w:cs="宋体" w:eastAsia="宋体" w:hint="default"/>
                <w:b/>
                <w:bCs/>
                <w:spacing w:val="-35"/>
                <w:w w:val="95"/>
                <w:sz w:val="18"/>
                <w:szCs w:val="18"/>
              </w:rPr>
              <w:t> </w:t>
            </w:r>
            <w:r>
              <w:rPr>
                <w:rFonts w:ascii="宋体" w:hAnsi="宋体" w:cs="宋体" w:eastAsia="宋体" w:hint="default"/>
                <w:b/>
                <w:bCs/>
                <w:spacing w:val="-35"/>
                <w:w w:val="95"/>
                <w:sz w:val="18"/>
                <w:szCs w:val="18"/>
              </w:rPr>
            </w:r>
            <w:r>
              <w:rPr>
                <w:rFonts w:ascii="宋体" w:hAnsi="宋体" w:cs="宋体" w:eastAsia="宋体" w:hint="default"/>
                <w:b/>
                <w:bCs/>
                <w:w w:val="95"/>
                <w:sz w:val="18"/>
                <w:szCs w:val="18"/>
              </w:rPr>
              <w:t>量且其变动计</w:t>
            </w:r>
            <w:r>
              <w:rPr>
                <w:rFonts w:ascii="宋体" w:hAnsi="宋体" w:cs="宋体" w:eastAsia="宋体" w:hint="default"/>
                <w:b/>
                <w:bCs/>
                <w:spacing w:val="-35"/>
                <w:w w:val="95"/>
                <w:sz w:val="18"/>
                <w:szCs w:val="18"/>
              </w:rPr>
              <w:t> </w:t>
            </w:r>
            <w:r>
              <w:rPr>
                <w:rFonts w:ascii="宋体" w:hAnsi="宋体" w:cs="宋体" w:eastAsia="宋体" w:hint="default"/>
                <w:b/>
                <w:bCs/>
                <w:spacing w:val="-35"/>
                <w:w w:val="95"/>
                <w:sz w:val="18"/>
                <w:szCs w:val="18"/>
              </w:rPr>
            </w:r>
            <w:r>
              <w:rPr>
                <w:rFonts w:ascii="宋体" w:hAnsi="宋体" w:cs="宋体" w:eastAsia="宋体" w:hint="default"/>
                <w:b/>
                <w:bCs/>
                <w:w w:val="95"/>
                <w:sz w:val="18"/>
                <w:szCs w:val="18"/>
              </w:rPr>
              <w:t>入当期损益的</w:t>
            </w:r>
            <w:r>
              <w:rPr>
                <w:rFonts w:ascii="宋体" w:hAnsi="宋体" w:cs="宋体" w:eastAsia="宋体" w:hint="default"/>
                <w:b/>
                <w:bCs/>
                <w:spacing w:val="-35"/>
                <w:w w:val="95"/>
                <w:sz w:val="18"/>
                <w:szCs w:val="18"/>
              </w:rPr>
              <w:t> </w:t>
            </w:r>
            <w:r>
              <w:rPr>
                <w:rFonts w:ascii="宋体" w:hAnsi="宋体" w:cs="宋体" w:eastAsia="宋体" w:hint="default"/>
                <w:b/>
                <w:bCs/>
                <w:spacing w:val="-35"/>
                <w:w w:val="95"/>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722"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54" w:right="121"/>
              <w:jc w:val="center"/>
              <w:rPr>
                <w:rFonts w:ascii="宋体" w:hAnsi="宋体" w:cs="宋体" w:eastAsia="宋体" w:hint="default"/>
                <w:sz w:val="18"/>
                <w:szCs w:val="18"/>
              </w:rPr>
            </w:pPr>
            <w:r>
              <w:rPr>
                <w:rFonts w:ascii="宋体" w:hAnsi="宋体" w:cs="宋体" w:eastAsia="宋体" w:hint="default"/>
                <w:b/>
                <w:bCs/>
                <w:sz w:val="18"/>
                <w:szCs w:val="18"/>
              </w:rPr>
              <w:t>持有至</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到期投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tc>
        <w:tc>
          <w:tcPr>
            <w:tcW w:w="159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1619"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560" w:right="335" w:hanging="543"/>
              <w:jc w:val="left"/>
              <w:rPr>
                <w:rFonts w:ascii="宋体" w:hAnsi="宋体" w:cs="宋体" w:eastAsia="宋体" w:hint="default"/>
                <w:sz w:val="18"/>
                <w:szCs w:val="18"/>
              </w:rPr>
            </w:pPr>
            <w:r>
              <w:rPr>
                <w:rFonts w:ascii="宋体" w:hAnsi="宋体" w:cs="宋体" w:eastAsia="宋体" w:hint="default"/>
                <w:b/>
                <w:bCs/>
                <w:sz w:val="18"/>
                <w:szCs w:val="18"/>
              </w:rPr>
              <w:t>可供出售金融资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34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33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6" w:hRule="exact"/>
        </w:trPr>
        <w:tc>
          <w:tcPr>
            <w:tcW w:w="339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000000"/>
              <w:left w:val="nil" w:sz="6" w:space="0" w:color="auto"/>
              <w:bottom w:val="single" w:sz="6" w:space="0" w:color="000000"/>
              <w:right w:val="nil" w:sz="6" w:space="0" w:color="auto"/>
            </w:tcBorders>
          </w:tcPr>
          <w:p>
            <w:pPr/>
          </w:p>
        </w:tc>
        <w:tc>
          <w:tcPr>
            <w:tcW w:w="15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1,086,445,701.82</w:t>
            </w:r>
          </w:p>
        </w:tc>
        <w:tc>
          <w:tcPr>
            <w:tcW w:w="2966"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514" w:right="0"/>
              <w:jc w:val="left"/>
              <w:rPr>
                <w:rFonts w:ascii="宋体" w:hAnsi="宋体" w:cs="宋体" w:eastAsia="宋体" w:hint="default"/>
                <w:sz w:val="18"/>
                <w:szCs w:val="18"/>
              </w:rPr>
            </w:pPr>
            <w:r>
              <w:rPr>
                <w:rFonts w:ascii="宋体"/>
                <w:sz w:val="18"/>
              </w:rPr>
              <w:t>1,086,445,701.82</w:t>
            </w:r>
          </w:p>
        </w:tc>
      </w:tr>
      <w:tr>
        <w:trPr>
          <w:trHeight w:val="337" w:hRule="exact"/>
        </w:trPr>
        <w:tc>
          <w:tcPr>
            <w:tcW w:w="339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000000"/>
              <w:left w:val="nil" w:sz="6" w:space="0" w:color="auto"/>
              <w:bottom w:val="single" w:sz="6" w:space="0" w:color="000000"/>
              <w:right w:val="nil" w:sz="6" w:space="0" w:color="auto"/>
            </w:tcBorders>
          </w:tcPr>
          <w:p>
            <w:pPr/>
          </w:p>
        </w:tc>
        <w:tc>
          <w:tcPr>
            <w:tcW w:w="15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47,742,808.90</w:t>
            </w:r>
          </w:p>
        </w:tc>
        <w:tc>
          <w:tcPr>
            <w:tcW w:w="1619" w:type="dxa"/>
            <w:tcBorders>
              <w:top w:val="single" w:sz="6" w:space="0" w:color="000000"/>
              <w:left w:val="nil" w:sz="6" w:space="0" w:color="auto"/>
              <w:bottom w:val="single" w:sz="6" w:space="0" w:color="000000"/>
              <w:right w:val="nil" w:sz="6" w:space="0" w:color="auto"/>
            </w:tcBorders>
          </w:tcPr>
          <w:p>
            <w:pPr/>
          </w:p>
        </w:tc>
        <w:tc>
          <w:tcPr>
            <w:tcW w:w="134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47,742,808.90</w:t>
            </w:r>
          </w:p>
        </w:tc>
      </w:tr>
      <w:tr>
        <w:trPr>
          <w:trHeight w:val="337" w:hRule="exact"/>
        </w:trPr>
        <w:tc>
          <w:tcPr>
            <w:tcW w:w="339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000000"/>
              <w:left w:val="nil" w:sz="6" w:space="0" w:color="auto"/>
              <w:bottom w:val="single" w:sz="6" w:space="0" w:color="000000"/>
              <w:right w:val="nil" w:sz="6" w:space="0" w:color="auto"/>
            </w:tcBorders>
          </w:tcPr>
          <w:p>
            <w:pPr/>
          </w:p>
        </w:tc>
        <w:tc>
          <w:tcPr>
            <w:tcW w:w="15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2,789,106,942.22</w:t>
            </w:r>
          </w:p>
        </w:tc>
        <w:tc>
          <w:tcPr>
            <w:tcW w:w="2966"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514" w:right="0"/>
              <w:jc w:val="left"/>
              <w:rPr>
                <w:rFonts w:ascii="宋体" w:hAnsi="宋体" w:cs="宋体" w:eastAsia="宋体" w:hint="default"/>
                <w:sz w:val="18"/>
                <w:szCs w:val="18"/>
              </w:rPr>
            </w:pPr>
            <w:r>
              <w:rPr>
                <w:rFonts w:ascii="宋体"/>
                <w:sz w:val="18"/>
              </w:rPr>
              <w:t>2,789,106,942.22</w:t>
            </w:r>
          </w:p>
        </w:tc>
      </w:tr>
      <w:tr>
        <w:trPr>
          <w:trHeight w:val="337" w:hRule="exact"/>
        </w:trPr>
        <w:tc>
          <w:tcPr>
            <w:tcW w:w="339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000000"/>
              <w:left w:val="nil" w:sz="6" w:space="0" w:color="auto"/>
              <w:bottom w:val="single" w:sz="6" w:space="0" w:color="000000"/>
              <w:right w:val="nil" w:sz="6" w:space="0" w:color="auto"/>
            </w:tcBorders>
          </w:tcPr>
          <w:p>
            <w:pPr/>
          </w:p>
        </w:tc>
        <w:tc>
          <w:tcPr>
            <w:tcW w:w="1593"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17"/>
              <w:jc w:val="right"/>
              <w:rPr>
                <w:rFonts w:ascii="宋体" w:hAnsi="宋体" w:cs="宋体" w:eastAsia="宋体" w:hint="default"/>
                <w:sz w:val="18"/>
                <w:szCs w:val="18"/>
              </w:rPr>
            </w:pPr>
            <w:r>
              <w:rPr>
                <w:rFonts w:ascii="宋体"/>
                <w:sz w:val="18"/>
              </w:rPr>
              <w:t>73,262,386.57</w:t>
            </w:r>
          </w:p>
        </w:tc>
        <w:tc>
          <w:tcPr>
            <w:tcW w:w="1619" w:type="dxa"/>
            <w:tcBorders>
              <w:top w:val="single" w:sz="6" w:space="0" w:color="000000"/>
              <w:left w:val="nil" w:sz="6" w:space="0" w:color="auto"/>
              <w:bottom w:val="single" w:sz="6" w:space="0" w:color="000000"/>
              <w:right w:val="nil" w:sz="6" w:space="0" w:color="auto"/>
            </w:tcBorders>
          </w:tcPr>
          <w:p>
            <w:pPr/>
          </w:p>
        </w:tc>
        <w:tc>
          <w:tcPr>
            <w:tcW w:w="134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73,262,386.57</w:t>
            </w:r>
          </w:p>
        </w:tc>
      </w:tr>
    </w:tbl>
    <w:p>
      <w:pPr>
        <w:spacing w:after="0" w:line="240" w:lineRule="auto"/>
        <w:jc w:val="right"/>
        <w:rPr>
          <w:rFonts w:ascii="宋体" w:hAnsi="宋体" w:cs="宋体" w:eastAsia="宋体" w:hint="default"/>
          <w:sz w:val="18"/>
          <w:szCs w:val="18"/>
        </w:rPr>
        <w:sectPr>
          <w:pgSz w:w="11910" w:h="16840"/>
          <w:pgMar w:header="917" w:footer="1019" w:top="1100" w:bottom="1200" w:left="980" w:right="0"/>
        </w:sectPr>
      </w:pPr>
    </w:p>
    <w:tbl>
      <w:tblPr>
        <w:tblW w:w="0" w:type="auto"/>
        <w:jc w:val="left"/>
        <w:tblInd w:w="123" w:type="dxa"/>
        <w:tblLayout w:type="fixed"/>
        <w:tblCellMar>
          <w:top w:w="0" w:type="dxa"/>
          <w:left w:w="0" w:type="dxa"/>
          <w:bottom w:w="0" w:type="dxa"/>
          <w:right w:w="0" w:type="dxa"/>
        </w:tblCellMar>
        <w:tblLook w:val="01E0"/>
      </w:tblPr>
      <w:tblGrid>
        <w:gridCol w:w="400"/>
        <w:gridCol w:w="3878"/>
        <w:gridCol w:w="1440"/>
        <w:gridCol w:w="1533"/>
        <w:gridCol w:w="1440"/>
      </w:tblGrid>
      <w:tr>
        <w:trPr>
          <w:trHeight w:val="572" w:hRule="exact"/>
        </w:trPr>
        <w:tc>
          <w:tcPr>
            <w:tcW w:w="4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7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w w:val="95"/>
                <w:sz w:val="18"/>
              </w:rPr>
              <w:t>3,996,557,839.51</w:t>
            </w:r>
          </w:p>
        </w:tc>
        <w:tc>
          <w:tcPr>
            <w:tcW w:w="153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w w:val="95"/>
                <w:sz w:val="18"/>
              </w:rPr>
              <w:t>3,996,557,839.51</w:t>
            </w:r>
          </w:p>
        </w:tc>
      </w:tr>
    </w:tbl>
    <w:p>
      <w:pPr>
        <w:spacing w:line="240" w:lineRule="auto" w:before="10"/>
        <w:rPr>
          <w:rFonts w:ascii="宋体" w:hAnsi="宋体" w:cs="宋体" w:eastAsia="宋体" w:hint="default"/>
          <w:sz w:val="6"/>
          <w:szCs w:val="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35pt;height:.75pt;mso-position-horizontal-relative:char;mso-position-vertical-relative:line" coordorigin="0,0" coordsize="8700,15">
            <v:group style="position:absolute;left:7;top:7;width:2215;height:2" coordorigin="7,7" coordsize="2215,2">
              <v:shape style="position:absolute;left:7;top:7;width:2215;height:2" coordorigin="7,7" coordsize="2215,0" path="m7,7l2222,7e" filled="false" stroked="true" strokeweight=".72pt" strokecolor="#000000">
                <v:path arrowok="t"/>
              </v:shape>
            </v:group>
            <v:group style="position:absolute;left:2207;top:7;width:15;height:2" coordorigin="2207,7" coordsize="15,2">
              <v:shape style="position:absolute;left:2207;top:7;width:15;height:2" coordorigin="2207,7" coordsize="15,0" path="m2207,7l2222,7e" filled="false" stroked="true" strokeweight=".72pt" strokecolor="#000000">
                <v:path arrowok="t"/>
              </v:shape>
            </v:group>
            <v:group style="position:absolute;left:2222;top:7;width:1193;height:2" coordorigin="2222,7" coordsize="1193,2">
              <v:shape style="position:absolute;left:2222;top:7;width:1193;height:2" coordorigin="2222,7" coordsize="1193,0" path="m2222,7l3414,7e" filled="false" stroked="true" strokeweight=".72pt" strokecolor="#000000">
                <v:path arrowok="t"/>
              </v:shape>
            </v:group>
            <v:group style="position:absolute;left:3400;top:7;width:15;height:2" coordorigin="3400,7" coordsize="15,2">
              <v:shape style="position:absolute;left:3400;top:7;width:15;height:2" coordorigin="3400,7" coordsize="15,0" path="m3400,7l3414,7e" filled="false" stroked="true" strokeweight=".72pt" strokecolor="#000000">
                <v:path arrowok="t"/>
              </v:shape>
            </v:group>
            <v:group style="position:absolute;left:3414;top:7;width:650;height:2" coordorigin="3414,7" coordsize="650,2">
              <v:shape style="position:absolute;left:3414;top:7;width:650;height:2" coordorigin="3414,7" coordsize="650,0" path="m3414,7l4064,7e" filled="false" stroked="true" strokeweight=".72pt" strokecolor="#000000">
                <v:path arrowok="t"/>
              </v:shape>
            </v:group>
            <v:group style="position:absolute;left:4050;top:7;width:15;height:2" coordorigin="4050,7" coordsize="15,2">
              <v:shape style="position:absolute;left:4050;top:7;width:15;height:2" coordorigin="4050,7" coordsize="15,0" path="m4050,7l4064,7e" filled="false" stroked="true" strokeweight=".72pt" strokecolor="#000000">
                <v:path arrowok="t"/>
              </v:shape>
            </v:group>
            <v:group style="position:absolute;left:4064;top:7;width:1656;height:2" coordorigin="4064,7" coordsize="1656,2">
              <v:shape style="position:absolute;left:4064;top:7;width:1656;height:2" coordorigin="4064,7" coordsize="1656,0" path="m4064,7l5720,7e" filled="false" stroked="true" strokeweight=".72pt" strokecolor="#000000">
                <v:path arrowok="t"/>
              </v:shape>
            </v:group>
            <v:group style="position:absolute;left:5706;top:7;width:15;height:2" coordorigin="5706,7" coordsize="15,2">
              <v:shape style="position:absolute;left:5706;top:7;width:15;height:2" coordorigin="5706,7" coordsize="15,0" path="m5706,7l5720,7e" filled="false" stroked="true" strokeweight=".72pt" strokecolor="#000000">
                <v:path arrowok="t"/>
              </v:shape>
            </v:group>
            <v:group style="position:absolute;left:5720;top:7;width:1317;height:2" coordorigin="5720,7" coordsize="1317,2">
              <v:shape style="position:absolute;left:5720;top:7;width:1317;height:2" coordorigin="5720,7" coordsize="1317,0" path="m5720,7l7037,7e" filled="false" stroked="true" strokeweight=".72pt" strokecolor="#000000">
                <v:path arrowok="t"/>
              </v:shape>
            </v:group>
            <v:group style="position:absolute;left:7022;top:7;width:15;height:2" coordorigin="7022,7" coordsize="15,2">
              <v:shape style="position:absolute;left:7022;top:7;width:15;height:2" coordorigin="7022,7" coordsize="15,0" path="m7022,7l7037,7e" filled="false" stroked="true" strokeweight=".72pt" strokecolor="#000000">
                <v:path arrowok="t"/>
              </v:shape>
            </v:group>
            <v:group style="position:absolute;left:7037;top:7;width:1656;height:2" coordorigin="7037,7" coordsize="1656,2">
              <v:shape style="position:absolute;left:7037;top:7;width:1656;height:2" coordorigin="7037,7" coordsize="1656,0" path="m7037,7l869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7"/>
        <w:ind w:left="514" w:right="1032"/>
        <w:jc w:val="left"/>
      </w:pPr>
      <w:r>
        <w:rPr/>
        <w:pict>
          <v:group style="position:absolute;margin-left:55.200001pt;margin-top:-33.098278pt;width:485pt;height:.1pt;mso-position-horizontal-relative:page;mso-position-vertical-relative:paragraph;z-index:-1091104" coordorigin="1104,-662" coordsize="9700,2">
            <v:shape style="position:absolute;left:1104;top:-662;width:9700;height:2" coordorigin="1104,-662" coordsize="9700,0" path="m1104,-662l10804,-662e" filled="false" stroked="true" strokeweight=".48pt" strokecolor="#000000">
              <v:path arrowok="t"/>
            </v:shape>
            <w10:wrap type="none"/>
          </v:group>
        </w:pict>
      </w:r>
      <w:r>
        <w:rPr/>
        <w:t>（续上表）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1445" w:right="3221"/>
        <w:jc w:val="center"/>
        <w:rPr>
          <w:rFonts w:ascii="宋体" w:hAnsi="宋体" w:cs="宋体" w:eastAsia="宋体" w:hint="default"/>
        </w:rPr>
      </w:pPr>
      <w:r>
        <w:rPr/>
        <w:pict>
          <v:shape style="position:absolute;margin-left:56.700001pt;margin-top:-62.162674pt;width:433.6pt;height:141.9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1"/>
                    <w:gridCol w:w="861"/>
                    <w:gridCol w:w="73"/>
                    <w:gridCol w:w="216"/>
                    <w:gridCol w:w="1486"/>
                    <w:gridCol w:w="839"/>
                    <w:gridCol w:w="215"/>
                    <w:gridCol w:w="1451"/>
                  </w:tblGrid>
                  <w:tr>
                    <w:trPr>
                      <w:trHeight w:val="264" w:hRule="exact"/>
                    </w:trPr>
                    <w:tc>
                      <w:tcPr>
                        <w:tcW w:w="3531" w:type="dxa"/>
                        <w:tcBorders>
                          <w:top w:val="nil" w:sz="6" w:space="0" w:color="auto"/>
                          <w:left w:val="nil" w:sz="6" w:space="0" w:color="auto"/>
                          <w:bottom w:val="single" w:sz="6" w:space="0" w:color="000000"/>
                          <w:right w:val="nil" w:sz="6" w:space="0" w:color="auto"/>
                        </w:tcBorders>
                      </w:tcPr>
                      <w:p>
                        <w:pPr>
                          <w:pStyle w:val="TableParagraph"/>
                          <w:spacing w:line="180"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861" w:type="dxa"/>
                        <w:tcBorders>
                          <w:top w:val="nil" w:sz="6" w:space="0" w:color="auto"/>
                          <w:left w:val="nil" w:sz="6" w:space="0" w:color="auto"/>
                          <w:bottom w:val="single" w:sz="6" w:space="0" w:color="000000"/>
                          <w:right w:val="nil" w:sz="6" w:space="0" w:color="auto"/>
                        </w:tcBorders>
                      </w:tcPr>
                      <w:p>
                        <w:pPr/>
                      </w:p>
                    </w:tc>
                    <w:tc>
                      <w:tcPr>
                        <w:tcW w:w="73" w:type="dxa"/>
                        <w:tcBorders>
                          <w:top w:val="nil" w:sz="6" w:space="0" w:color="auto"/>
                          <w:left w:val="nil" w:sz="6" w:space="0" w:color="auto"/>
                          <w:bottom w:val="single" w:sz="6" w:space="0" w:color="000000"/>
                          <w:right w:val="nil" w:sz="6" w:space="0" w:color="auto"/>
                        </w:tcBorders>
                      </w:tcPr>
                      <w:p>
                        <w:pPr/>
                      </w:p>
                    </w:tc>
                    <w:tc>
                      <w:tcPr>
                        <w:tcW w:w="216" w:type="dxa"/>
                        <w:tcBorders>
                          <w:top w:val="nil" w:sz="6" w:space="0" w:color="auto"/>
                          <w:left w:val="nil" w:sz="6" w:space="0" w:color="auto"/>
                          <w:bottom w:val="single" w:sz="6" w:space="0" w:color="000000"/>
                          <w:right w:val="nil" w:sz="6" w:space="0" w:color="auto"/>
                        </w:tcBorders>
                      </w:tcPr>
                      <w:p>
                        <w:pPr/>
                      </w:p>
                    </w:tc>
                    <w:tc>
                      <w:tcPr>
                        <w:tcW w:w="1486" w:type="dxa"/>
                        <w:tcBorders>
                          <w:top w:val="nil" w:sz="6" w:space="0" w:color="auto"/>
                          <w:left w:val="nil" w:sz="6" w:space="0" w:color="auto"/>
                          <w:bottom w:val="single" w:sz="6" w:space="0" w:color="000000"/>
                          <w:right w:val="nil" w:sz="6" w:space="0" w:color="auto"/>
                        </w:tcBorders>
                      </w:tcPr>
                      <w:p>
                        <w:pPr>
                          <w:pStyle w:val="TableParagraph"/>
                          <w:spacing w:line="18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839" w:type="dxa"/>
                        <w:tcBorders>
                          <w:top w:val="nil" w:sz="6" w:space="0" w:color="auto"/>
                          <w:left w:val="nil" w:sz="6" w:space="0" w:color="auto"/>
                          <w:bottom w:val="single" w:sz="6" w:space="0" w:color="000000"/>
                          <w:right w:val="nil" w:sz="6" w:space="0" w:color="auto"/>
                        </w:tcBorders>
                      </w:tcPr>
                      <w:p>
                        <w:pPr/>
                      </w:p>
                    </w:tc>
                    <w:tc>
                      <w:tcPr>
                        <w:tcW w:w="215"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r>
                  <w:tr>
                    <w:trPr>
                      <w:trHeight w:val="962" w:hRule="exact"/>
                    </w:trPr>
                    <w:tc>
                      <w:tcPr>
                        <w:tcW w:w="3531" w:type="dxa"/>
                        <w:tcBorders>
                          <w:top w:val="single" w:sz="6" w:space="0" w:color="000000"/>
                          <w:left w:val="nil" w:sz="6" w:space="0" w:color="auto"/>
                          <w:bottom w:val="single" w:sz="6" w:space="0" w:color="000000"/>
                          <w:right w:val="nil" w:sz="6" w:space="0" w:color="auto"/>
                        </w:tcBorders>
                      </w:tcPr>
                      <w:p>
                        <w:pPr>
                          <w:pStyle w:val="TableParagraph"/>
                          <w:spacing w:line="316" w:lineRule="auto" w:before="11"/>
                          <w:ind w:left="2096" w:right="-10"/>
                          <w:jc w:val="center"/>
                          <w:rPr>
                            <w:rFonts w:ascii="宋体" w:hAnsi="宋体" w:cs="宋体" w:eastAsia="宋体" w:hint="default"/>
                            <w:sz w:val="18"/>
                            <w:szCs w:val="18"/>
                          </w:rPr>
                        </w:pPr>
                        <w:r>
                          <w:rPr>
                            <w:rFonts w:ascii="宋体" w:hAnsi="宋体" w:cs="宋体" w:eastAsia="宋体" w:hint="default"/>
                            <w:b/>
                            <w:bCs/>
                            <w:w w:val="95"/>
                            <w:sz w:val="18"/>
                            <w:szCs w:val="18"/>
                          </w:rPr>
                          <w:t>以公允价值计量且</w:t>
                        </w:r>
                        <w:r>
                          <w:rPr>
                            <w:rFonts w:ascii="宋体" w:hAnsi="宋体" w:cs="宋体" w:eastAsia="宋体" w:hint="default"/>
                            <w:b/>
                            <w:bCs/>
                            <w:spacing w:val="-17"/>
                            <w:w w:val="95"/>
                            <w:sz w:val="18"/>
                            <w:szCs w:val="18"/>
                          </w:rPr>
                          <w:t> </w:t>
                        </w:r>
                        <w:r>
                          <w:rPr>
                            <w:rFonts w:ascii="宋体" w:hAnsi="宋体" w:cs="宋体" w:eastAsia="宋体" w:hint="default"/>
                            <w:b/>
                            <w:bCs/>
                            <w:spacing w:val="-17"/>
                            <w:w w:val="95"/>
                            <w:sz w:val="18"/>
                            <w:szCs w:val="18"/>
                          </w:rPr>
                        </w:r>
                        <w:r>
                          <w:rPr>
                            <w:rFonts w:ascii="宋体" w:hAnsi="宋体" w:cs="宋体" w:eastAsia="宋体" w:hint="default"/>
                            <w:b/>
                            <w:bCs/>
                            <w:w w:val="95"/>
                            <w:sz w:val="18"/>
                            <w:szCs w:val="18"/>
                          </w:rPr>
                          <w:t>其变动计入当期损</w:t>
                        </w:r>
                        <w:r>
                          <w:rPr>
                            <w:rFonts w:ascii="宋体" w:hAnsi="宋体" w:cs="宋体" w:eastAsia="宋体" w:hint="default"/>
                            <w:b/>
                            <w:bCs/>
                            <w:spacing w:val="-17"/>
                            <w:w w:val="95"/>
                            <w:sz w:val="18"/>
                            <w:szCs w:val="18"/>
                          </w:rPr>
                          <w:t> </w:t>
                        </w:r>
                        <w:r>
                          <w:rPr>
                            <w:rFonts w:ascii="宋体" w:hAnsi="宋体" w:cs="宋体" w:eastAsia="宋体" w:hint="default"/>
                            <w:b/>
                            <w:bCs/>
                            <w:spacing w:val="-17"/>
                            <w:w w:val="95"/>
                            <w:sz w:val="18"/>
                            <w:szCs w:val="18"/>
                          </w:rPr>
                        </w:r>
                        <w:r>
                          <w:rPr>
                            <w:rFonts w:ascii="宋体" w:hAnsi="宋体" w:cs="宋体" w:eastAsia="宋体" w:hint="default"/>
                            <w:b/>
                            <w:bCs/>
                            <w:sz w:val="18"/>
                            <w:szCs w:val="18"/>
                          </w:rPr>
                          <w:t>益的金融资产</w:t>
                        </w:r>
                        <w:r>
                          <w:rPr>
                            <w:rFonts w:ascii="宋体" w:hAnsi="宋体" w:cs="宋体" w:eastAsia="宋体" w:hint="default"/>
                            <w:sz w:val="18"/>
                            <w:szCs w:val="18"/>
                          </w:rPr>
                        </w:r>
                      </w:p>
                    </w:tc>
                    <w:tc>
                      <w:tcPr>
                        <w:tcW w:w="861" w:type="dxa"/>
                        <w:tcBorders>
                          <w:top w:val="single" w:sz="6" w:space="0" w:color="000000"/>
                          <w:left w:val="nil" w:sz="6" w:space="0" w:color="auto"/>
                          <w:bottom w:val="single" w:sz="6" w:space="0" w:color="000000"/>
                          <w:right w:val="nil" w:sz="6" w:space="0" w:color="auto"/>
                        </w:tcBorders>
                      </w:tcPr>
                      <w:p>
                        <w:pPr>
                          <w:pStyle w:val="TableParagraph"/>
                          <w:spacing w:line="316" w:lineRule="auto" w:before="11"/>
                          <w:ind w:left="246" w:right="-18" w:hanging="91"/>
                          <w:jc w:val="left"/>
                          <w:rPr>
                            <w:rFonts w:ascii="宋体" w:hAnsi="宋体" w:cs="宋体" w:eastAsia="宋体" w:hint="default"/>
                            <w:sz w:val="18"/>
                            <w:szCs w:val="18"/>
                          </w:rPr>
                        </w:pPr>
                        <w:r>
                          <w:rPr>
                            <w:rFonts w:ascii="宋体" w:hAnsi="宋体" w:cs="宋体" w:eastAsia="宋体" w:hint="default"/>
                            <w:b/>
                            <w:bCs/>
                            <w:sz w:val="18"/>
                            <w:szCs w:val="18"/>
                          </w:rPr>
                          <w:t>持有至到</w:t>
                        </w:r>
                        <w:r>
                          <w:rPr>
                            <w:rFonts w:ascii="宋体" w:hAnsi="宋体" w:cs="宋体" w:eastAsia="宋体" w:hint="default"/>
                            <w:b/>
                            <w:bCs/>
                            <w:w w:val="99"/>
                            <w:sz w:val="18"/>
                            <w:szCs w:val="18"/>
                          </w:rPr>
                          <w:t> </w:t>
                        </w:r>
                        <w:r>
                          <w:rPr>
                            <w:rFonts w:ascii="宋体" w:hAnsi="宋体" w:cs="宋体" w:eastAsia="宋体" w:hint="default"/>
                            <w:b/>
                            <w:bCs/>
                            <w:sz w:val="18"/>
                            <w:szCs w:val="18"/>
                          </w:rPr>
                          <w:t>期投资</w:t>
                        </w:r>
                        <w:r>
                          <w:rPr>
                            <w:rFonts w:ascii="宋体" w:hAnsi="宋体" w:cs="宋体" w:eastAsia="宋体" w:hint="default"/>
                            <w:sz w:val="18"/>
                            <w:szCs w:val="18"/>
                          </w:rPr>
                        </w:r>
                      </w:p>
                    </w:tc>
                    <w:tc>
                      <w:tcPr>
                        <w:tcW w:w="73"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8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839" w:type="dxa"/>
                        <w:tcBorders>
                          <w:top w:val="single" w:sz="6" w:space="0" w:color="000000"/>
                          <w:left w:val="nil" w:sz="6" w:space="0" w:color="auto"/>
                          <w:bottom w:val="single" w:sz="6" w:space="0" w:color="000000"/>
                          <w:right w:val="nil" w:sz="6" w:space="0" w:color="auto"/>
                        </w:tcBorders>
                      </w:tcPr>
                      <w:p>
                        <w:pPr>
                          <w:pStyle w:val="TableParagraph"/>
                          <w:spacing w:line="316" w:lineRule="auto" w:before="11"/>
                          <w:ind w:left="45" w:right="69"/>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b/>
                            <w:bCs/>
                            <w:w w:val="99"/>
                            <w:sz w:val="18"/>
                            <w:szCs w:val="18"/>
                          </w:rPr>
                          <w:t> </w:t>
                        </w:r>
                        <w:r>
                          <w:rPr>
                            <w:rFonts w:ascii="宋体" w:hAnsi="宋体" w:cs="宋体" w:eastAsia="宋体" w:hint="default"/>
                            <w:b/>
                            <w:bCs/>
                            <w:sz w:val="18"/>
                            <w:szCs w:val="18"/>
                          </w:rPr>
                          <w:t>金融资产</w:t>
                        </w:r>
                        <w:r>
                          <w:rPr>
                            <w:rFonts w:ascii="宋体" w:hAnsi="宋体" w:cs="宋体" w:eastAsia="宋体" w:hint="default"/>
                            <w:sz w:val="18"/>
                            <w:szCs w:val="18"/>
                          </w:rPr>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4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6" w:hRule="exact"/>
                    </w:trPr>
                    <w:tc>
                      <w:tcPr>
                        <w:tcW w:w="353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6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sz w:val="18"/>
                          </w:rPr>
                          <w:t>-</w:t>
                        </w:r>
                      </w:p>
                    </w:tc>
                    <w:tc>
                      <w:tcPr>
                        <w:tcW w:w="73"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8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1,280,185,824.46</w:t>
                        </w:r>
                      </w:p>
                    </w:tc>
                    <w:tc>
                      <w:tcPr>
                        <w:tcW w:w="83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1,280,185,824.46</w:t>
                        </w:r>
                      </w:p>
                    </w:tc>
                  </w:tr>
                  <w:tr>
                    <w:trPr>
                      <w:trHeight w:val="337" w:hRule="exact"/>
                    </w:trPr>
                    <w:tc>
                      <w:tcPr>
                        <w:tcW w:w="353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6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0" w:right="0"/>
                          <w:jc w:val="left"/>
                          <w:rPr>
                            <w:rFonts w:ascii="宋体" w:hAnsi="宋体" w:cs="宋体" w:eastAsia="宋体" w:hint="default"/>
                            <w:sz w:val="18"/>
                            <w:szCs w:val="18"/>
                          </w:rPr>
                        </w:pPr>
                        <w:r>
                          <w:rPr>
                            <w:rFonts w:ascii="宋体"/>
                            <w:sz w:val="18"/>
                          </w:rPr>
                          <w:t>-</w:t>
                        </w:r>
                      </w:p>
                    </w:tc>
                    <w:tc>
                      <w:tcPr>
                        <w:tcW w:w="73"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8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12,725,874.00</w:t>
                        </w:r>
                      </w:p>
                    </w:tc>
                    <w:tc>
                      <w:tcPr>
                        <w:tcW w:w="83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12,725,874.00</w:t>
                        </w:r>
                      </w:p>
                    </w:tc>
                  </w:tr>
                  <w:tr>
                    <w:trPr>
                      <w:trHeight w:val="337" w:hRule="exact"/>
                    </w:trPr>
                    <w:tc>
                      <w:tcPr>
                        <w:tcW w:w="353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6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0" w:right="0"/>
                          <w:jc w:val="left"/>
                          <w:rPr>
                            <w:rFonts w:ascii="宋体" w:hAnsi="宋体" w:cs="宋体" w:eastAsia="宋体" w:hint="default"/>
                            <w:sz w:val="18"/>
                            <w:szCs w:val="18"/>
                          </w:rPr>
                        </w:pPr>
                        <w:r>
                          <w:rPr>
                            <w:rFonts w:ascii="宋体"/>
                            <w:sz w:val="18"/>
                          </w:rPr>
                          <w:t>-</w:t>
                        </w:r>
                      </w:p>
                    </w:tc>
                    <w:tc>
                      <w:tcPr>
                        <w:tcW w:w="73"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8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sz w:val="18"/>
                          </w:rPr>
                          <w:t>2,338,030,745.71</w:t>
                        </w:r>
                      </w:p>
                    </w:tc>
                    <w:tc>
                      <w:tcPr>
                        <w:tcW w:w="83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2,338,030,745.71</w:t>
                        </w:r>
                      </w:p>
                    </w:tc>
                  </w:tr>
                  <w:tr>
                    <w:trPr>
                      <w:trHeight w:val="337" w:hRule="exact"/>
                    </w:trPr>
                    <w:tc>
                      <w:tcPr>
                        <w:tcW w:w="353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6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10" w:right="0"/>
                          <w:jc w:val="left"/>
                          <w:rPr>
                            <w:rFonts w:ascii="宋体" w:hAnsi="宋体" w:cs="宋体" w:eastAsia="宋体" w:hint="default"/>
                            <w:sz w:val="18"/>
                            <w:szCs w:val="18"/>
                          </w:rPr>
                        </w:pPr>
                        <w:r>
                          <w:rPr>
                            <w:rFonts w:ascii="宋体"/>
                            <w:sz w:val="18"/>
                          </w:rPr>
                          <w:t>-</w:t>
                        </w:r>
                      </w:p>
                    </w:tc>
                    <w:tc>
                      <w:tcPr>
                        <w:tcW w:w="73"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8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43"/>
                          <w:jc w:val="right"/>
                          <w:rPr>
                            <w:rFonts w:ascii="宋体" w:hAnsi="宋体" w:cs="宋体" w:eastAsia="宋体" w:hint="default"/>
                            <w:sz w:val="18"/>
                            <w:szCs w:val="18"/>
                          </w:rPr>
                        </w:pPr>
                        <w:r>
                          <w:rPr>
                            <w:rFonts w:ascii="宋体"/>
                            <w:sz w:val="18"/>
                          </w:rPr>
                          <w:t>68,597,178.82</w:t>
                        </w:r>
                      </w:p>
                    </w:tc>
                    <w:tc>
                      <w:tcPr>
                        <w:tcW w:w="83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68,597,178.82</w:t>
                        </w:r>
                      </w:p>
                    </w:tc>
                  </w:tr>
                  <w:tr>
                    <w:trPr>
                      <w:trHeight w:val="260" w:hRule="exact"/>
                    </w:trPr>
                    <w:tc>
                      <w:tcPr>
                        <w:tcW w:w="353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sz w:val="18"/>
                          </w:rPr>
                          <w:t>-</w:t>
                        </w:r>
                      </w:p>
                    </w:tc>
                    <w:tc>
                      <w:tcPr>
                        <w:tcW w:w="73" w:type="dxa"/>
                        <w:tcBorders>
                          <w:top w:val="single" w:sz="6" w:space="0" w:color="000000"/>
                          <w:left w:val="nil" w:sz="6" w:space="0" w:color="auto"/>
                          <w:bottom w:val="single" w:sz="4" w:space="0" w:color="000000"/>
                          <w:right w:val="nil" w:sz="6" w:space="0" w:color="auto"/>
                        </w:tcBorders>
                      </w:tcPr>
                      <w:p>
                        <w:pPr/>
                      </w:p>
                    </w:tc>
                    <w:tc>
                      <w:tcPr>
                        <w:tcW w:w="216" w:type="dxa"/>
                        <w:tcBorders>
                          <w:top w:val="single" w:sz="6" w:space="0" w:color="000000"/>
                          <w:left w:val="nil" w:sz="6" w:space="0" w:color="auto"/>
                          <w:bottom w:val="nil" w:sz="6" w:space="0" w:color="auto"/>
                          <w:right w:val="nil" w:sz="6" w:space="0" w:color="auto"/>
                        </w:tcBorders>
                      </w:tcPr>
                      <w:p>
                        <w:pPr/>
                      </w:p>
                    </w:tc>
                    <w:tc>
                      <w:tcPr>
                        <w:tcW w:w="1486"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3,699,539,622.99</w:t>
                        </w:r>
                      </w:p>
                    </w:tc>
                    <w:tc>
                      <w:tcPr>
                        <w:tcW w:w="83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215"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3,699,539,622.99</w:t>
                        </w:r>
                      </w:p>
                    </w:tc>
                  </w:tr>
                </w:tbl>
                <w:p>
                  <w:pPr/>
                </w:p>
              </w:txbxContent>
            </v:textbox>
            <w10:wrap type="none"/>
          </v:shape>
        </w:pict>
      </w:r>
      <w:r>
        <w:rPr>
          <w:rFonts w:ascii="宋体"/>
        </w:rPr>
        <w:t>-</w:t>
      </w:r>
    </w:p>
    <w:p>
      <w:pPr>
        <w:pStyle w:val="BodyText"/>
        <w:spacing w:line="240" w:lineRule="auto" w:before="101"/>
        <w:ind w:left="1445" w:right="3221"/>
        <w:jc w:val="center"/>
        <w:rPr>
          <w:rFonts w:ascii="宋体" w:hAnsi="宋体" w:cs="宋体" w:eastAsia="宋体" w:hint="default"/>
        </w:rPr>
      </w:pPr>
      <w:r>
        <w:rPr>
          <w:rFonts w:ascii="宋体"/>
        </w:rPr>
        <w:t>-</w:t>
      </w:r>
    </w:p>
    <w:p>
      <w:pPr>
        <w:pStyle w:val="BodyText"/>
        <w:spacing w:line="240" w:lineRule="auto" w:before="101"/>
        <w:ind w:left="1445" w:right="3221"/>
        <w:jc w:val="center"/>
        <w:rPr>
          <w:rFonts w:ascii="宋体" w:hAnsi="宋体" w:cs="宋体" w:eastAsia="宋体" w:hint="default"/>
        </w:rPr>
      </w:pPr>
      <w:r>
        <w:rPr>
          <w:rFonts w:ascii="宋体"/>
        </w:rPr>
        <w:t>-</w:t>
      </w:r>
    </w:p>
    <w:p>
      <w:pPr>
        <w:pStyle w:val="BodyText"/>
        <w:spacing w:line="240" w:lineRule="auto" w:before="101"/>
        <w:ind w:left="1445" w:right="3221"/>
        <w:jc w:val="center"/>
        <w:rPr>
          <w:rFonts w:ascii="宋体" w:hAnsi="宋体" w:cs="宋体" w:eastAsia="宋体" w:hint="default"/>
        </w:rPr>
      </w:pPr>
      <w:r>
        <w:rPr>
          <w:rFonts w:ascii="宋体"/>
        </w:rPr>
        <w:t>-</w:t>
      </w:r>
    </w:p>
    <w:p>
      <w:pPr>
        <w:pStyle w:val="BodyText"/>
        <w:spacing w:line="240" w:lineRule="auto" w:before="100"/>
        <w:ind w:left="1445" w:right="3221"/>
        <w:jc w:val="center"/>
        <w:rPr>
          <w:rFonts w:ascii="宋体" w:hAnsi="宋体" w:cs="宋体" w:eastAsia="宋体" w:hint="default"/>
        </w:rPr>
      </w:pPr>
      <w:r>
        <w:rPr>
          <w:rFonts w:ascii="宋体"/>
        </w:rPr>
        <w:t>-</w:t>
      </w: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4"/>
          <w:szCs w:val="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35pt;height:.75pt;mso-position-horizontal-relative:char;mso-position-vertical-relative:line" coordorigin="0,0" coordsize="8700,15">
            <v:group style="position:absolute;left:7;top:7;width:2032;height:2" coordorigin="7,7" coordsize="2032,2">
              <v:shape style="position:absolute;left:7;top:7;width:2032;height:2" coordorigin="7,7" coordsize="2032,0" path="m7,7l2039,7e" filled="false" stroked="true" strokeweight=".72pt" strokecolor="#000000">
                <v:path arrowok="t"/>
              </v:shape>
            </v:group>
            <v:group style="position:absolute;left:2025;top:7;width:15;height:2" coordorigin="2025,7" coordsize="15,2">
              <v:shape style="position:absolute;left:2025;top:7;width:15;height:2" coordorigin="2025,7" coordsize="15,0" path="m2025,7l2039,7e" filled="false" stroked="true" strokeweight=".72pt" strokecolor="#000000">
                <v:path arrowok="t"/>
              </v:shape>
            </v:group>
            <v:group style="position:absolute;left:2039;top:7;width:1605;height:2" coordorigin="2039,7" coordsize="1605,2">
              <v:shape style="position:absolute;left:2039;top:7;width:1605;height:2" coordorigin="2039,7" coordsize="1605,0" path="m2039,7l3644,7e" filled="false" stroked="true" strokeweight=".72pt" strokecolor="#000000">
                <v:path arrowok="t"/>
              </v:shape>
            </v:group>
            <v:group style="position:absolute;left:3629;top:7;width:15;height:2" coordorigin="3629,7" coordsize="15,2">
              <v:shape style="position:absolute;left:3629;top:7;width:15;height:2" coordorigin="3629,7" coordsize="15,0" path="m3629,7l3644,7e" filled="false" stroked="true" strokeweight=".72pt" strokecolor="#000000">
                <v:path arrowok="t"/>
              </v:shape>
            </v:group>
            <v:group style="position:absolute;left:3644;top:7;width:853;height:2" coordorigin="3644,7" coordsize="853,2">
              <v:shape style="position:absolute;left:3644;top:7;width:853;height:2" coordorigin="3644,7" coordsize="853,0" path="m3644,7l4496,7e" filled="false" stroked="true" strokeweight=".72pt" strokecolor="#000000">
                <v:path arrowok="t"/>
              </v:shape>
            </v:group>
            <v:group style="position:absolute;left:4482;top:7;width:15;height:2" coordorigin="4482,7" coordsize="15,2">
              <v:shape style="position:absolute;left:4482;top:7;width:15;height:2" coordorigin="4482,7" coordsize="15,0" path="m4482,7l4496,7e" filled="false" stroked="true" strokeweight=".72pt" strokecolor="#000000">
                <v:path arrowok="t"/>
              </v:shape>
            </v:group>
            <v:group style="position:absolute;left:4496;top:7;width:1656;height:2" coordorigin="4496,7" coordsize="1656,2">
              <v:shape style="position:absolute;left:4496;top:7;width:1656;height:2" coordorigin="4496,7" coordsize="1656,0" path="m4496,7l6152,7e" filled="false" stroked="true" strokeweight=".72pt" strokecolor="#000000">
                <v:path arrowok="t"/>
              </v:shape>
            </v:group>
            <v:group style="position:absolute;left:6138;top:7;width:15;height:2" coordorigin="6138,7" coordsize="15,2">
              <v:shape style="position:absolute;left:6138;top:7;width:15;height:2" coordorigin="6138,7" coordsize="15,0" path="m6138,7l6152,7e" filled="false" stroked="true" strokeweight=".72pt" strokecolor="#000000">
                <v:path arrowok="t"/>
              </v:shape>
            </v:group>
            <v:group style="position:absolute;left:6152;top:7;width:885;height:2" coordorigin="6152,7" coordsize="885,2">
              <v:shape style="position:absolute;left:6152;top:7;width:885;height:2" coordorigin="6152,7" coordsize="885,0" path="m6152,7l7037,7e" filled="false" stroked="true" strokeweight=".72pt" strokecolor="#000000">
                <v:path arrowok="t"/>
              </v:shape>
            </v:group>
            <v:group style="position:absolute;left:7022;top:7;width:15;height:2" coordorigin="7022,7" coordsize="15,2">
              <v:shape style="position:absolute;left:7022;top:7;width:15;height:2" coordorigin="7022,7" coordsize="15,0" path="m7022,7l7037,7e" filled="false" stroked="true" strokeweight=".72pt" strokecolor="#000000">
                <v:path arrowok="t"/>
              </v:shape>
            </v:group>
            <v:group style="position:absolute;left:7037;top:7;width:1656;height:2" coordorigin="7037,7" coordsize="1656,2">
              <v:shape style="position:absolute;left:7037;top:7;width:1656;height:2" coordorigin="7037,7" coordsize="1656,0" path="m7037,7l869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7"/>
        <w:ind w:left="514" w:right="1032"/>
        <w:jc w:val="left"/>
      </w:pPr>
      <w:r>
        <w:rPr/>
        <w:t>（</w:t>
      </w:r>
      <w:r>
        <w:rPr>
          <w:rFonts w:ascii="宋体" w:hAnsi="宋体" w:cs="宋体" w:eastAsia="宋体" w:hint="default"/>
        </w:rPr>
        <w:t>2</w:t>
      </w:r>
      <w:r>
        <w:rPr/>
        <w:t>）资产负债表日的各类金融负债的账面价值如下：</w:t>
      </w:r>
    </w:p>
    <w:p>
      <w:pPr>
        <w:spacing w:line="240" w:lineRule="auto" w:before="1"/>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2650"/>
        <w:gridCol w:w="2747"/>
        <w:gridCol w:w="1459"/>
        <w:gridCol w:w="216"/>
        <w:gridCol w:w="1451"/>
      </w:tblGrid>
      <w:tr>
        <w:trPr>
          <w:trHeight w:val="263" w:hRule="exact"/>
        </w:trPr>
        <w:tc>
          <w:tcPr>
            <w:tcW w:w="2650" w:type="dxa"/>
            <w:tcBorders>
              <w:top w:val="nil" w:sz="6" w:space="0" w:color="auto"/>
              <w:left w:val="nil" w:sz="6" w:space="0" w:color="auto"/>
              <w:bottom w:val="nil" w:sz="6" w:space="0" w:color="auto"/>
              <w:right w:val="nil" w:sz="6" w:space="0" w:color="auto"/>
            </w:tcBorders>
          </w:tcPr>
          <w:p>
            <w:pPr>
              <w:pStyle w:val="TableParagraph"/>
              <w:spacing w:line="180" w:lineRule="exact"/>
              <w:ind w:left="782"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747" w:type="dxa"/>
            <w:tcBorders>
              <w:top w:val="nil" w:sz="6" w:space="0" w:color="auto"/>
              <w:left w:val="nil" w:sz="6" w:space="0" w:color="auto"/>
              <w:bottom w:val="single" w:sz="6" w:space="0" w:color="000000"/>
              <w:right w:val="nil" w:sz="6" w:space="0" w:color="auto"/>
            </w:tcBorders>
          </w:tcPr>
          <w:p>
            <w:pPr>
              <w:pStyle w:val="TableParagraph"/>
              <w:spacing w:line="180" w:lineRule="exact"/>
              <w:ind w:left="174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59" w:type="dxa"/>
            <w:tcBorders>
              <w:top w:val="nil" w:sz="6" w:space="0" w:color="auto"/>
              <w:left w:val="nil" w:sz="6" w:space="0" w:color="auto"/>
              <w:bottom w:val="single" w:sz="6" w:space="0" w:color="000000"/>
              <w:right w:val="nil" w:sz="6" w:space="0" w:color="auto"/>
            </w:tcBorders>
          </w:tcPr>
          <w:p>
            <w:pPr/>
          </w:p>
        </w:tc>
        <w:tc>
          <w:tcPr>
            <w:tcW w:w="216"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r>
      <w:tr>
        <w:trPr>
          <w:trHeight w:val="649" w:hRule="exact"/>
        </w:trPr>
        <w:tc>
          <w:tcPr>
            <w:tcW w:w="5397" w:type="dxa"/>
            <w:gridSpan w:val="2"/>
            <w:tcBorders>
              <w:top w:val="nil" w:sz="6" w:space="0" w:color="auto"/>
              <w:left w:val="nil" w:sz="6" w:space="0" w:color="auto"/>
              <w:bottom w:val="single" w:sz="6" w:space="0" w:color="000000"/>
              <w:right w:val="nil" w:sz="6" w:space="0" w:color="auto"/>
            </w:tcBorders>
          </w:tcPr>
          <w:p>
            <w:pPr>
              <w:pStyle w:val="TableParagraph"/>
              <w:spacing w:line="316" w:lineRule="auto" w:before="17"/>
              <w:ind w:left="2928" w:right="480" w:hanging="180"/>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w:t>
            </w:r>
            <w:r>
              <w:rPr>
                <w:rFonts w:ascii="宋体" w:hAnsi="宋体" w:cs="宋体" w:eastAsia="宋体" w:hint="default"/>
                <w:b/>
                <w:bCs/>
                <w:spacing w:val="19"/>
                <w:w w:val="95"/>
                <w:sz w:val="18"/>
                <w:szCs w:val="18"/>
              </w:rPr>
              <w:t> </w:t>
            </w:r>
            <w:r>
              <w:rPr>
                <w:rFonts w:ascii="宋体" w:hAnsi="宋体" w:cs="宋体" w:eastAsia="宋体" w:hint="default"/>
                <w:b/>
                <w:bCs/>
                <w:spacing w:val="19"/>
                <w:w w:val="95"/>
                <w:sz w:val="18"/>
                <w:szCs w:val="18"/>
              </w:rPr>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7" w:hRule="exact"/>
        </w:trPr>
        <w:tc>
          <w:tcPr>
            <w:tcW w:w="265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47"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9" w:right="0"/>
              <w:jc w:val="left"/>
              <w:rPr>
                <w:rFonts w:ascii="宋体" w:hAnsi="宋体" w:cs="宋体" w:eastAsia="宋体" w:hint="default"/>
                <w:sz w:val="18"/>
                <w:szCs w:val="18"/>
              </w:rPr>
            </w:pPr>
            <w:r>
              <w:rPr>
                <w:rFonts w:ascii="宋体"/>
                <w:sz w:val="18"/>
              </w:rPr>
              <w:t>1,310,000,000.00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1,310,000,000.00</w:t>
            </w:r>
          </w:p>
        </w:tc>
      </w:tr>
      <w:tr>
        <w:trPr>
          <w:trHeight w:val="336" w:hRule="exact"/>
        </w:trPr>
        <w:tc>
          <w:tcPr>
            <w:tcW w:w="265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47"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165,375,360.83</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165,375,360.83</w:t>
            </w:r>
          </w:p>
        </w:tc>
      </w:tr>
      <w:tr>
        <w:trPr>
          <w:trHeight w:val="337" w:hRule="exact"/>
        </w:trPr>
        <w:tc>
          <w:tcPr>
            <w:tcW w:w="265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47"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588,135,857.55</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588,135,857.55</w:t>
            </w:r>
          </w:p>
        </w:tc>
      </w:tr>
      <w:tr>
        <w:trPr>
          <w:trHeight w:val="337" w:hRule="exact"/>
        </w:trPr>
        <w:tc>
          <w:tcPr>
            <w:tcW w:w="265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47"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22,323,313.92</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22,323,313.92</w:t>
            </w:r>
          </w:p>
        </w:tc>
      </w:tr>
      <w:tr>
        <w:trPr>
          <w:trHeight w:val="338" w:hRule="exact"/>
        </w:trPr>
        <w:tc>
          <w:tcPr>
            <w:tcW w:w="265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47"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10,000,000.00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10,000,000.00</w:t>
            </w:r>
          </w:p>
        </w:tc>
      </w:tr>
      <w:tr>
        <w:trPr>
          <w:trHeight w:val="337" w:hRule="exact"/>
        </w:trPr>
        <w:tc>
          <w:tcPr>
            <w:tcW w:w="265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47"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99,500,000.00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99,500,000.00</w:t>
            </w:r>
          </w:p>
        </w:tc>
      </w:tr>
      <w:tr>
        <w:trPr>
          <w:trHeight w:val="260" w:hRule="exact"/>
        </w:trPr>
        <w:tc>
          <w:tcPr>
            <w:tcW w:w="2650"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47" w:type="dxa"/>
            <w:tcBorders>
              <w:top w:val="single" w:sz="6" w:space="0" w:color="000000"/>
              <w:left w:val="nil" w:sz="6" w:space="0" w:color="auto"/>
              <w:bottom w:val="nil" w:sz="6" w:space="0" w:color="auto"/>
              <w:right w:val="nil" w:sz="6" w:space="0" w:color="auto"/>
            </w:tcBorders>
          </w:tcPr>
          <w:p>
            <w:pPr/>
          </w:p>
        </w:tc>
        <w:tc>
          <w:tcPr>
            <w:tcW w:w="1459"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left="19" w:right="0"/>
              <w:jc w:val="left"/>
              <w:rPr>
                <w:rFonts w:ascii="宋体" w:hAnsi="宋体" w:cs="宋体" w:eastAsia="宋体" w:hint="default"/>
                <w:sz w:val="18"/>
                <w:szCs w:val="18"/>
              </w:rPr>
            </w:pPr>
            <w:r>
              <w:rPr>
                <w:rFonts w:ascii="宋体"/>
                <w:sz w:val="18"/>
              </w:rPr>
              <w:t>2,195,334,532.30</w:t>
            </w:r>
          </w:p>
        </w:tc>
        <w:tc>
          <w:tcPr>
            <w:tcW w:w="216"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2,195,334,532.30</w:t>
            </w:r>
          </w:p>
        </w:tc>
      </w:tr>
    </w:tbl>
    <w:p>
      <w:pPr>
        <w:spacing w:line="240" w:lineRule="auto" w:before="12"/>
        <w:rPr>
          <w:rFonts w:ascii="宋体" w:hAnsi="宋体" w:cs="宋体" w:eastAsia="宋体" w:hint="default"/>
          <w:sz w:val="4"/>
          <w:szCs w:val="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27.65pt;height:.75pt;mso-position-horizontal-relative:char;mso-position-vertical-relative:line" coordorigin="0,0" coordsize="8553,15">
            <v:group style="position:absolute;left:7;top:7;width:2665;height:2" coordorigin="7,7" coordsize="2665,2">
              <v:shape style="position:absolute;left:7;top:7;width:2665;height:2" coordorigin="7,7" coordsize="2665,0" path="m7,7l2672,7e" filled="false" stroked="true" strokeweight=".72pt" strokecolor="#000000">
                <v:path arrowok="t"/>
              </v:shape>
            </v:group>
            <v:group style="position:absolute;left:2657;top:7;width:15;height:2" coordorigin="2657,7" coordsize="15,2">
              <v:shape style="position:absolute;left:2657;top:7;width:15;height:2" coordorigin="2657,7" coordsize="15,0" path="m2657,7l2672,7e" filled="false" stroked="true" strokeweight=".72pt" strokecolor="#000000">
                <v:path arrowok="t"/>
              </v:shape>
            </v:group>
            <v:group style="position:absolute;left:2672;top:7;width:2364;height:2" coordorigin="2672,7" coordsize="2364,2">
              <v:shape style="position:absolute;left:2672;top:7;width:2364;height:2" coordorigin="2672,7" coordsize="2364,0" path="m2672,7l5035,7e" filled="false" stroked="true" strokeweight=".72pt" strokecolor="#000000">
                <v:path arrowok="t"/>
              </v:shape>
            </v:group>
            <v:group style="position:absolute;left:5020;top:7;width:15;height:2" coordorigin="5020,7" coordsize="15,2">
              <v:shape style="position:absolute;left:5020;top:7;width:15;height:2" coordorigin="5020,7" coordsize="15,0" path="m5020,7l5035,7e" filled="false" stroked="true" strokeweight=".72pt" strokecolor="#000000">
                <v:path arrowok="t"/>
              </v:shape>
            </v:group>
            <v:group style="position:absolute;left:5035;top:7;width:1854;height:2" coordorigin="5035,7" coordsize="1854,2">
              <v:shape style="position:absolute;left:5035;top:7;width:1854;height:2" coordorigin="5035,7" coordsize="1854,0" path="m5035,7l6889,7e" filled="false" stroked="true" strokeweight=".72pt" strokecolor="#000000">
                <v:path arrowok="t"/>
              </v:shape>
            </v:group>
            <v:group style="position:absolute;left:6874;top:7;width:15;height:2" coordorigin="6874,7" coordsize="15,2">
              <v:shape style="position:absolute;left:6874;top:7;width:15;height:2" coordorigin="6874,7" coordsize="15,0" path="m6874,7l6889,7e" filled="false" stroked="true" strokeweight=".72pt" strokecolor="#000000">
                <v:path arrowok="t"/>
              </v:shape>
            </v:group>
            <v:group style="position:absolute;left:6889;top:7;width:1657;height:2" coordorigin="6889,7" coordsize="1657,2">
              <v:shape style="position:absolute;left:6889;top:7;width:1657;height:2" coordorigin="6889,7" coordsize="1657,0" path="m6889,7l854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7"/>
        <w:ind w:left="514" w:right="1032"/>
        <w:jc w:val="left"/>
      </w:pPr>
      <w:r>
        <w:rPr/>
        <w:t>（续上表）</w:t>
      </w:r>
    </w:p>
    <w:p>
      <w:pPr>
        <w:spacing w:line="240" w:lineRule="auto" w:before="13"/>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2649"/>
        <w:gridCol w:w="2354"/>
        <w:gridCol w:w="395"/>
        <w:gridCol w:w="1459"/>
        <w:gridCol w:w="216"/>
        <w:gridCol w:w="1451"/>
      </w:tblGrid>
      <w:tr>
        <w:trPr>
          <w:trHeight w:val="264"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180" w:lineRule="exact"/>
              <w:ind w:left="781"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354" w:type="dxa"/>
            <w:tcBorders>
              <w:top w:val="nil" w:sz="6" w:space="0" w:color="auto"/>
              <w:left w:val="nil" w:sz="6" w:space="0" w:color="auto"/>
              <w:bottom w:val="single" w:sz="6" w:space="0" w:color="000000"/>
              <w:right w:val="nil" w:sz="6" w:space="0" w:color="auto"/>
            </w:tcBorders>
          </w:tcPr>
          <w:p>
            <w:pPr>
              <w:pStyle w:val="TableParagraph"/>
              <w:spacing w:line="180" w:lineRule="exact"/>
              <w:ind w:right="61"/>
              <w:jc w:val="right"/>
              <w:rPr>
                <w:rFonts w:ascii="宋体" w:hAnsi="宋体" w:cs="宋体" w:eastAsia="宋体" w:hint="default"/>
                <w:sz w:val="18"/>
                <w:szCs w:val="18"/>
              </w:rPr>
            </w:pPr>
            <w:r>
              <w:rPr>
                <w:rFonts w:ascii="宋体" w:hAnsi="宋体" w:cs="宋体" w:eastAsia="宋体" w:hint="default"/>
                <w:b/>
                <w:bCs/>
                <w:w w:val="95"/>
                <w:sz w:val="18"/>
                <w:szCs w:val="18"/>
              </w:rPr>
              <w:t>期初余</w:t>
            </w:r>
            <w:r>
              <w:rPr>
                <w:rFonts w:ascii="宋体" w:hAnsi="宋体" w:cs="宋体" w:eastAsia="宋体" w:hint="default"/>
                <w:sz w:val="18"/>
                <w:szCs w:val="18"/>
              </w:rPr>
            </w:r>
          </w:p>
        </w:tc>
        <w:tc>
          <w:tcPr>
            <w:tcW w:w="395" w:type="dxa"/>
            <w:tcBorders>
              <w:top w:val="nil" w:sz="6" w:space="0" w:color="auto"/>
              <w:left w:val="nil" w:sz="6" w:space="0" w:color="auto"/>
              <w:bottom w:val="single" w:sz="6" w:space="0" w:color="000000"/>
              <w:right w:val="nil" w:sz="6" w:space="0" w:color="auto"/>
            </w:tcBorders>
          </w:tcPr>
          <w:p>
            <w:pPr>
              <w:pStyle w:val="TableParagraph"/>
              <w:spacing w:line="180" w:lineRule="exact"/>
              <w:ind w:left="-64"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459" w:type="dxa"/>
            <w:tcBorders>
              <w:top w:val="nil" w:sz="6" w:space="0" w:color="auto"/>
              <w:left w:val="nil" w:sz="6" w:space="0" w:color="auto"/>
              <w:bottom w:val="single" w:sz="6" w:space="0" w:color="000000"/>
              <w:right w:val="nil" w:sz="6" w:space="0" w:color="auto"/>
            </w:tcBorders>
          </w:tcPr>
          <w:p>
            <w:pPr/>
          </w:p>
        </w:tc>
        <w:tc>
          <w:tcPr>
            <w:tcW w:w="216"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r>
      <w:tr>
        <w:trPr>
          <w:trHeight w:val="649" w:hRule="exact"/>
        </w:trPr>
        <w:tc>
          <w:tcPr>
            <w:tcW w:w="5002" w:type="dxa"/>
            <w:gridSpan w:val="2"/>
            <w:tcBorders>
              <w:top w:val="nil" w:sz="6" w:space="0" w:color="auto"/>
              <w:left w:val="nil" w:sz="6" w:space="0" w:color="auto"/>
              <w:bottom w:val="single" w:sz="6" w:space="0" w:color="000000"/>
              <w:right w:val="nil" w:sz="6" w:space="0" w:color="auto"/>
            </w:tcBorders>
          </w:tcPr>
          <w:p>
            <w:pPr>
              <w:pStyle w:val="TableParagraph"/>
              <w:spacing w:line="316" w:lineRule="auto" w:before="17"/>
              <w:ind w:left="2927" w:right="87" w:hanging="18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6" w:hRule="exact"/>
        </w:trPr>
        <w:tc>
          <w:tcPr>
            <w:tcW w:w="2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970,000,000.00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970,000,000.00</w:t>
            </w:r>
          </w:p>
        </w:tc>
      </w:tr>
      <w:tr>
        <w:trPr>
          <w:trHeight w:val="337" w:hRule="exact"/>
        </w:trPr>
        <w:tc>
          <w:tcPr>
            <w:tcW w:w="2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13,057,835.40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13,057,835.40</w:t>
            </w:r>
          </w:p>
        </w:tc>
      </w:tr>
      <w:tr>
        <w:trPr>
          <w:trHeight w:val="337" w:hRule="exact"/>
        </w:trPr>
        <w:tc>
          <w:tcPr>
            <w:tcW w:w="2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737,416,278.55</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737,416,278.55</w:t>
            </w:r>
          </w:p>
        </w:tc>
      </w:tr>
      <w:tr>
        <w:trPr>
          <w:trHeight w:val="337" w:hRule="exact"/>
        </w:trPr>
        <w:tc>
          <w:tcPr>
            <w:tcW w:w="2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w:t>
            </w: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z w:val="18"/>
              </w:rPr>
              <w:t>17,519,460.70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17,519,460.70</w:t>
            </w:r>
          </w:p>
        </w:tc>
      </w:tr>
      <w:tr>
        <w:trPr>
          <w:trHeight w:val="337" w:hRule="exact"/>
        </w:trPr>
        <w:tc>
          <w:tcPr>
            <w:tcW w:w="2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4" w:type="dxa"/>
            <w:tcBorders>
              <w:top w:val="single" w:sz="6" w:space="0" w:color="000000"/>
              <w:left w:val="nil" w:sz="6" w:space="0" w:color="auto"/>
              <w:bottom w:val="single" w:sz="6" w:space="0" w:color="000000"/>
              <w:right w:val="nil" w:sz="6" w:space="0" w:color="auto"/>
            </w:tcBorders>
          </w:tcPr>
          <w:p>
            <w:pP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
        </w:tc>
      </w:tr>
      <w:tr>
        <w:trPr>
          <w:trHeight w:val="337" w:hRule="exact"/>
        </w:trPr>
        <w:tc>
          <w:tcPr>
            <w:tcW w:w="2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395" w:type="dxa"/>
            <w:tcBorders>
              <w:top w:val="single" w:sz="6" w:space="0" w:color="000000"/>
              <w:left w:val="nil" w:sz="6" w:space="0" w:color="auto"/>
              <w:bottom w:val="single" w:sz="6" w:space="0" w:color="000000"/>
              <w:right w:val="nil" w:sz="6" w:space="0" w:color="auto"/>
            </w:tcBorders>
          </w:tcPr>
          <w:p>
            <w:pPr/>
          </w:p>
        </w:tc>
        <w:tc>
          <w:tcPr>
            <w:tcW w:w="14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100,000,000.00</w:t>
            </w:r>
          </w:p>
        </w:tc>
        <w:tc>
          <w:tcPr>
            <w:tcW w:w="216" w:type="dxa"/>
            <w:tcBorders>
              <w:top w:val="single" w:sz="6" w:space="0" w:color="000000"/>
              <w:left w:val="nil" w:sz="6" w:space="0" w:color="auto"/>
              <w:bottom w:val="single" w:sz="6" w:space="0" w:color="000000"/>
              <w:right w:val="nil" w:sz="6" w:space="0" w:color="auto"/>
            </w:tcBorders>
          </w:tcPr>
          <w:p>
            <w:pP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100,000,000.00</w:t>
            </w:r>
          </w:p>
        </w:tc>
      </w:tr>
      <w:tr>
        <w:trPr>
          <w:trHeight w:val="260" w:hRule="exact"/>
        </w:trPr>
        <w:tc>
          <w:tcPr>
            <w:tcW w:w="2649"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395" w:type="dxa"/>
            <w:tcBorders>
              <w:top w:val="single" w:sz="6" w:space="0" w:color="000000"/>
              <w:left w:val="nil" w:sz="6" w:space="0" w:color="auto"/>
              <w:bottom w:val="nil" w:sz="6" w:space="0" w:color="auto"/>
              <w:right w:val="nil" w:sz="6" w:space="0" w:color="auto"/>
            </w:tcBorders>
          </w:tcPr>
          <w:p>
            <w:pPr/>
          </w:p>
        </w:tc>
        <w:tc>
          <w:tcPr>
            <w:tcW w:w="1459"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left="19" w:right="0"/>
              <w:jc w:val="left"/>
              <w:rPr>
                <w:rFonts w:ascii="宋体" w:hAnsi="宋体" w:cs="宋体" w:eastAsia="宋体" w:hint="default"/>
                <w:sz w:val="18"/>
                <w:szCs w:val="18"/>
              </w:rPr>
            </w:pPr>
            <w:r>
              <w:rPr>
                <w:rFonts w:ascii="宋体"/>
                <w:sz w:val="18"/>
              </w:rPr>
              <w:t>1,837,993,574.65</w:t>
            </w:r>
          </w:p>
        </w:tc>
        <w:tc>
          <w:tcPr>
            <w:tcW w:w="216"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1,837,993,574.65</w:t>
            </w:r>
          </w:p>
        </w:tc>
      </w:tr>
    </w:tbl>
    <w:p>
      <w:pPr>
        <w:spacing w:line="240" w:lineRule="auto" w:before="12"/>
        <w:rPr>
          <w:rFonts w:ascii="宋体" w:hAnsi="宋体" w:cs="宋体" w:eastAsia="宋体" w:hint="default"/>
          <w:sz w:val="4"/>
          <w:szCs w:val="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27.65pt;height:.75pt;mso-position-horizontal-relative:char;mso-position-vertical-relative:line" coordorigin="0,0" coordsize="8553,15">
            <v:group style="position:absolute;left:7;top:7;width:2664;height:2" coordorigin="7,7" coordsize="2664,2">
              <v:shape style="position:absolute;left:7;top:7;width:2664;height:2" coordorigin="7,7" coordsize="2664,0" path="m7,7l2670,7e" filled="false" stroked="true" strokeweight=".72003pt" strokecolor="#000000">
                <v:path arrowok="t"/>
              </v:shape>
            </v:group>
            <v:group style="position:absolute;left:2656;top:7;width:15;height:2" coordorigin="2656,7" coordsize="15,2">
              <v:shape style="position:absolute;left:2656;top:7;width:15;height:2" coordorigin="2656,7" coordsize="15,0" path="m2656,7l2670,7e" filled="false" stroked="true" strokeweight=".72003pt" strokecolor="#000000">
                <v:path arrowok="t"/>
              </v:shape>
            </v:group>
            <v:group style="position:absolute;left:2670;top:7;width:2365;height:2" coordorigin="2670,7" coordsize="2365,2">
              <v:shape style="position:absolute;left:2670;top:7;width:2365;height:2" coordorigin="2670,7" coordsize="2365,0" path="m2670,7l5035,7e" filled="false" stroked="true" strokeweight=".72003pt" strokecolor="#000000">
                <v:path arrowok="t"/>
              </v:shape>
            </v:group>
            <v:group style="position:absolute;left:5020;top:7;width:15;height:2" coordorigin="5020,7" coordsize="15,2">
              <v:shape style="position:absolute;left:5020;top:7;width:15;height:2" coordorigin="5020,7" coordsize="15,0" path="m5020,7l5035,7e" filled="false" stroked="true" strokeweight=".72003pt" strokecolor="#000000">
                <v:path arrowok="t"/>
              </v:shape>
            </v:group>
            <v:group style="position:absolute;left:5035;top:7;width:1854;height:2" coordorigin="5035,7" coordsize="1854,2">
              <v:shape style="position:absolute;left:5035;top:7;width:1854;height:2" coordorigin="5035,7" coordsize="1854,0" path="m5035,7l6889,7e" filled="false" stroked="true" strokeweight=".72003pt" strokecolor="#000000">
                <v:path arrowok="t"/>
              </v:shape>
            </v:group>
            <v:group style="position:absolute;left:6874;top:7;width:15;height:2" coordorigin="6874,7" coordsize="15,2">
              <v:shape style="position:absolute;left:6874;top:7;width:15;height:2" coordorigin="6874,7" coordsize="15,0" path="m6874,7l6889,7e" filled="false" stroked="true" strokeweight=".72003pt" strokecolor="#000000">
                <v:path arrowok="t"/>
              </v:shape>
            </v:group>
            <v:group style="position:absolute;left:6889;top:7;width:1657;height:2" coordorigin="6889,7" coordsize="1657,2">
              <v:shape style="position:absolute;left:6889;top:7;width:1657;height:2" coordorigin="6889,7" coordsize="1657,0" path="m6889,7l8545,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pStyle w:val="Heading4"/>
        <w:spacing w:line="240" w:lineRule="auto"/>
        <w:ind w:right="1032"/>
        <w:jc w:val="left"/>
        <w:rPr>
          <w:b w:val="0"/>
          <w:bCs w:val="0"/>
        </w:rPr>
      </w:pPr>
      <w:r>
        <w:rPr>
          <w:rFonts w:ascii="宋体" w:hAnsi="宋体" w:cs="宋体" w:eastAsia="宋体" w:hint="default"/>
        </w:rPr>
        <w:t>2.</w:t>
      </w:r>
      <w:r>
        <w:rPr>
          <w:rFonts w:ascii="宋体" w:hAnsi="宋体" w:cs="宋体" w:eastAsia="宋体" w:hint="default"/>
          <w:spacing w:val="-1"/>
        </w:rPr>
        <w:t> </w:t>
      </w:r>
      <w:r>
        <w:rPr/>
        <w:t>信用风险</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131" w:firstLine="360"/>
        <w:jc w:val="both"/>
      </w:pPr>
      <w:r>
        <w:rPr>
          <w:spacing w:val="-2"/>
        </w:rPr>
        <w:t>本公司仅与经认可的、信誉良好的第三方进行交易。按照本公司的政策，需对所有要求采用信用方式进行交易的客户进</w:t>
      </w:r>
      <w:r>
        <w:rPr/>
        <w:t> </w:t>
      </w:r>
      <w:r>
        <w:rPr>
          <w:spacing w:val="-2"/>
        </w:rPr>
        <w:t>行信用审核。另外，本公司对应收账款余额进行持续监控，以确保本公司不致面临重大坏账风险。对于未采用相关经营单位</w:t>
      </w:r>
      <w:r>
        <w:rPr>
          <w:spacing w:val="-66"/>
        </w:rPr>
        <w:t> </w:t>
      </w:r>
      <w:r>
        <w:rPr>
          <w:spacing w:val="-66"/>
        </w:rPr>
      </w:r>
      <w:r>
        <w:rPr/>
        <w:t>的记账本位币结算的交易，除非本公司信用控制部门特别批准，否则本公司不提供信用交易条件。</w:t>
      </w:r>
    </w:p>
    <w:p>
      <w:pPr>
        <w:pStyle w:val="BodyText"/>
        <w:spacing w:line="316" w:lineRule="auto" w:before="137"/>
        <w:ind w:right="1133" w:firstLine="360"/>
        <w:jc w:val="both"/>
      </w:pPr>
      <w:r>
        <w:rPr>
          <w:spacing w:val="-2"/>
        </w:rPr>
        <w:t>本公司其他金融资产包括货币资金、可供出售的金融资产、其他应收款及某些衍生工具，这些金融资产的信用风险源自</w:t>
      </w:r>
      <w:r>
        <w:rPr/>
        <w:t> 交易对手违约，最大风险敞口等于这些工具的账面金额。本公司无因提供财务担保而面临信用风险。</w:t>
      </w:r>
    </w:p>
    <w:p>
      <w:pPr>
        <w:spacing w:after="0" w:line="316" w:lineRule="auto"/>
        <w:jc w:val="both"/>
        <w:sectPr>
          <w:pgSz w:w="11910" w:h="16840"/>
          <w:pgMar w:header="917" w:footer="1019" w:top="1100" w:bottom="1200" w:left="9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316" w:lineRule="auto" w:before="44"/>
        <w:ind w:right="1131" w:firstLine="360"/>
        <w:jc w:val="both"/>
      </w:pPr>
      <w:r>
        <w:rPr>
          <w:spacing w:val="-2"/>
        </w:rPr>
        <w:t>由于本公司仅与经认可的且信誉良好的第三方进行交易，所以无需担保物。同时基于对客户的财务状况、从第三方获取</w:t>
      </w:r>
      <w:r>
        <w:rPr/>
        <w:t> </w:t>
      </w:r>
      <w:r>
        <w:rPr>
          <w:spacing w:val="-2"/>
        </w:rPr>
        <w:t>担保的可能性、信用记录及其它因素诸如目前市场状况等评估客户的信用资质并设置相应信用期。本公司会定期对客户信用</w:t>
      </w:r>
      <w:r>
        <w:rPr>
          <w:spacing w:val="-64"/>
        </w:rPr>
        <w:t> </w:t>
      </w:r>
      <w:r>
        <w:rPr>
          <w:spacing w:val="-64"/>
        </w:rPr>
      </w:r>
      <w:r>
        <w:rPr>
          <w:spacing w:val="-2"/>
        </w:rPr>
        <w:t>记录进行监控，对于信用记录不良的客户，本公司会采用书面催款、缩短信用期或取消信用期等方式，以确保本公司的整体</w:t>
      </w:r>
      <w:r>
        <w:rPr>
          <w:spacing w:val="-66"/>
        </w:rPr>
        <w:t> </w:t>
      </w:r>
      <w:r>
        <w:rPr>
          <w:spacing w:val="-66"/>
        </w:rPr>
      </w:r>
      <w:r>
        <w:rPr/>
        <w:t>信用风险在可控的范围内。</w:t>
      </w:r>
    </w:p>
    <w:p>
      <w:pPr>
        <w:pStyle w:val="BodyText"/>
        <w:spacing w:line="432" w:lineRule="exact" w:before="4"/>
        <w:ind w:left="514" w:right="1032"/>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日止，本公司应收账款前</w:t>
      </w:r>
      <w:r>
        <w:rPr>
          <w:rFonts w:ascii="宋体" w:hAnsi="宋体" w:cs="宋体" w:eastAsia="宋体" w:hint="default"/>
        </w:rPr>
        <w:t>5</w:t>
      </w:r>
      <w:r>
        <w:rPr/>
        <w:t>名占本公司应收账款总额的</w:t>
      </w:r>
      <w:r>
        <w:rPr>
          <w:rFonts w:ascii="宋体" w:hAnsi="宋体" w:cs="宋体" w:eastAsia="宋体" w:hint="default"/>
        </w:rPr>
        <w:t>9.46%</w:t>
      </w:r>
      <w:r>
        <w:rPr/>
        <w:t>。 </w:t>
      </w:r>
      <w:r>
        <w:rPr>
          <w:spacing w:val="-2"/>
        </w:rPr>
        <w:t>本公司所承受的最大信用风险敞口为资产负债表中每项金融工具的账面金额。本公司没有提供可能令本公司承受信用风</w:t>
      </w:r>
    </w:p>
    <w:p>
      <w:pPr>
        <w:pStyle w:val="BodyText"/>
        <w:spacing w:line="240" w:lineRule="auto" w:before="15"/>
        <w:ind w:right="0"/>
        <w:jc w:val="both"/>
      </w:pPr>
      <w:r>
        <w:rPr/>
        <w:t>险的担保。</w:t>
      </w:r>
    </w:p>
    <w:p>
      <w:pPr>
        <w:pStyle w:val="BodyText"/>
        <w:spacing w:line="430" w:lineRule="atLeast" w:before="2"/>
        <w:ind w:left="514" w:right="1032" w:firstLine="1"/>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流动性风险为本公司在履行与金融负债有关的义务时遇到资金短缺的风险。本公司在资金正常和紧张的情况下，确保有</w:t>
      </w:r>
    </w:p>
    <w:p>
      <w:pPr>
        <w:pStyle w:val="BodyText"/>
        <w:spacing w:line="240" w:lineRule="auto" w:before="76"/>
        <w:ind w:right="0"/>
        <w:jc w:val="both"/>
      </w:pPr>
      <w:r>
        <w:rPr/>
        <w:t>足够的流动性来履行到期债务，且与金融机构进行融资磋商，保持一定水平的备用授信额度以降低流动性风险。</w:t>
      </w:r>
    </w:p>
    <w:p>
      <w:pPr>
        <w:pStyle w:val="BodyText"/>
        <w:spacing w:line="430" w:lineRule="atLeast" w:before="2"/>
        <w:ind w:left="514" w:right="1032" w:firstLine="1"/>
        <w:jc w:val="left"/>
      </w:pPr>
      <w:r>
        <w:rPr>
          <w:rFonts w:ascii="宋体" w:hAnsi="宋体" w:cs="宋体" w:eastAsia="宋体" w:hint="default"/>
          <w:b/>
          <w:bCs/>
        </w:rPr>
        <w:t>4.</w:t>
      </w:r>
      <w:r>
        <w:rPr>
          <w:rFonts w:ascii="宋体" w:hAnsi="宋体" w:cs="宋体" w:eastAsia="宋体" w:hint="default"/>
          <w:b/>
          <w:bCs/>
        </w:rPr>
        <w:t>市场风险</w:t>
      </w:r>
      <w:r>
        <w:rPr>
          <w:rFonts w:ascii="宋体" w:hAnsi="宋体" w:cs="宋体" w:eastAsia="宋体" w:hint="default"/>
          <w:b/>
          <w:bCs/>
          <w:w w:val="99"/>
        </w:rPr>
        <w:t> </w:t>
      </w:r>
      <w:r>
        <w:rPr/>
        <w:t>市场风险，是指金融工具的公允价值或未来现金流量因市场价格变动而发生波动的风险。市场风险主要包括利率风险、</w:t>
      </w:r>
    </w:p>
    <w:p>
      <w:pPr>
        <w:pStyle w:val="BodyText"/>
        <w:spacing w:line="240" w:lineRule="auto" w:before="76"/>
        <w:ind w:right="0"/>
        <w:jc w:val="both"/>
      </w:pPr>
      <w:r>
        <w:rPr/>
        <w:t>外汇风险。</w:t>
      </w:r>
    </w:p>
    <w:p>
      <w:pPr>
        <w:pStyle w:val="BodyText"/>
        <w:spacing w:line="430" w:lineRule="atLeast" w:before="2"/>
        <w:ind w:left="514" w:right="1032"/>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利率风险是指金融工具的公允价值或未来现金流量因市场利率变动而发生波动的风险。利率风险可源于已确认的计息金</w:t>
      </w:r>
    </w:p>
    <w:p>
      <w:pPr>
        <w:pStyle w:val="BodyText"/>
        <w:spacing w:line="316" w:lineRule="auto" w:before="76"/>
        <w:ind w:right="1132"/>
        <w:jc w:val="both"/>
      </w:pPr>
      <w:r>
        <w:rPr>
          <w:spacing w:val="-2"/>
        </w:rPr>
        <w:t>融工具和未确认的金融工具（如某些贷款承诺）。本公司的利率风险主要产生于银行借款等带息债务。浮动利率的金融负债</w:t>
      </w:r>
      <w:r>
        <w:rPr>
          <w:spacing w:val="-72"/>
        </w:rPr>
        <w:t> </w:t>
      </w:r>
      <w:r>
        <w:rPr>
          <w:spacing w:val="-72"/>
        </w:rPr>
      </w:r>
      <w:r>
        <w:rPr>
          <w:spacing w:val="-2"/>
        </w:rPr>
        <w:t>使本公司面临现金流量利率风险，固定利率的金融负债使本公司面临公允价值利率风险。本公司密切关注利率变动对本公司</w:t>
      </w:r>
      <w:r>
        <w:rPr>
          <w:spacing w:val="-64"/>
        </w:rPr>
        <w:t> </w:t>
      </w:r>
      <w:r>
        <w:rPr>
          <w:spacing w:val="-64"/>
        </w:rPr>
      </w:r>
      <w:r>
        <w:rPr/>
        <w:t>利率风险的影响。</w:t>
      </w:r>
    </w:p>
    <w:p>
      <w:pPr>
        <w:pStyle w:val="BodyText"/>
        <w:spacing w:line="319" w:lineRule="auto" w:before="139"/>
        <w:ind w:right="1141" w:firstLine="360"/>
        <w:jc w:val="both"/>
      </w:pPr>
      <w:r>
        <w:rPr/>
        <w:t>（</w:t>
      </w:r>
      <w:r>
        <w:rPr>
          <w:rFonts w:ascii="宋体" w:hAnsi="宋体" w:cs="宋体" w:eastAsia="宋体" w:hint="default"/>
        </w:rPr>
        <w:t>2</w:t>
      </w:r>
      <w:r>
        <w:rPr/>
        <w:t>）外汇风险外汇风险是因汇率变动产生的风险。本公司面临的汇率变动的风险主要与本公司外币货币性资产和负债 有关。本公司主要于中国内地经营，且主要活动以人民币计价。因此，本公司所承担的外汇变动市场风险不重大。</w:t>
      </w:r>
    </w:p>
    <w:p>
      <w:pPr>
        <w:pStyle w:val="BodyText"/>
        <w:spacing w:line="240" w:lineRule="auto" w:before="137"/>
        <w:ind w:left="574" w:right="1032"/>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日止，外币金融工具折算成人民币的金额列示详见本财务报表附注七、</w:t>
      </w:r>
      <w:r>
        <w:rPr>
          <w:rFonts w:ascii="宋体" w:hAnsi="宋体" w:cs="宋体" w:eastAsia="宋体" w:hint="default"/>
        </w:rPr>
        <w:t>48.</w:t>
      </w:r>
      <w:r>
        <w:rPr/>
        <w:t>外币货币性项目所述。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0"/>
        <w:jc w:val="both"/>
        <w:rPr>
          <w:b w:val="0"/>
          <w:bCs w:val="0"/>
        </w:rPr>
      </w:pPr>
      <w:bookmarkStart w:name="十一、关联方及关联交易" w:id="303"/>
      <w:bookmarkEnd w:id="303"/>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企业的母公司情况" w:id="304"/>
      <w:bookmarkEnd w:id="30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352"/>
        <w:jc w:val="left"/>
      </w:pPr>
      <w:r>
        <w:rPr/>
        <w:t>本公司的控股股东及实际控制人为自然人，不存在有母公司的情况。 本企业最终控制方是庄重、庄小红及庄展诺。</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本企业的子公司情况" w:id="305"/>
      <w:bookmarkEnd w:id="30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本企业子公司的情况详见附注第十一节 九、</w:t>
      </w:r>
      <w:r>
        <w:rPr>
          <w:rFonts w:ascii="Times New Roman" w:hAnsi="Times New Roman" w:cs="Times New Roman" w:eastAsia="Times New Roman" w:hint="default"/>
        </w:rPr>
        <w:t>1</w:t>
      </w:r>
      <w:r>
        <w:rPr/>
        <w:t>、在子公司中的权益。</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本企业合营和联营企业情况" w:id="306"/>
      <w:bookmarkEnd w:id="30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本企业重要的合营或联营企业详见附注第十一节 九、</w:t>
      </w:r>
      <w:r>
        <w:rPr>
          <w:rFonts w:ascii="Times New Roman" w:hAnsi="Times New Roman" w:cs="Times New Roman" w:eastAsia="Times New Roman" w:hint="default"/>
        </w:rPr>
        <w:t>2</w:t>
      </w:r>
      <w:r>
        <w:rPr/>
        <w:t>、在合营安排或联营企业中的权益。</w:t>
      </w:r>
    </w:p>
    <w:p>
      <w:pPr>
        <w:spacing w:after="0" w:line="240" w:lineRule="auto"/>
        <w:jc w:val="both"/>
        <w:sectPr>
          <w:pgSz w:w="11910" w:h="16840"/>
          <w:pgMar w:header="917" w:footer="1019" w:top="1100" w:bottom="1200" w:left="980" w:right="0"/>
        </w:sectPr>
      </w:pPr>
    </w:p>
    <w:p>
      <w:pPr>
        <w:spacing w:line="240" w:lineRule="auto" w:before="8"/>
        <w:rPr>
          <w:rFonts w:ascii="宋体" w:hAnsi="宋体" w:cs="宋体" w:eastAsia="宋体" w:hint="default"/>
          <w:sz w:val="21"/>
          <w:szCs w:val="21"/>
        </w:rPr>
      </w:pPr>
    </w:p>
    <w:p>
      <w:pPr>
        <w:pStyle w:val="Heading3"/>
        <w:spacing w:line="240" w:lineRule="auto" w:before="35"/>
        <w:ind w:right="1032"/>
        <w:jc w:val="left"/>
        <w:rPr>
          <w:b w:val="0"/>
          <w:bCs w:val="0"/>
        </w:rPr>
      </w:pPr>
      <w:bookmarkStart w:name="4、其他关联方情况" w:id="307"/>
      <w:bookmarkEnd w:id="30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祝琳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庄展诺之妻</w:t>
            </w:r>
          </w:p>
        </w:tc>
      </w:tr>
    </w:tbl>
    <w:p>
      <w:pPr>
        <w:spacing w:line="240" w:lineRule="auto" w:before="2"/>
        <w:rPr>
          <w:rFonts w:ascii="宋体" w:hAnsi="宋体" w:cs="宋体" w:eastAsia="宋体" w:hint="default"/>
          <w:b/>
          <w:bCs/>
          <w:sz w:val="19"/>
          <w:szCs w:val="19"/>
        </w:rPr>
      </w:pPr>
    </w:p>
    <w:p>
      <w:pPr>
        <w:spacing w:before="35"/>
        <w:ind w:left="154" w:right="1032" w:firstLine="0"/>
        <w:jc w:val="left"/>
        <w:rPr>
          <w:rFonts w:ascii="宋体" w:hAnsi="宋体" w:cs="宋体" w:eastAsia="宋体" w:hint="default"/>
          <w:sz w:val="21"/>
          <w:szCs w:val="21"/>
        </w:rPr>
      </w:pPr>
      <w:bookmarkStart w:name="5、关联交易情况" w:id="308"/>
      <w:bookmarkEnd w:id="30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关联担保情况"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本公司作为被担保方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79"/>
              <w:jc w:val="right"/>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8"/>
              <w:jc w:val="right"/>
              <w:rPr>
                <w:rFonts w:ascii="宋体" w:hAnsi="宋体" w:cs="宋体" w:eastAsia="宋体" w:hint="default"/>
                <w:sz w:val="18"/>
                <w:szCs w:val="18"/>
              </w:rPr>
            </w:pPr>
            <w:r>
              <w:rPr>
                <w:rFonts w:ascii="宋体" w:hAnsi="宋体" w:cs="宋体" w:eastAsia="宋体" w:hint="default"/>
                <w:sz w:val="18"/>
                <w:szCs w:val="18"/>
              </w:rPr>
              <w:t>庄重、庄小红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8"/>
              <w:jc w:val="right"/>
              <w:rPr>
                <w:rFonts w:ascii="宋体" w:hAnsi="宋体" w:cs="宋体" w:eastAsia="宋体" w:hint="default"/>
                <w:sz w:val="18"/>
                <w:szCs w:val="18"/>
              </w:rPr>
            </w:pPr>
            <w:r>
              <w:rPr>
                <w:rFonts w:ascii="宋体" w:hAnsi="宋体" w:cs="宋体" w:eastAsia="宋体" w:hint="default"/>
                <w:sz w:val="18"/>
                <w:szCs w:val="18"/>
              </w:rPr>
              <w:t>庄重、庄小红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诺及中装园林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庄重、庄小红、庄展 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庄重、庄小红、庄展 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32"/>
        <w:jc w:val="left"/>
      </w:pPr>
      <w:r>
        <w:rPr/>
        <w:t>关联担保情况说明</w:t>
      </w:r>
    </w:p>
    <w:p>
      <w:pPr>
        <w:pStyle w:val="BodyText"/>
        <w:spacing w:line="316" w:lineRule="auto" w:before="116"/>
        <w:ind w:right="1139" w:firstLine="360"/>
        <w:jc w:val="both"/>
      </w:pPr>
      <w:r>
        <w:rPr>
          <w:rFonts w:ascii="宋体" w:hAnsi="宋体" w:cs="宋体" w:eastAsia="宋体" w:hint="default"/>
        </w:rPr>
        <w:t>1) 2016</w:t>
      </w:r>
      <w:r>
        <w:rPr/>
        <w:t>年</w:t>
      </w:r>
      <w:r>
        <w:rPr>
          <w:rFonts w:ascii="宋体" w:hAnsi="宋体" w:cs="宋体" w:eastAsia="宋体" w:hint="default"/>
        </w:rPr>
        <w:t>10</w:t>
      </w:r>
      <w:r>
        <w:rPr/>
        <w:t>月</w:t>
      </w:r>
      <w:r>
        <w:rPr>
          <w:rFonts w:ascii="宋体" w:hAnsi="宋体" w:cs="宋体" w:eastAsia="宋体" w:hint="default"/>
        </w:rPr>
        <w:t>11</w:t>
      </w:r>
      <w:r>
        <w:rPr/>
        <w:t>日，针对本财务报表附注七、</w:t>
      </w:r>
      <w:r>
        <w:rPr>
          <w:rFonts w:ascii="宋体" w:hAnsi="宋体" w:cs="宋体" w:eastAsia="宋体" w:hint="default"/>
        </w:rPr>
        <w:t>16</w:t>
      </w:r>
      <w:r>
        <w:rPr/>
        <w:t>之短期借款，庄重、庄小红、庄展诺及中装园林分别与中国工商银行 </w:t>
      </w:r>
      <w:r>
        <w:rPr>
          <w:spacing w:val="-2"/>
        </w:rPr>
        <w:t>股份有限公司深圳横岗支行签订《最高额保证合同》，为上述借款合同项下全部债务且在人民币五亿元整的最高余额内提供</w:t>
      </w:r>
      <w:r>
        <w:rPr>
          <w:spacing w:val="-72"/>
        </w:rPr>
        <w:t> </w:t>
      </w:r>
      <w:r>
        <w:rPr>
          <w:spacing w:val="-72"/>
        </w:rPr>
      </w:r>
      <w:r>
        <w:rPr/>
        <w:t>连带责任保证。</w:t>
      </w:r>
    </w:p>
    <w:p>
      <w:pPr>
        <w:pStyle w:val="BodyText"/>
        <w:spacing w:line="316" w:lineRule="auto" w:before="139"/>
        <w:ind w:right="1139" w:firstLine="360"/>
        <w:jc w:val="both"/>
      </w:pPr>
      <w:r>
        <w:rPr>
          <w:rFonts w:ascii="宋体" w:hAnsi="宋体" w:cs="宋体" w:eastAsia="宋体" w:hint="default"/>
        </w:rPr>
        <w:t>2) 2018</w:t>
      </w:r>
      <w:r>
        <w:rPr/>
        <w:t>年</w:t>
      </w:r>
      <w:r>
        <w:rPr>
          <w:rFonts w:ascii="宋体" w:hAnsi="宋体" w:cs="宋体" w:eastAsia="宋体" w:hint="default"/>
        </w:rPr>
        <w:t>1</w:t>
      </w:r>
      <w:r>
        <w:rPr/>
        <w:t>月</w:t>
      </w:r>
      <w:r>
        <w:rPr>
          <w:rFonts w:ascii="宋体" w:hAnsi="宋体" w:cs="宋体" w:eastAsia="宋体" w:hint="default"/>
        </w:rPr>
        <w:t>1</w:t>
      </w:r>
      <w:r>
        <w:rPr/>
        <w:t>日，针对本财务报表附注七、</w:t>
      </w:r>
      <w:r>
        <w:rPr>
          <w:rFonts w:ascii="宋体" w:hAnsi="宋体" w:cs="宋体" w:eastAsia="宋体" w:hint="default"/>
        </w:rPr>
        <w:t>16</w:t>
      </w:r>
      <w:r>
        <w:rPr/>
        <w:t>之短期借款，庄重、庄小红、庄展诺及中装园林分别与中国工商银行股 </w:t>
      </w:r>
      <w:r>
        <w:rPr>
          <w:spacing w:val="-2"/>
        </w:rPr>
        <w:t>份有限公司深圳横岗支行签订《最高额保证合同》，为上述借款合同项下全部债务且在人民币五亿元整的最高余额内提供连</w:t>
      </w:r>
      <w:r>
        <w:rPr>
          <w:spacing w:val="-72"/>
        </w:rPr>
        <w:t> </w:t>
      </w:r>
      <w:r>
        <w:rPr>
          <w:spacing w:val="-72"/>
        </w:rPr>
      </w:r>
      <w:r>
        <w:rPr/>
        <w:t>带责任保证。</w:t>
      </w:r>
    </w:p>
    <w:p>
      <w:pPr>
        <w:pStyle w:val="BodyText"/>
        <w:spacing w:line="316" w:lineRule="auto" w:before="139"/>
        <w:ind w:right="1139" w:firstLine="360"/>
        <w:jc w:val="both"/>
      </w:pPr>
      <w:r>
        <w:rPr>
          <w:rFonts w:ascii="宋体" w:hAnsi="宋体" w:cs="宋体" w:eastAsia="宋体" w:hint="default"/>
        </w:rPr>
        <w:t>3) 2017</w:t>
      </w:r>
      <w:r>
        <w:rPr/>
        <w:t>年</w:t>
      </w:r>
      <w:r>
        <w:rPr>
          <w:rFonts w:ascii="宋体" w:hAnsi="宋体" w:cs="宋体" w:eastAsia="宋体" w:hint="default"/>
        </w:rPr>
        <w:t>10</w:t>
      </w:r>
      <w:r>
        <w:rPr/>
        <w:t>月</w:t>
      </w:r>
      <w:r>
        <w:rPr>
          <w:rFonts w:ascii="宋体" w:hAnsi="宋体" w:cs="宋体" w:eastAsia="宋体" w:hint="default"/>
        </w:rPr>
        <w:t>11</w:t>
      </w:r>
      <w:r>
        <w:rPr/>
        <w:t>日，针对本财务报表附注七、</w:t>
      </w:r>
      <w:r>
        <w:rPr>
          <w:rFonts w:ascii="宋体" w:hAnsi="宋体" w:cs="宋体" w:eastAsia="宋体" w:hint="default"/>
        </w:rPr>
        <w:t>16</w:t>
      </w:r>
      <w:r>
        <w:rPr/>
        <w:t>之短期借款，庄重、庄小红、庄展诺及中装园林分别与中国光大银行 </w:t>
      </w:r>
      <w:r>
        <w:rPr>
          <w:spacing w:val="-2"/>
        </w:rPr>
        <w:t>股份有限公司深圳分行签订《最高额保证合同》，为本公司与中国光大银行股份有限公司深圳分行签订的《综合授信额度合</w:t>
      </w:r>
      <w:r>
        <w:rPr>
          <w:spacing w:val="-72"/>
        </w:rPr>
        <w:t> </w:t>
      </w:r>
      <w:r>
        <w:rPr>
          <w:spacing w:val="-72"/>
        </w:rPr>
      </w:r>
      <w:r>
        <w:rPr/>
        <w:t>同》项下的债务提供连带责任保证。</w:t>
      </w:r>
    </w:p>
    <w:p>
      <w:pPr>
        <w:pStyle w:val="BodyText"/>
        <w:spacing w:line="316" w:lineRule="auto" w:before="139"/>
        <w:ind w:right="1139" w:firstLine="360"/>
        <w:jc w:val="both"/>
      </w:pPr>
      <w:r>
        <w:rPr>
          <w:rFonts w:ascii="宋体" w:hAnsi="宋体" w:cs="宋体" w:eastAsia="宋体" w:hint="default"/>
        </w:rPr>
        <w:t>4) 2016</w:t>
      </w:r>
      <w:r>
        <w:rPr/>
        <w:t>年</w:t>
      </w:r>
      <w:r>
        <w:rPr>
          <w:rFonts w:ascii="宋体" w:hAnsi="宋体" w:cs="宋体" w:eastAsia="宋体" w:hint="default"/>
        </w:rPr>
        <w:t>10</w:t>
      </w:r>
      <w:r>
        <w:rPr/>
        <w:t>月</w:t>
      </w:r>
      <w:r>
        <w:rPr>
          <w:rFonts w:ascii="宋体" w:hAnsi="宋体" w:cs="宋体" w:eastAsia="宋体" w:hint="default"/>
        </w:rPr>
        <w:t>27</w:t>
      </w:r>
      <w:r>
        <w:rPr/>
        <w:t>日，针对本财务报表附注七、</w:t>
      </w:r>
      <w:r>
        <w:rPr>
          <w:rFonts w:ascii="宋体" w:hAnsi="宋体" w:cs="宋体" w:eastAsia="宋体" w:hint="default"/>
        </w:rPr>
        <w:t>16</w:t>
      </w:r>
      <w:r>
        <w:rPr/>
        <w:t>之短期借款，庄重、庄小红、庄展诺分别与中信银行股份有限公司深 </w:t>
      </w:r>
      <w:r>
        <w:rPr>
          <w:spacing w:val="-2"/>
        </w:rPr>
        <w:t>圳分行签订《最高额保证合同》，为本公司与中信银行股份有限公司深圳分行签订的《综合授信额度合同》项下的债务提供</w:t>
      </w:r>
      <w:r>
        <w:rPr>
          <w:spacing w:val="-72"/>
        </w:rPr>
        <w:t> </w:t>
      </w:r>
      <w:r>
        <w:rPr>
          <w:spacing w:val="-72"/>
        </w:rPr>
      </w:r>
      <w:r>
        <w:rPr/>
        <w:t>连带责任保证。</w:t>
      </w:r>
    </w:p>
    <w:p>
      <w:pPr>
        <w:pStyle w:val="BodyText"/>
        <w:spacing w:line="316" w:lineRule="auto" w:before="139"/>
        <w:ind w:right="1139" w:firstLine="360"/>
        <w:jc w:val="both"/>
      </w:pPr>
      <w:r>
        <w:rPr>
          <w:rFonts w:ascii="宋体" w:hAnsi="宋体" w:cs="宋体" w:eastAsia="宋体" w:hint="default"/>
        </w:rPr>
        <w:t>5) 2017</w:t>
      </w:r>
      <w:r>
        <w:rPr/>
        <w:t>年</w:t>
      </w:r>
      <w:r>
        <w:rPr>
          <w:rFonts w:ascii="宋体" w:hAnsi="宋体" w:cs="宋体" w:eastAsia="宋体" w:hint="default"/>
        </w:rPr>
        <w:t>5</w:t>
      </w:r>
      <w:r>
        <w:rPr/>
        <w:t>月</w:t>
      </w:r>
      <w:r>
        <w:rPr>
          <w:rFonts w:ascii="宋体" w:hAnsi="宋体" w:cs="宋体" w:eastAsia="宋体" w:hint="default"/>
        </w:rPr>
        <w:t>4</w:t>
      </w:r>
      <w:r>
        <w:rPr/>
        <w:t>日，针对本财务报表附注七、</w:t>
      </w:r>
      <w:r>
        <w:rPr>
          <w:rFonts w:ascii="宋体" w:hAnsi="宋体" w:cs="宋体" w:eastAsia="宋体" w:hint="default"/>
        </w:rPr>
        <w:t>16</w:t>
      </w:r>
      <w:r>
        <w:rPr/>
        <w:t>之短期借款，庄重、庄小红与宁波银行股份有限公司深圳分行签订《最 </w:t>
      </w:r>
      <w:r>
        <w:rPr>
          <w:spacing w:val="-3"/>
        </w:rPr>
        <w:t>高额保证合同》，为最高债权限额贰亿元内的所有债权提供连带责任保证。</w:t>
      </w:r>
    </w:p>
    <w:p>
      <w:pPr>
        <w:pStyle w:val="BodyText"/>
        <w:spacing w:line="316" w:lineRule="auto" w:before="139"/>
        <w:ind w:right="1131" w:firstLine="360"/>
        <w:jc w:val="both"/>
      </w:pPr>
      <w:r>
        <w:rPr>
          <w:rFonts w:ascii="宋体" w:hAnsi="宋体" w:cs="宋体" w:eastAsia="宋体" w:hint="default"/>
        </w:rPr>
        <w:t>6)</w:t>
      </w:r>
      <w:r>
        <w:rPr>
          <w:rFonts w:ascii="宋体" w:hAnsi="宋体" w:cs="宋体" w:eastAsia="宋体" w:hint="default"/>
          <w:spacing w:val="-34"/>
        </w:rPr>
        <w:t> </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20</w:t>
      </w:r>
      <w:r>
        <w:rPr>
          <w:spacing w:val="-1"/>
        </w:rPr>
        <w:t>日，针对本财务报表附注七、</w:t>
      </w:r>
      <w:r>
        <w:rPr>
          <w:rFonts w:ascii="宋体" w:hAnsi="宋体" w:cs="宋体" w:eastAsia="宋体" w:hint="default"/>
          <w:spacing w:val="-1"/>
        </w:rPr>
        <w:t>16</w:t>
      </w:r>
      <w:r>
        <w:rPr>
          <w:spacing w:val="-1"/>
        </w:rPr>
        <w:t>之短期借款，庄重、庄小红、庄展诺与宁波银行股份有限公司深圳分行</w:t>
      </w:r>
      <w:r>
        <w:rPr/>
        <w:t> </w:t>
      </w:r>
      <w:r>
        <w:rPr>
          <w:spacing w:val="-3"/>
        </w:rPr>
        <w:t>签订《最高额保证合同》，为最高债权限额贰亿元内的所有债权提供连带责任保证。</w:t>
      </w:r>
    </w:p>
    <w:p>
      <w:pPr>
        <w:pStyle w:val="BodyText"/>
        <w:spacing w:line="316" w:lineRule="auto" w:before="139"/>
        <w:ind w:right="1139" w:firstLine="360"/>
        <w:jc w:val="both"/>
      </w:pPr>
      <w:r>
        <w:rPr>
          <w:rFonts w:ascii="宋体" w:hAnsi="宋体" w:cs="宋体" w:eastAsia="宋体" w:hint="default"/>
        </w:rPr>
        <w:t>7) 2017</w:t>
      </w:r>
      <w:r>
        <w:rPr/>
        <w:t>年</w:t>
      </w:r>
      <w:r>
        <w:rPr>
          <w:rFonts w:ascii="宋体" w:hAnsi="宋体" w:cs="宋体" w:eastAsia="宋体" w:hint="default"/>
        </w:rPr>
        <w:t>4</w:t>
      </w:r>
      <w:r>
        <w:rPr/>
        <w:t>月</w:t>
      </w:r>
      <w:r>
        <w:rPr>
          <w:rFonts w:ascii="宋体" w:hAnsi="宋体" w:cs="宋体" w:eastAsia="宋体" w:hint="default"/>
        </w:rPr>
        <w:t>1</w:t>
      </w:r>
      <w:r>
        <w:rPr/>
        <w:t>日，针对本财务报表附注七、</w:t>
      </w:r>
      <w:r>
        <w:rPr>
          <w:rFonts w:ascii="宋体" w:hAnsi="宋体" w:cs="宋体" w:eastAsia="宋体" w:hint="default"/>
        </w:rPr>
        <w:t>16</w:t>
      </w:r>
      <w:r>
        <w:rPr/>
        <w:t>之短期借款，庄重、庄小红、庄展诺与交通银行股份有限公司深圳盐田 </w:t>
      </w:r>
      <w:r>
        <w:rPr>
          <w:spacing w:val="-2"/>
        </w:rPr>
        <w:t>支行签订《保证合同》，为本公司与交通银行股份有限公司深圳盐田支行签订的《综合授信合同》项下的债务提供连带责任</w:t>
      </w:r>
      <w:r>
        <w:rPr>
          <w:spacing w:val="-72"/>
        </w:rPr>
        <w:t> </w:t>
      </w:r>
      <w:r>
        <w:rPr>
          <w:spacing w:val="-72"/>
        </w:rPr>
      </w:r>
      <w:r>
        <w:rPr/>
        <w:t>保证。</w:t>
      </w:r>
    </w:p>
    <w:p>
      <w:pPr>
        <w:pStyle w:val="BodyText"/>
        <w:spacing w:line="316" w:lineRule="auto" w:before="139"/>
        <w:ind w:right="1130" w:firstLine="360"/>
        <w:jc w:val="both"/>
      </w:pPr>
      <w:r>
        <w:rPr>
          <w:rFonts w:ascii="宋体" w:hAnsi="宋体" w:cs="宋体" w:eastAsia="宋体" w:hint="default"/>
        </w:rPr>
        <w:t>8)</w:t>
      </w:r>
      <w:r>
        <w:rPr>
          <w:rFonts w:ascii="宋体" w:hAnsi="宋体" w:cs="宋体" w:eastAsia="宋体" w:hint="default"/>
          <w:spacing w:val="-31"/>
        </w:rPr>
        <w:t> </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spacing w:val="-1"/>
        </w:rPr>
        <w:t>日，针对本财务报表附注七、</w:t>
      </w:r>
      <w:r>
        <w:rPr>
          <w:rFonts w:ascii="宋体" w:hAnsi="宋体" w:cs="宋体" w:eastAsia="宋体" w:hint="default"/>
          <w:spacing w:val="-1"/>
        </w:rPr>
        <w:t>16</w:t>
      </w:r>
      <w:r>
        <w:rPr>
          <w:spacing w:val="-1"/>
        </w:rPr>
        <w:t>之短期借款，庄重、庄小红、庄展诺、祝琳与交通银行股份有限公司深</w:t>
      </w:r>
      <w:r>
        <w:rPr/>
        <w:t> </w:t>
      </w:r>
      <w:r>
        <w:rPr>
          <w:spacing w:val="-2"/>
        </w:rPr>
        <w:t>圳盐田支行签订《保证合同》，为本公司与交通银行股份有限公司深圳盐田支行签订的《综合授信合同》项下的债务提供连</w:t>
      </w:r>
      <w:r>
        <w:rPr>
          <w:spacing w:val="-72"/>
        </w:rPr>
        <w:t> </w:t>
      </w:r>
      <w:r>
        <w:rPr>
          <w:spacing w:val="-72"/>
        </w:rPr>
      </w:r>
      <w:r>
        <w:rPr/>
        <w:t>带责任保证。</w:t>
      </w:r>
    </w:p>
    <w:p>
      <w:pPr>
        <w:pStyle w:val="BodyText"/>
        <w:spacing w:line="319" w:lineRule="auto" w:before="139"/>
        <w:ind w:right="1130" w:firstLine="360"/>
        <w:jc w:val="both"/>
      </w:pPr>
      <w:r>
        <w:rPr>
          <w:rFonts w:ascii="宋体" w:hAnsi="宋体" w:cs="宋体" w:eastAsia="宋体" w:hint="default"/>
        </w:rPr>
        <w:t>9)</w:t>
      </w:r>
      <w:r>
        <w:rPr>
          <w:rFonts w:ascii="宋体" w:hAnsi="宋体" w:cs="宋体" w:eastAsia="宋体" w:hint="default"/>
          <w:spacing w:val="-34"/>
        </w:rPr>
        <w:t> </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30</w:t>
      </w:r>
      <w:r>
        <w:rPr>
          <w:spacing w:val="-1"/>
        </w:rPr>
        <w:t>日，针对本财务报表附注七、</w:t>
      </w:r>
      <w:r>
        <w:rPr>
          <w:rFonts w:ascii="宋体" w:hAnsi="宋体" w:cs="宋体" w:eastAsia="宋体" w:hint="default"/>
          <w:spacing w:val="-1"/>
        </w:rPr>
        <w:t>22</w:t>
      </w:r>
      <w:r>
        <w:rPr>
          <w:spacing w:val="-1"/>
        </w:rPr>
        <w:t>之一年内到期的非流动负债，庄重、庄小红、庄展诺及中装园林与华夏</w:t>
      </w:r>
      <w:r>
        <w:rPr/>
        <w:t> </w:t>
      </w:r>
      <w:r>
        <w:rPr>
          <w:spacing w:val="-1"/>
        </w:rPr>
        <w:t>银行股份有限公司深圳高新支行分别签订了《个人最高额保证合同》</w:t>
      </w:r>
      <w:r>
        <w:rPr>
          <w:spacing w:val="-26"/>
        </w:rPr>
        <w:t> </w:t>
      </w:r>
      <w:r>
        <w:rPr>
          <w:spacing w:val="-5"/>
        </w:rPr>
        <w:t>《最高额保证合同》，为本公司与华夏银行股份有限公</w:t>
      </w:r>
      <w:r>
        <w:rPr>
          <w:spacing w:val="-88"/>
        </w:rPr>
        <w:t> </w:t>
      </w:r>
      <w:r>
        <w:rPr>
          <w:spacing w:val="-88"/>
        </w:rPr>
      </w:r>
      <w:r>
        <w:rPr/>
        <w:t>司深圳高新支行签订的《最高额融资合同》项下的债务提供连带责任保证。</w:t>
      </w:r>
    </w:p>
    <w:p>
      <w:pPr>
        <w:pStyle w:val="BodyText"/>
        <w:spacing w:line="316" w:lineRule="auto" w:before="137"/>
        <w:ind w:right="1139" w:firstLine="360"/>
        <w:jc w:val="both"/>
      </w:pPr>
      <w:r>
        <w:rPr>
          <w:rFonts w:ascii="宋体" w:hAnsi="宋体" w:cs="宋体" w:eastAsia="宋体" w:hint="default"/>
        </w:rPr>
        <w:t>10</w:t>
      </w:r>
      <w:r>
        <w:rPr/>
        <w:t>）</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27</w:t>
      </w:r>
      <w:r>
        <w:rPr/>
        <w:t>日，针对本财务报表附注七、</w:t>
      </w:r>
      <w:r>
        <w:rPr>
          <w:rFonts w:ascii="宋体" w:hAnsi="宋体" w:cs="宋体" w:eastAsia="宋体" w:hint="default"/>
        </w:rPr>
        <w:t>16</w:t>
      </w:r>
      <w:r>
        <w:rPr/>
        <w:t>之短期借款，庄重、庄小红、庄展诺与中国民生银行股份有限公司深 </w:t>
      </w:r>
      <w:r>
        <w:rPr>
          <w:spacing w:val="-2"/>
        </w:rPr>
        <w:t>圳分行签订《最高额保证合同》，为本公司与中国民生银行股份有限公司深圳分行签订的《综合授信合同》项下的债务提供</w:t>
      </w:r>
      <w:r>
        <w:rPr>
          <w:spacing w:val="-72"/>
        </w:rPr>
        <w:t> </w:t>
      </w:r>
      <w:r>
        <w:rPr>
          <w:spacing w:val="-72"/>
        </w:rPr>
      </w:r>
      <w:r>
        <w:rPr/>
        <w:t>连带责任保证。</w:t>
      </w:r>
    </w:p>
    <w:p>
      <w:pPr>
        <w:spacing w:after="0" w:line="316" w:lineRule="auto"/>
        <w:jc w:val="both"/>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316" w:lineRule="auto" w:before="44"/>
        <w:ind w:right="1129" w:firstLine="360"/>
        <w:jc w:val="both"/>
      </w:pPr>
      <w:r>
        <w:rPr>
          <w:rFonts w:ascii="宋体" w:hAnsi="宋体" w:cs="宋体" w:eastAsia="宋体" w:hint="default"/>
          <w:spacing w:val="-2"/>
        </w:rPr>
        <w:t>11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日，针对本财务报表附注七、</w:t>
      </w:r>
      <w:r>
        <w:rPr>
          <w:rFonts w:ascii="宋体" w:hAnsi="宋体" w:cs="宋体" w:eastAsia="宋体" w:hint="default"/>
          <w:spacing w:val="-2"/>
        </w:rPr>
        <w:t>16</w:t>
      </w:r>
      <w:r>
        <w:rPr>
          <w:spacing w:val="-2"/>
        </w:rPr>
        <w:t>之短期借款，庄重、庄小红、庄展诺与中国民生银行股份有限公司深</w:t>
      </w:r>
      <w:r>
        <w:rPr/>
        <w:t> </w:t>
      </w:r>
      <w:r>
        <w:rPr>
          <w:spacing w:val="-2"/>
        </w:rPr>
        <w:t>圳分行签订《最高额担保合同》，为本公司与中国民生银行股份有限公司深圳分行签订的《综合授信合同》项下的债务提供</w:t>
      </w:r>
      <w:r>
        <w:rPr>
          <w:spacing w:val="-72"/>
        </w:rPr>
        <w:t> </w:t>
      </w:r>
      <w:r>
        <w:rPr>
          <w:spacing w:val="-72"/>
        </w:rPr>
      </w:r>
      <w:r>
        <w:rPr/>
        <w:t>连带责任保证。</w:t>
      </w:r>
    </w:p>
    <w:p>
      <w:pPr>
        <w:pStyle w:val="BodyText"/>
        <w:spacing w:line="319" w:lineRule="auto" w:before="139"/>
        <w:ind w:right="1032" w:firstLine="360"/>
        <w:jc w:val="left"/>
      </w:pPr>
      <w:r>
        <w:rPr>
          <w:rFonts w:ascii="宋体" w:hAnsi="宋体" w:cs="宋体" w:eastAsia="宋体" w:hint="default"/>
          <w:spacing w:val="-2"/>
        </w:rPr>
        <w:t>12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日，针对本财务报表附注七、</w:t>
      </w:r>
      <w:r>
        <w:rPr>
          <w:rFonts w:ascii="宋体" w:hAnsi="宋体" w:cs="宋体" w:eastAsia="宋体" w:hint="default"/>
          <w:spacing w:val="-2"/>
        </w:rPr>
        <w:t>16</w:t>
      </w:r>
      <w:r>
        <w:rPr>
          <w:spacing w:val="-2"/>
        </w:rPr>
        <w:t>之短期借款，庄重、庄小红、庄展诺分别与招商银行股份有限公司深圳</w:t>
      </w:r>
      <w:r>
        <w:rPr/>
        <w:t> </w:t>
      </w:r>
      <w:r>
        <w:rPr>
          <w:spacing w:val="-4"/>
        </w:rPr>
        <w:t>金色家园支行签订《最高额不可撤销担保书》，为本公司与招商银行股份有限公司深圳金色家园支行签订的《综合授信协议》</w:t>
      </w:r>
      <w:r>
        <w:rPr>
          <w:spacing w:val="-44"/>
        </w:rPr>
        <w:t> </w:t>
      </w:r>
      <w:r>
        <w:rPr>
          <w:spacing w:val="-44"/>
        </w:rPr>
      </w:r>
      <w:r>
        <w:rPr/>
        <w:t>项下的债务提供连带责任保证。</w:t>
      </w:r>
    </w:p>
    <w:p>
      <w:pPr>
        <w:pStyle w:val="BodyText"/>
        <w:spacing w:line="316" w:lineRule="auto" w:before="137"/>
        <w:ind w:right="1032" w:firstLine="360"/>
        <w:jc w:val="left"/>
      </w:pPr>
      <w:r>
        <w:rPr>
          <w:rFonts w:ascii="宋体" w:hAnsi="宋体" w:cs="宋体" w:eastAsia="宋体" w:hint="default"/>
          <w:spacing w:val="-2"/>
        </w:rPr>
        <w:t>13</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日，针对本财务报表附注七、</w:t>
      </w:r>
      <w:r>
        <w:rPr>
          <w:rFonts w:ascii="宋体" w:hAnsi="宋体" w:cs="宋体" w:eastAsia="宋体" w:hint="default"/>
          <w:spacing w:val="-2"/>
        </w:rPr>
        <w:t>16</w:t>
      </w:r>
      <w:r>
        <w:rPr>
          <w:spacing w:val="-2"/>
        </w:rPr>
        <w:t>之短期借款，庄重、庄小红、庄展诺分别与招商银行股份有限公司深圳</w:t>
      </w:r>
      <w:r>
        <w:rPr/>
        <w:t> </w:t>
      </w:r>
      <w:r>
        <w:rPr>
          <w:spacing w:val="-4"/>
        </w:rPr>
        <w:t>金色家园支行签订《最高额不可撤销担保书》，为本公司与招商银行股份有限公司深圳金色家园支行签订的《综合授信协议》</w:t>
      </w:r>
      <w:r>
        <w:rPr>
          <w:spacing w:val="-44"/>
        </w:rPr>
        <w:t> </w:t>
      </w:r>
      <w:r>
        <w:rPr>
          <w:spacing w:val="-44"/>
        </w:rPr>
      </w:r>
      <w:r>
        <w:rPr/>
        <w:t>项下的债务提供连带责任保证。</w:t>
      </w:r>
    </w:p>
    <w:p>
      <w:pPr>
        <w:pStyle w:val="BodyText"/>
        <w:spacing w:line="316" w:lineRule="auto" w:before="139"/>
        <w:ind w:right="1139" w:firstLine="360"/>
        <w:jc w:val="both"/>
      </w:pPr>
      <w:r>
        <w:rPr>
          <w:rFonts w:ascii="宋体" w:hAnsi="宋体" w:cs="宋体" w:eastAsia="宋体" w:hint="default"/>
        </w:rPr>
        <w:t>14) 2017</w:t>
      </w:r>
      <w:r>
        <w:rPr/>
        <w:t>年</w:t>
      </w:r>
      <w:r>
        <w:rPr>
          <w:rFonts w:ascii="宋体" w:hAnsi="宋体" w:cs="宋体" w:eastAsia="宋体" w:hint="default"/>
        </w:rPr>
        <w:t>2</w:t>
      </w:r>
      <w:r>
        <w:rPr/>
        <w:t>月</w:t>
      </w:r>
      <w:r>
        <w:rPr>
          <w:rFonts w:ascii="宋体" w:hAnsi="宋体" w:cs="宋体" w:eastAsia="宋体" w:hint="default"/>
        </w:rPr>
        <w:t>15</w:t>
      </w:r>
      <w:r>
        <w:rPr/>
        <w:t>日，针对本财务报表附注七、</w:t>
      </w:r>
      <w:r>
        <w:rPr>
          <w:rFonts w:ascii="宋体" w:hAnsi="宋体" w:cs="宋体" w:eastAsia="宋体" w:hint="default"/>
        </w:rPr>
        <w:t>16</w:t>
      </w:r>
      <w:r>
        <w:rPr/>
        <w:t>之短期借款，庄重、庄小红、庄展诺与汇丰银行（中国）有限公司深 </w:t>
      </w:r>
      <w:r>
        <w:rPr>
          <w:spacing w:val="-2"/>
        </w:rPr>
        <w:t>圳分行签订《个人保证书》，为本公司与汇丰银行（中国）有限公司深圳分行签订的《授信函》项下的债务提供连带责任，</w:t>
      </w:r>
      <w:r>
        <w:rPr>
          <w:spacing w:val="-72"/>
        </w:rPr>
        <w:t> </w:t>
      </w:r>
      <w:r>
        <w:rPr>
          <w:spacing w:val="-72"/>
        </w:rPr>
      </w:r>
      <w:r>
        <w:rPr/>
        <w:t>该保证下的借款在</w:t>
      </w:r>
      <w:r>
        <w:rPr>
          <w:rFonts w:ascii="宋体" w:hAnsi="宋体" w:cs="宋体" w:eastAsia="宋体" w:hint="default"/>
        </w:rPr>
        <w:t>2018</w:t>
      </w:r>
      <w:r>
        <w:rPr/>
        <w:t>年到期后自动续期。</w:t>
      </w:r>
    </w:p>
    <w:p>
      <w:pPr>
        <w:pStyle w:val="BodyText"/>
        <w:spacing w:line="316" w:lineRule="auto" w:before="139"/>
        <w:ind w:right="1131" w:firstLine="360"/>
        <w:jc w:val="right"/>
      </w:pPr>
      <w:r>
        <w:rPr>
          <w:rFonts w:ascii="宋体" w:hAnsi="宋体" w:cs="宋体" w:eastAsia="宋体" w:hint="default"/>
        </w:rPr>
        <w:t>15) 2018</w:t>
      </w:r>
      <w:r>
        <w:rPr/>
        <w:t>年</w:t>
      </w:r>
      <w:r>
        <w:rPr>
          <w:rFonts w:ascii="宋体" w:hAnsi="宋体" w:cs="宋体" w:eastAsia="宋体" w:hint="default"/>
        </w:rPr>
        <w:t>3</w:t>
      </w:r>
      <w:r>
        <w:rPr/>
        <w:t>月</w:t>
      </w:r>
      <w:r>
        <w:rPr>
          <w:rFonts w:ascii="宋体" w:hAnsi="宋体" w:cs="宋体" w:eastAsia="宋体" w:hint="default"/>
        </w:rPr>
        <w:t>23</w:t>
      </w:r>
      <w:r>
        <w:rPr/>
        <w:t>日，针对本财务报表附注七、</w:t>
      </w:r>
      <w:r>
        <w:rPr>
          <w:rFonts w:ascii="宋体" w:hAnsi="宋体" w:cs="宋体" w:eastAsia="宋体" w:hint="default"/>
        </w:rPr>
        <w:t>16</w:t>
      </w:r>
      <w:r>
        <w:rPr/>
        <w:t>之短期借款，庄重、庄小红、庄展诺与汇丰银行（中国）有限公司深 </w:t>
      </w:r>
      <w:r>
        <w:rPr>
          <w:spacing w:val="-2"/>
        </w:rPr>
        <w:t>圳分行签订《个人保证书》，为本公司与汇丰银行（中国）有限公司深圳分行签订的《授信函》项下的债务提供连带责任。</w:t>
      </w:r>
    </w:p>
    <w:p>
      <w:pPr>
        <w:pStyle w:val="BodyText"/>
        <w:spacing w:line="316" w:lineRule="auto" w:before="139"/>
        <w:ind w:right="1131" w:firstLine="360"/>
        <w:jc w:val="both"/>
      </w:pPr>
      <w:r>
        <w:rPr>
          <w:rFonts w:ascii="宋体" w:hAnsi="宋体" w:cs="宋体" w:eastAsia="宋体" w:hint="default"/>
        </w:rPr>
        <w:t>16)</w:t>
      </w:r>
      <w:r>
        <w:rPr>
          <w:rFonts w:ascii="宋体" w:hAnsi="宋体" w:cs="宋体" w:eastAsia="宋体" w:hint="default"/>
          <w:spacing w:val="-35"/>
        </w:rPr>
        <w:t> </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5</w:t>
      </w:r>
      <w:r>
        <w:rPr>
          <w:spacing w:val="-1"/>
        </w:rPr>
        <w:t>日，针对本财务报表附注七、</w:t>
      </w:r>
      <w:r>
        <w:rPr>
          <w:rFonts w:ascii="宋体" w:hAnsi="宋体" w:cs="宋体" w:eastAsia="宋体" w:hint="default"/>
          <w:spacing w:val="-1"/>
        </w:rPr>
        <w:t>16</w:t>
      </w:r>
      <w:r>
        <w:rPr>
          <w:spacing w:val="-1"/>
        </w:rPr>
        <w:t>之短期借款，庄重、庄小红、庄展诺及祝琳与中国银行股份有限公司深</w:t>
      </w:r>
      <w:r>
        <w:rPr/>
        <w:t> </w:t>
      </w:r>
      <w:r>
        <w:rPr>
          <w:spacing w:val="-2"/>
        </w:rPr>
        <w:t>圳中心区支行签订《最高额保证合同》，为本公司与中国银行股份有限公司深圳中心区支行签订的《授信额度协议》项下的</w:t>
      </w:r>
      <w:r>
        <w:rPr>
          <w:spacing w:val="-72"/>
        </w:rPr>
        <w:t> </w:t>
      </w:r>
      <w:r>
        <w:rPr>
          <w:spacing w:val="-72"/>
        </w:rPr>
      </w:r>
      <w:r>
        <w:rPr/>
        <w:t>债务提供连带责任保证。</w:t>
      </w:r>
    </w:p>
    <w:p>
      <w:pPr>
        <w:pStyle w:val="BodyText"/>
        <w:spacing w:line="316" w:lineRule="auto" w:before="139"/>
        <w:ind w:right="1139" w:firstLine="360"/>
        <w:jc w:val="both"/>
      </w:pPr>
      <w:r>
        <w:rPr>
          <w:rFonts w:ascii="宋体" w:hAnsi="宋体" w:cs="宋体" w:eastAsia="宋体" w:hint="default"/>
        </w:rPr>
        <w:t>17) 2018</w:t>
      </w:r>
      <w:r>
        <w:rPr/>
        <w:t>年</w:t>
      </w:r>
      <w:r>
        <w:rPr>
          <w:rFonts w:ascii="宋体" w:hAnsi="宋体" w:cs="宋体" w:eastAsia="宋体" w:hint="default"/>
        </w:rPr>
        <w:t>7</w:t>
      </w:r>
      <w:r>
        <w:rPr/>
        <w:t>月</w:t>
      </w:r>
      <w:r>
        <w:rPr>
          <w:rFonts w:ascii="宋体" w:hAnsi="宋体" w:cs="宋体" w:eastAsia="宋体" w:hint="default"/>
        </w:rPr>
        <w:t>20</w:t>
      </w:r>
      <w:r>
        <w:rPr/>
        <w:t>日，针对本财务报表附注七、</w:t>
      </w:r>
      <w:r>
        <w:rPr>
          <w:rFonts w:ascii="宋体" w:hAnsi="宋体" w:cs="宋体" w:eastAsia="宋体" w:hint="default"/>
        </w:rPr>
        <w:t>16</w:t>
      </w:r>
      <w:r>
        <w:rPr/>
        <w:t>之短期借款，庄重、庄小红、庄展诺与中国银行股份有限公司深圳中 </w:t>
      </w:r>
      <w:r>
        <w:rPr>
          <w:spacing w:val="-2"/>
        </w:rPr>
        <w:t>心区支行签订《最高额保证合同》，为本公司与中国银行股份有限公司深圳中心区支行签订的《授信额度协议》项下的债务</w:t>
      </w:r>
      <w:r>
        <w:rPr>
          <w:spacing w:val="-72"/>
        </w:rPr>
        <w:t> </w:t>
      </w:r>
      <w:r>
        <w:rPr>
          <w:spacing w:val="-72"/>
        </w:rPr>
      </w:r>
      <w:r>
        <w:rPr/>
        <w:t>提供连带责任保证。</w:t>
      </w:r>
    </w:p>
    <w:p>
      <w:pPr>
        <w:pStyle w:val="BodyText"/>
        <w:spacing w:line="316" w:lineRule="auto" w:before="139"/>
        <w:ind w:right="1139" w:firstLine="360"/>
        <w:jc w:val="both"/>
      </w:pPr>
      <w:r>
        <w:rPr>
          <w:rFonts w:ascii="宋体" w:hAnsi="宋体" w:cs="宋体" w:eastAsia="宋体" w:hint="default"/>
        </w:rPr>
        <w:t>18) 2018</w:t>
      </w:r>
      <w:r>
        <w:rPr/>
        <w:t>年</w:t>
      </w:r>
      <w:r>
        <w:rPr>
          <w:rFonts w:ascii="宋体" w:hAnsi="宋体" w:cs="宋体" w:eastAsia="宋体" w:hint="default"/>
        </w:rPr>
        <w:t>4</w:t>
      </w:r>
      <w:r>
        <w:rPr/>
        <w:t>月</w:t>
      </w:r>
      <w:r>
        <w:rPr>
          <w:rFonts w:ascii="宋体" w:hAnsi="宋体" w:cs="宋体" w:eastAsia="宋体" w:hint="default"/>
        </w:rPr>
        <w:t>14</w:t>
      </w:r>
      <w:r>
        <w:rPr/>
        <w:t>日，针对本财务报表附注七、</w:t>
      </w:r>
      <w:r>
        <w:rPr>
          <w:rFonts w:ascii="宋体" w:hAnsi="宋体" w:cs="宋体" w:eastAsia="宋体" w:hint="default"/>
        </w:rPr>
        <w:t>16</w:t>
      </w:r>
      <w:r>
        <w:rPr/>
        <w:t>之短期借款，庄重、庄小红、庄展诺与上海浦东发展银行股份有限公 </w:t>
      </w:r>
      <w:r>
        <w:rPr>
          <w:spacing w:val="-2"/>
        </w:rPr>
        <w:t>司深圳分行签订《最高额保证合同》，为本公司与上海浦东发展银行股份有限公司深圳分行签订的《授信额度合同》项下的</w:t>
      </w:r>
      <w:r>
        <w:rPr>
          <w:spacing w:val="-72"/>
        </w:rPr>
        <w:t> </w:t>
      </w:r>
      <w:r>
        <w:rPr>
          <w:spacing w:val="-72"/>
        </w:rPr>
      </w:r>
      <w:r>
        <w:rPr/>
        <w:t>债务提供连带责任保证。</w:t>
      </w:r>
    </w:p>
    <w:p>
      <w:pPr>
        <w:pStyle w:val="BodyText"/>
        <w:spacing w:line="316" w:lineRule="auto" w:before="139"/>
        <w:ind w:right="1131" w:firstLine="360"/>
        <w:jc w:val="both"/>
      </w:pPr>
      <w:r>
        <w:rPr>
          <w:rFonts w:ascii="宋体" w:hAnsi="宋体" w:cs="宋体" w:eastAsia="宋体" w:hint="default"/>
        </w:rPr>
        <w:t>19)</w:t>
      </w:r>
      <w:r>
        <w:rPr>
          <w:rFonts w:ascii="宋体" w:hAnsi="宋体" w:cs="宋体" w:eastAsia="宋体" w:hint="default"/>
          <w:spacing w:val="-34"/>
        </w:rPr>
        <w:t> </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12</w:t>
      </w:r>
      <w:r>
        <w:rPr>
          <w:spacing w:val="-1"/>
        </w:rPr>
        <w:t>日，针对本财务报表附注七、</w:t>
      </w:r>
      <w:r>
        <w:rPr>
          <w:rFonts w:ascii="宋体" w:hAnsi="宋体" w:cs="宋体" w:eastAsia="宋体" w:hint="default"/>
          <w:spacing w:val="-1"/>
        </w:rPr>
        <w:t>16</w:t>
      </w:r>
      <w:r>
        <w:rPr>
          <w:spacing w:val="-1"/>
        </w:rPr>
        <w:t>之短期借款，庄重、庄小红、庄展诺与兴业银行股份有限公司深圳分</w:t>
      </w:r>
      <w:r>
        <w:rPr/>
        <w:t> </w:t>
      </w:r>
      <w:r>
        <w:rPr>
          <w:spacing w:val="-2"/>
        </w:rPr>
        <w:t>行签订《最高额保证合同》，为本公司与兴业银行股份有限公司深圳分行签订的《基本额度授信合同》项下的债务提供连带</w:t>
      </w:r>
      <w:r>
        <w:rPr>
          <w:spacing w:val="-72"/>
        </w:rPr>
        <w:t> </w:t>
      </w:r>
      <w:r>
        <w:rPr>
          <w:spacing w:val="-72"/>
        </w:rPr>
      </w:r>
      <w:r>
        <w:rPr/>
        <w:t>责任保证。</w:t>
      </w:r>
    </w:p>
    <w:p>
      <w:pPr>
        <w:pStyle w:val="BodyText"/>
        <w:spacing w:line="316" w:lineRule="auto" w:before="139"/>
        <w:ind w:right="1130" w:firstLine="360"/>
        <w:jc w:val="both"/>
      </w:pPr>
      <w:r>
        <w:rPr>
          <w:rFonts w:ascii="宋体" w:hAnsi="宋体" w:cs="宋体" w:eastAsia="宋体" w:hint="default"/>
        </w:rPr>
        <w:t>20)</w:t>
      </w:r>
      <w:r>
        <w:rPr>
          <w:rFonts w:ascii="宋体" w:hAnsi="宋体" w:cs="宋体" w:eastAsia="宋体" w:hint="default"/>
          <w:spacing w:val="-32"/>
        </w:rPr>
        <w:t> </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10</w:t>
      </w:r>
      <w:r>
        <w:rPr>
          <w:spacing w:val="-1"/>
        </w:rPr>
        <w:t>日，针对本财务报表附注七、</w:t>
      </w:r>
      <w:r>
        <w:rPr>
          <w:rFonts w:ascii="宋体" w:hAnsi="宋体" w:cs="宋体" w:eastAsia="宋体" w:hint="default"/>
          <w:spacing w:val="-1"/>
        </w:rPr>
        <w:t>16</w:t>
      </w:r>
      <w:r>
        <w:rPr>
          <w:spacing w:val="-1"/>
        </w:rPr>
        <w:t>之短期借款、附注六、</w:t>
      </w:r>
      <w:r>
        <w:rPr>
          <w:rFonts w:ascii="宋体" w:hAnsi="宋体" w:cs="宋体" w:eastAsia="宋体" w:hint="default"/>
          <w:spacing w:val="-1"/>
        </w:rPr>
        <w:t>23</w:t>
      </w:r>
      <w:r>
        <w:rPr>
          <w:spacing w:val="-1"/>
        </w:rPr>
        <w:t>之长期借款，庄重、庄小红、庄展诺与中国</w:t>
      </w:r>
      <w:r>
        <w:rPr/>
        <w:t> </w:t>
      </w:r>
      <w:r>
        <w:rPr>
          <w:spacing w:val="-2"/>
        </w:rPr>
        <w:t>农业银行股份有限公司深圳东部支行签订《最高额保证合同》，为本公司与中国农业银行股份有限公司深圳东部支行签订的</w:t>
      </w:r>
    </w:p>
    <w:p>
      <w:pPr>
        <w:pStyle w:val="BodyText"/>
        <w:spacing w:line="240" w:lineRule="auto" w:before="19"/>
        <w:ind w:right="1032"/>
        <w:jc w:val="left"/>
      </w:pPr>
      <w:r>
        <w:rPr/>
        <w:t>《最高额综合授信合同》项下的债务提供连带责任保证。</w:t>
      </w:r>
    </w:p>
    <w:p>
      <w:pPr>
        <w:spacing w:line="240" w:lineRule="auto" w:before="0"/>
        <w:rPr>
          <w:rFonts w:ascii="宋体" w:hAnsi="宋体" w:cs="宋体" w:eastAsia="宋体" w:hint="default"/>
          <w:sz w:val="15"/>
          <w:szCs w:val="15"/>
        </w:rPr>
      </w:pPr>
    </w:p>
    <w:p>
      <w:pPr>
        <w:pStyle w:val="BodyText"/>
        <w:spacing w:line="316" w:lineRule="auto"/>
        <w:ind w:right="1139" w:firstLine="360"/>
        <w:jc w:val="both"/>
      </w:pPr>
      <w:r>
        <w:rPr>
          <w:rFonts w:ascii="宋体" w:hAnsi="宋体" w:cs="宋体" w:eastAsia="宋体" w:hint="default"/>
        </w:rPr>
        <w:t>21) 2018</w:t>
      </w:r>
      <w:r>
        <w:rPr/>
        <w:t>年</w:t>
      </w:r>
      <w:r>
        <w:rPr>
          <w:rFonts w:ascii="宋体" w:hAnsi="宋体" w:cs="宋体" w:eastAsia="宋体" w:hint="default"/>
        </w:rPr>
        <w:t>8</w:t>
      </w:r>
      <w:r>
        <w:rPr/>
        <w:t>月</w:t>
      </w:r>
      <w:r>
        <w:rPr>
          <w:rFonts w:ascii="宋体" w:hAnsi="宋体" w:cs="宋体" w:eastAsia="宋体" w:hint="default"/>
        </w:rPr>
        <w:t>22</w:t>
      </w:r>
      <w:r>
        <w:rPr/>
        <w:t>日，针对本财务报表附注七、</w:t>
      </w:r>
      <w:r>
        <w:rPr>
          <w:rFonts w:ascii="宋体" w:hAnsi="宋体" w:cs="宋体" w:eastAsia="宋体" w:hint="default"/>
        </w:rPr>
        <w:t>16</w:t>
      </w:r>
      <w:r>
        <w:rPr/>
        <w:t>之短期借款，庄重、庄小红、庄展诺、祝琳与长沙银行股份有限公司 </w:t>
      </w:r>
      <w:r>
        <w:rPr>
          <w:spacing w:val="-2"/>
        </w:rPr>
        <w:t>广州分行签订《最高额保证合同》，为本公司与长沙银行股份有限公司广州分行签订的《授信额度合同》项下的债务提供连</w:t>
      </w:r>
      <w:r>
        <w:rPr>
          <w:spacing w:val="-72"/>
        </w:rPr>
        <w:t> </w:t>
      </w:r>
      <w:r>
        <w:rPr>
          <w:spacing w:val="-72"/>
        </w:rPr>
      </w:r>
      <w:r>
        <w:rPr/>
        <w:t>带责任保证。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right="1032"/>
        <w:jc w:val="left"/>
        <w:rPr>
          <w:b w:val="0"/>
          <w:bCs w:val="0"/>
        </w:rPr>
      </w:pPr>
      <w:bookmarkStart w:name="十二、承诺及或有事项" w:id="310"/>
      <w:bookmarkEnd w:id="310"/>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重要承诺事项" w:id="311"/>
      <w:bookmarkEnd w:id="31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6972" w:hanging="360"/>
        <w:jc w:val="left"/>
      </w:pPr>
      <w:r>
        <w:rPr/>
        <w:t>资产负债表日存在的重要承诺 经营租赁（承租人）最低租赁付款额情况：</w:t>
      </w:r>
    </w:p>
    <w:p>
      <w:pPr>
        <w:spacing w:after="0" w:line="357" w:lineRule="auto"/>
        <w:jc w:val="left"/>
        <w:sectPr>
          <w:pgSz w:w="11910" w:h="16840"/>
          <w:pgMar w:header="917" w:footer="1019" w:top="1100" w:bottom="1200" w:left="980" w:right="0"/>
        </w:sectPr>
      </w:pPr>
    </w:p>
    <w:tbl>
      <w:tblPr>
        <w:tblW w:w="0" w:type="auto"/>
        <w:jc w:val="left"/>
        <w:tblInd w:w="438" w:type="dxa"/>
        <w:tblLayout w:type="fixed"/>
        <w:tblCellMar>
          <w:top w:w="0" w:type="dxa"/>
          <w:left w:w="0" w:type="dxa"/>
          <w:bottom w:w="0" w:type="dxa"/>
          <w:right w:w="0" w:type="dxa"/>
        </w:tblCellMar>
        <w:tblLook w:val="01E0"/>
      </w:tblPr>
      <w:tblGrid>
        <w:gridCol w:w="6856"/>
        <w:gridCol w:w="1276"/>
      </w:tblGrid>
      <w:tr>
        <w:trPr>
          <w:trHeight w:val="664" w:hRule="exact"/>
        </w:trPr>
        <w:tc>
          <w:tcPr>
            <w:tcW w:w="685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12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10"/>
              <w:jc w:val="right"/>
              <w:rPr>
                <w:rFonts w:ascii="宋体" w:hAnsi="宋体" w:cs="宋体" w:eastAsia="宋体" w:hint="default"/>
                <w:sz w:val="18"/>
                <w:szCs w:val="18"/>
              </w:rPr>
            </w:pPr>
            <w:r>
              <w:rPr>
                <w:rFonts w:ascii="宋体" w:hAnsi="宋体" w:cs="宋体" w:eastAsia="宋体" w:hint="default"/>
                <w:b/>
                <w:bCs/>
                <w:w w:val="95"/>
                <w:sz w:val="18"/>
                <w:szCs w:val="18"/>
              </w:rPr>
              <w:t>最低租赁付款额</w:t>
            </w:r>
            <w:r>
              <w:rPr>
                <w:rFonts w:ascii="宋体" w:hAnsi="宋体" w:cs="宋体" w:eastAsia="宋体" w:hint="default"/>
                <w:sz w:val="18"/>
                <w:szCs w:val="18"/>
              </w:rPr>
            </w:r>
          </w:p>
        </w:tc>
      </w:tr>
      <w:tr>
        <w:trPr>
          <w:trHeight w:val="347" w:hRule="exact"/>
        </w:trPr>
        <w:tc>
          <w:tcPr>
            <w:tcW w:w="685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12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12,719,503.72</w:t>
            </w:r>
          </w:p>
        </w:tc>
      </w:tr>
      <w:tr>
        <w:trPr>
          <w:trHeight w:val="347" w:hRule="exact"/>
        </w:trPr>
        <w:tc>
          <w:tcPr>
            <w:tcW w:w="685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年以上 </w:t>
            </w:r>
            <w:r>
              <w:rPr>
                <w:rFonts w:ascii="宋体" w:hAnsi="宋体" w:cs="宋体" w:eastAsia="宋体" w:hint="default"/>
                <w:sz w:val="18"/>
                <w:szCs w:val="18"/>
              </w:rPr>
              <w:t>2 </w:t>
            </w:r>
            <w:r>
              <w:rPr>
                <w:rFonts w:ascii="宋体" w:hAnsi="宋体" w:cs="宋体" w:eastAsia="宋体" w:hint="default"/>
                <w:sz w:val="18"/>
                <w:szCs w:val="18"/>
              </w:rPr>
              <w:t>年以内（含</w:t>
            </w:r>
            <w:r>
              <w:rPr>
                <w:rFonts w:ascii="宋体" w:hAnsi="宋体" w:cs="宋体" w:eastAsia="宋体" w:hint="default"/>
                <w:sz w:val="18"/>
                <w:szCs w:val="18"/>
              </w:rPr>
              <w:t>2</w:t>
            </w:r>
            <w:r>
              <w:rPr>
                <w:rFonts w:ascii="宋体" w:hAnsi="宋体" w:cs="宋体" w:eastAsia="宋体" w:hint="default"/>
                <w:sz w:val="18"/>
                <w:szCs w:val="18"/>
              </w:rPr>
              <w:t>年）</w:t>
            </w:r>
          </w:p>
        </w:tc>
        <w:tc>
          <w:tcPr>
            <w:tcW w:w="12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7,407,739.87</w:t>
            </w:r>
          </w:p>
        </w:tc>
      </w:tr>
      <w:tr>
        <w:trPr>
          <w:trHeight w:val="348" w:hRule="exact"/>
        </w:trPr>
        <w:tc>
          <w:tcPr>
            <w:tcW w:w="685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年以上 </w:t>
            </w:r>
            <w:r>
              <w:rPr>
                <w:rFonts w:ascii="宋体" w:hAnsi="宋体" w:cs="宋体" w:eastAsia="宋体" w:hint="default"/>
                <w:sz w:val="18"/>
                <w:szCs w:val="18"/>
              </w:rPr>
              <w:t>3 </w:t>
            </w:r>
            <w:r>
              <w:rPr>
                <w:rFonts w:ascii="宋体" w:hAnsi="宋体" w:cs="宋体" w:eastAsia="宋体" w:hint="default"/>
                <w:sz w:val="18"/>
                <w:szCs w:val="18"/>
              </w:rPr>
              <w:t>年以内（含</w:t>
            </w:r>
            <w:r>
              <w:rPr>
                <w:rFonts w:ascii="宋体" w:hAnsi="宋体" w:cs="宋体" w:eastAsia="宋体" w:hint="default"/>
                <w:sz w:val="18"/>
                <w:szCs w:val="18"/>
              </w:rPr>
              <w:t>3</w:t>
            </w:r>
            <w:r>
              <w:rPr>
                <w:rFonts w:ascii="宋体" w:hAnsi="宋体" w:cs="宋体" w:eastAsia="宋体" w:hint="default"/>
                <w:sz w:val="18"/>
                <w:szCs w:val="18"/>
              </w:rPr>
              <w:t>年）</w:t>
            </w:r>
          </w:p>
        </w:tc>
        <w:tc>
          <w:tcPr>
            <w:tcW w:w="127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1,771,973.08</w:t>
            </w:r>
          </w:p>
        </w:tc>
      </w:tr>
      <w:tr>
        <w:trPr>
          <w:trHeight w:val="347" w:hRule="exact"/>
        </w:trPr>
        <w:tc>
          <w:tcPr>
            <w:tcW w:w="685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w:t>
            </w:r>
          </w:p>
        </w:tc>
        <w:tc>
          <w:tcPr>
            <w:tcW w:w="127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z w:val="18"/>
              </w:rPr>
              <w:t>1,183,075.87</w:t>
            </w:r>
          </w:p>
        </w:tc>
      </w:tr>
      <w:tr>
        <w:trPr>
          <w:trHeight w:val="271" w:hRule="exact"/>
        </w:trPr>
        <w:tc>
          <w:tcPr>
            <w:tcW w:w="6856" w:type="dxa"/>
            <w:tcBorders>
              <w:top w:val="single" w:sz="6"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nil" w:sz="6" w:space="0" w:color="auto"/>
              <w:bottom w:val="single" w:sz="4"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23,082,292.54</w:t>
            </w:r>
          </w:p>
        </w:tc>
      </w:tr>
    </w:tbl>
    <w:p>
      <w:pPr>
        <w:spacing w:line="240" w:lineRule="auto" w:before="0"/>
        <w:rPr>
          <w:rFonts w:ascii="宋体" w:hAnsi="宋体" w:cs="宋体" w:eastAsia="宋体" w:hint="default"/>
          <w:sz w:val="20"/>
          <w:szCs w:val="20"/>
        </w:rPr>
      </w:pPr>
      <w:r>
        <w:rPr/>
        <w:pict>
          <v:group style="position:absolute;margin-left:55.200001pt;margin-top:56.519981pt;width:485pt;height:.1pt;mso-position-horizontal-relative:page;mso-position-vertical-relative:page;z-index:-1091032" coordorigin="1104,1130" coordsize="9700,2">
            <v:shape style="position:absolute;left:1104;top:1130;width:9700;height:2" coordorigin="1104,1130" coordsize="9700,0" path="m1104,1130l10804,1130e" filled="false" stroked="true" strokeweight=".48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before="35"/>
        <w:ind w:right="1032"/>
        <w:jc w:val="left"/>
        <w:rPr>
          <w:b w:val="0"/>
          <w:bCs w:val="0"/>
        </w:rPr>
      </w:pPr>
      <w:bookmarkStart w:name="2、或有事项" w:id="312"/>
      <w:bookmarkEnd w:id="31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资产负债表日存在的重要或有事项"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t>（</w:t>
      </w:r>
      <w:r>
        <w:rPr>
          <w:rFonts w:ascii="宋体" w:hAnsi="宋体" w:cs="宋体" w:eastAsia="宋体" w:hint="default"/>
        </w:rPr>
        <w:t>1</w:t>
      </w:r>
      <w:r>
        <w:rPr/>
        <w:t>） 重大未决诉讼仲裁</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t>①</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6</w:t>
      </w:r>
      <w:r>
        <w:rPr/>
        <w:t>日，杭州千岛湖新天地文化发展有限公司向杭州市淳安县人民法院起诉公司，请求确认双方合同无效， 要求公司退还其已经支付的工程款</w:t>
      </w:r>
      <w:r>
        <w:rPr>
          <w:rFonts w:ascii="宋体" w:hAnsi="宋体" w:cs="宋体" w:eastAsia="宋体" w:hint="default"/>
        </w:rPr>
        <w:t>9,800,000.00</w:t>
      </w:r>
      <w:r>
        <w:rPr/>
        <w:t>元并以此为基数按照人民银行同期贷款利率向其支付利息，自</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rFonts w:ascii="宋体" w:hAnsi="宋体" w:cs="宋体" w:eastAsia="宋体" w:hint="default"/>
          <w:spacing w:val="-84"/>
        </w:rPr>
        <w:t> </w:t>
      </w:r>
      <w:r>
        <w:rPr/>
        <w:t>日起计至全部清偿之日止（暂计至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6</w:t>
      </w:r>
      <w:r>
        <w:rPr/>
        <w:t>日，为</w:t>
      </w:r>
      <w:r>
        <w:rPr>
          <w:rFonts w:ascii="宋体" w:hAnsi="宋体" w:cs="宋体" w:eastAsia="宋体" w:hint="default"/>
        </w:rPr>
        <w:t>573,136.67</w:t>
      </w:r>
      <w:r>
        <w:rPr/>
        <w:t>元）</w:t>
      </w:r>
      <w:r>
        <w:rPr>
          <w:rFonts w:ascii="宋体" w:hAnsi="宋体" w:cs="宋体" w:eastAsia="宋体" w:hint="default"/>
        </w:rPr>
        <w:t>,</w:t>
      </w:r>
      <w:r>
        <w:rPr/>
        <w:t>并由公司承担本案诉讼费用及保全费用。</w:t>
      </w:r>
    </w:p>
    <w:p>
      <w:pPr>
        <w:pStyle w:val="BodyText"/>
        <w:spacing w:line="319" w:lineRule="auto" w:before="139"/>
        <w:ind w:right="1129" w:firstLine="360"/>
        <w:jc w:val="both"/>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w:t>
      </w:r>
      <w:r>
        <w:rPr>
          <w:rFonts w:ascii="宋体" w:hAnsi="宋体" w:cs="宋体" w:eastAsia="宋体" w:hint="default"/>
          <w:spacing w:val="-2"/>
        </w:rPr>
        <w:t>,</w:t>
      </w:r>
      <w:r>
        <w:rPr>
          <w:spacing w:val="-2"/>
        </w:rPr>
        <w:t>公司向浙江省淳安县人民法院提交《民事反诉状》，要求杭州千岛湖新天地文化发展有限公司立即向公</w:t>
      </w:r>
      <w:r>
        <w:rPr/>
        <w:t> </w:t>
      </w:r>
      <w:r>
        <w:rPr>
          <w:spacing w:val="-2"/>
        </w:rPr>
        <w:t>司支付工程进度款</w:t>
      </w:r>
      <w:r>
        <w:rPr>
          <w:rFonts w:ascii="宋体" w:hAnsi="宋体" w:cs="宋体" w:eastAsia="宋体" w:hint="default"/>
          <w:spacing w:val="-2"/>
        </w:rPr>
        <w:t>424.48712</w:t>
      </w:r>
      <w:r>
        <w:rPr>
          <w:spacing w:val="-2"/>
        </w:rPr>
        <w:t>万元（按照合同约定支付已完工程</w:t>
      </w:r>
      <w:r>
        <w:rPr>
          <w:rFonts w:ascii="宋体" w:hAnsi="宋体" w:cs="宋体" w:eastAsia="宋体" w:hint="default"/>
          <w:spacing w:val="-2"/>
        </w:rPr>
        <w:t>80%</w:t>
      </w:r>
      <w:r>
        <w:rPr>
          <w:spacing w:val="-2"/>
        </w:rPr>
        <w:t>的进度款）及该款自</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日起至款项全部清偿之日</w:t>
      </w:r>
      <w:r>
        <w:rPr>
          <w:spacing w:val="-46"/>
        </w:rPr>
        <w:t> </w:t>
      </w:r>
      <w:r>
        <w:rPr>
          <w:spacing w:val="-2"/>
        </w:rPr>
        <w:t>止按中国人民银行同期银行贷款年利率</w:t>
      </w:r>
      <w:r>
        <w:rPr>
          <w:rFonts w:ascii="宋体" w:hAnsi="宋体" w:cs="宋体" w:eastAsia="宋体" w:hint="default"/>
          <w:spacing w:val="-2"/>
        </w:rPr>
        <w:t>6%</w:t>
      </w:r>
      <w:r>
        <w:rPr>
          <w:spacing w:val="-2"/>
        </w:rPr>
        <w:t>计算利息损失（暂计至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日的利息损失为</w:t>
      </w:r>
      <w:r>
        <w:rPr>
          <w:rFonts w:ascii="宋体" w:hAnsi="宋体" w:cs="宋体" w:eastAsia="宋体" w:hint="default"/>
          <w:spacing w:val="-2"/>
        </w:rPr>
        <w:t>25.46923</w:t>
      </w:r>
      <w:r>
        <w:rPr>
          <w:spacing w:val="-2"/>
        </w:rPr>
        <w:t>万元），要求对方承</w:t>
      </w:r>
      <w:r>
        <w:rPr>
          <w:spacing w:val="-49"/>
        </w:rPr>
        <w:t> </w:t>
      </w:r>
      <w:r>
        <w:rPr>
          <w:spacing w:val="-49"/>
        </w:rPr>
      </w:r>
      <w:r>
        <w:rPr>
          <w:spacing w:val="-4"/>
        </w:rPr>
        <w:t>担本案全部诉讼费用（含案件受理费、申请费等）。</w:t>
      </w:r>
    </w:p>
    <w:p>
      <w:pPr>
        <w:pStyle w:val="BodyText"/>
        <w:spacing w:line="240" w:lineRule="auto" w:before="137"/>
        <w:ind w:left="514" w:right="1032"/>
        <w:jc w:val="left"/>
      </w:pPr>
      <w:r>
        <w:rPr/>
        <w:t>截至本报告出具日止，上述案件尚在审理过程中。</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t>②</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25</w:t>
      </w:r>
      <w:r>
        <w:rPr/>
        <w:t>日，东莞利兹堡养老服务有限公司向东莞市第三人民法院起诉公司，请求法院判决解除双方合同关系， 请求确认公司已发生工程量结算价款为</w:t>
      </w:r>
      <w:r>
        <w:rPr>
          <w:rFonts w:ascii="宋体" w:hAnsi="宋体" w:cs="宋体" w:eastAsia="宋体" w:hint="default"/>
        </w:rPr>
        <w:t>2,193,487.22</w:t>
      </w:r>
      <w:r>
        <w:rPr/>
        <w:t>元</w:t>
      </w:r>
      <w:r>
        <w:rPr>
          <w:rFonts w:ascii="宋体" w:hAnsi="宋体" w:cs="宋体" w:eastAsia="宋体" w:hint="default"/>
        </w:rPr>
        <w:t>,</w:t>
      </w:r>
      <w:r>
        <w:rPr/>
        <w:t>要求公司对不合规的工程承担修复责任及停止其他侵权行为，并由</w:t>
      </w:r>
      <w:r>
        <w:rPr>
          <w:spacing w:val="-84"/>
        </w:rPr>
        <w:t> </w:t>
      </w:r>
      <w:r>
        <w:rPr>
          <w:spacing w:val="-84"/>
        </w:rPr>
      </w:r>
      <w:r>
        <w:rPr/>
        <w:t>公司承担本案诉讼费用。</w:t>
      </w:r>
    </w:p>
    <w:p>
      <w:pPr>
        <w:pStyle w:val="BodyText"/>
        <w:spacing w:line="316" w:lineRule="auto" w:before="139"/>
        <w:ind w:right="1038"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15</w:t>
      </w:r>
      <w:r>
        <w:rPr>
          <w:spacing w:val="-2"/>
        </w:rPr>
        <w:t>日，公司向东莞市第三人民法院提交《民事反诉状》，要求东莞利兹堡养老服务有限公司向公司支付工程</w:t>
      </w:r>
      <w:r>
        <w:rPr/>
        <w:t> </w:t>
      </w:r>
      <w:r>
        <w:rPr>
          <w:spacing w:val="-3"/>
        </w:rPr>
        <w:t>款人民币</w:t>
      </w:r>
      <w:r>
        <w:rPr>
          <w:rFonts w:ascii="宋体" w:hAnsi="宋体" w:cs="宋体" w:eastAsia="宋体" w:hint="default"/>
          <w:spacing w:val="-3"/>
        </w:rPr>
        <w:t>7,557,526.00</w:t>
      </w:r>
      <w:r>
        <w:rPr>
          <w:spacing w:val="-3"/>
        </w:rPr>
        <w:t>元及逾期付款利息人民币</w:t>
      </w:r>
      <w:r>
        <w:rPr>
          <w:rFonts w:ascii="宋体" w:hAnsi="宋体" w:cs="宋体" w:eastAsia="宋体" w:hint="default"/>
          <w:spacing w:val="-3"/>
        </w:rPr>
        <w:t>10</w:t>
      </w:r>
      <w:r>
        <w:rPr>
          <w:spacing w:val="-3"/>
        </w:rPr>
        <w:t>万元（暂定，从起诉之日起按人民银行同期贷款利率计算至支付之日止），</w:t>
      </w:r>
      <w:r>
        <w:rPr>
          <w:spacing w:val="-76"/>
        </w:rPr>
        <w:t> </w:t>
      </w:r>
      <w:r>
        <w:rPr>
          <w:spacing w:val="-76"/>
        </w:rPr>
      </w:r>
      <w:r>
        <w:rPr/>
        <w:t>要求东莞利兹堡养老服务有限公司承担全部诉讼费用。</w:t>
      </w:r>
    </w:p>
    <w:p>
      <w:pPr>
        <w:pStyle w:val="BodyText"/>
        <w:spacing w:line="240" w:lineRule="auto" w:before="139"/>
        <w:ind w:left="514" w:right="1032"/>
        <w:jc w:val="left"/>
      </w:pPr>
      <w:r>
        <w:rPr/>
        <w:t>截至本报告出具日止，上述案件尚在审理过程中。</w:t>
      </w:r>
    </w:p>
    <w:p>
      <w:pPr>
        <w:spacing w:line="240" w:lineRule="auto" w:before="0"/>
        <w:rPr>
          <w:rFonts w:ascii="宋体" w:hAnsi="宋体" w:cs="宋体" w:eastAsia="宋体" w:hint="default"/>
          <w:sz w:val="15"/>
          <w:szCs w:val="15"/>
        </w:rPr>
      </w:pPr>
    </w:p>
    <w:p>
      <w:pPr>
        <w:pStyle w:val="BodyText"/>
        <w:spacing w:line="439" w:lineRule="auto"/>
        <w:ind w:left="514" w:right="5712"/>
        <w:jc w:val="left"/>
      </w:pPr>
      <w:r>
        <w:rPr/>
        <w:t>（</w:t>
      </w:r>
      <w:r>
        <w:rPr>
          <w:rFonts w:ascii="宋体" w:hAnsi="宋体" w:cs="宋体" w:eastAsia="宋体" w:hint="default"/>
        </w:rPr>
        <w:t>2</w:t>
      </w:r>
      <w:r>
        <w:rPr/>
        <w:t>）未结保函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日止，本公司未结清保函明细列示如下：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951"/>
        <w:gridCol w:w="949"/>
        <w:gridCol w:w="390"/>
        <w:gridCol w:w="1301"/>
        <w:gridCol w:w="3460"/>
        <w:gridCol w:w="2030"/>
      </w:tblGrid>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开立日</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到期日</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受益人</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种类</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2017/4/18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2019/1/23</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18,375,187.73</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深圳市投资控股有限公司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不可撤销履约保函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2017/5/24</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2019/5/31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2,374,786.00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广州市新凯中荔房地产开发有限公司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履约担保书</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2017/10/27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2019/1/8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1,591,240.63</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深圳市大沙河建设投资有限公司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2018/10/11</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2020/7/31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900,000.00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2018/10/31</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2019/2/11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386,270.50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郑州市郑东新区公安消防大队</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履约担保</w:t>
            </w:r>
          </w:p>
        </w:tc>
      </w:tr>
    </w:tbl>
    <w:p>
      <w:pPr>
        <w:spacing w:after="0" w:line="240" w:lineRule="auto"/>
        <w:jc w:val="left"/>
        <w:rPr>
          <w:rFonts w:ascii="宋体" w:hAnsi="宋体" w:cs="宋体" w:eastAsia="宋体" w:hint="default"/>
          <w:sz w:val="15"/>
          <w:szCs w:val="15"/>
        </w:rPr>
        <w:sectPr>
          <w:pgSz w:w="11910" w:h="16840"/>
          <w:pgMar w:header="917" w:footer="1019" w:top="1100" w:bottom="1200" w:left="9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951"/>
        <w:gridCol w:w="949"/>
        <w:gridCol w:w="390"/>
        <w:gridCol w:w="1301"/>
        <w:gridCol w:w="3460"/>
        <w:gridCol w:w="2030"/>
      </w:tblGrid>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2018/11/19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2019/1/11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417,990.33</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中国人民解放军陆军边海防学院</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2018/11/20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2019/3/15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716,110.42</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深圳市龙岗区城市管理局</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不可撤销履约保函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2018/11/22</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2019/3/31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2,171,495.38</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葛洲坝唯逸（上海）房地产开发有限公司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2018/11/29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2019/9/20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1,321,000.00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葛洲坝唯逸（南京）房地产开发有限公司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2018/12/13</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2019/2/20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387,000.00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海南葛洲坝实业有限公司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2018/12/18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861,789.49</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世成电子（深圳）有限公司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2017/4/24</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2020/4/14</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500,000.00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宁波市鄞州区建设工程管理处</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人工工资支付保函</w:t>
            </w:r>
          </w:p>
        </w:tc>
      </w:tr>
      <w:tr>
        <w:trPr>
          <w:trHeight w:val="739"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2018/4/25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2020/4/8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3,000,000.00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深圳市经济贸易和信息化委员会</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85"/>
              <w:ind w:left="2" w:right="61"/>
              <w:jc w:val="left"/>
              <w:rPr>
                <w:rFonts w:ascii="宋体" w:hAnsi="宋体" w:cs="宋体" w:eastAsia="宋体" w:hint="default"/>
                <w:sz w:val="15"/>
                <w:szCs w:val="15"/>
              </w:rPr>
            </w:pPr>
            <w:r>
              <w:rPr>
                <w:rFonts w:ascii="宋体" w:hAnsi="宋体" w:cs="宋体" w:eastAsia="宋体" w:hint="default"/>
                <w:sz w:val="15"/>
                <w:szCs w:val="15"/>
              </w:rPr>
              <w:t>对外劳务合作风险处置备用金 银行保函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2018/12/12</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2019/5/10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1,903,476.13</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珠海大横琴置业有限公司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见索即付履约保函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2018/12/17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2019/11/10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3,618,476.79</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珠海大横琴置业有限公司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预付款银行保函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2019/11/15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927,970.00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深圳市福田区城市管理局</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2019/1/28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海南耀星置业有限公司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预付款退款保函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2018/1/31</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2020/1/20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8,407,750.17</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中铁建设集团有限公司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预收款退款保函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2018/2/5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2020/1/30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544,000.00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宜兴市公共建</w:t>
            </w:r>
            <w:r>
              <w:rPr>
                <w:rFonts w:ascii="MS Gothic" w:hAnsi="MS Gothic" w:cs="MS Gothic" w:eastAsia="MS Gothic"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建设管理中心</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2018/3/13</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2019/3/10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1,265,400.00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中冶建工集团有限公司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2018/3/15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2019/3/10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1,265,400.00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中冶建工集团有限公司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2018/3/26</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2019/3/20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729,004.00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广州市住宅建设发展有限公司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2018/3/29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2019/3/20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3,051,000.00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深圳市金世纪工程实业有限公司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2018/3/29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2019/3/27</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916,500.00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江门市崇达电路技术有限公司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履约银行保函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2018/3/29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2019/12/31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260,000.00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中国葛洲坝集团机电建设有限公司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2018/4/3</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2019/9/29</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4,261,582.55</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广州医科大学附属肿瘤医院</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2018/4/19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2,782,011.00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泉州星浩房地产发展有限公司（项目公司）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银行履约保函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2018/4/19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2019/4/18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250,000.00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创维集团科技园管理有限公司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2018/4/19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2019/4/15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4,160,561.51</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深圳市光明新区城市管理局</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2018/4/26</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2019/4/25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6,526,600.00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重庆悦来投资集团有限公司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预付款退款保函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2018/5/2</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2019/12/31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2,600,000.00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中国葛洲坝集团机电建设有限公司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2018/5/7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2019/5/1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6,408,437.00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重庆悦来投资集团有限公司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2018/5/9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1,953,823.00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泉州星浩房地产发展有限公司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银行履约保函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2018/5/25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2019/5/17</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380,000.00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河南正商尚滨置业有限公司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2018/5/9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300,600.00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2018/6/11</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2021/4/28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111,897.00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港铁轨道交通（深圳）有限公司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履约银行保函</w:t>
            </w:r>
          </w:p>
        </w:tc>
      </w:tr>
    </w:tbl>
    <w:p>
      <w:pPr>
        <w:spacing w:after="0" w:line="240" w:lineRule="auto"/>
        <w:jc w:val="left"/>
        <w:rPr>
          <w:rFonts w:ascii="宋体" w:hAnsi="宋体" w:cs="宋体" w:eastAsia="宋体" w:hint="default"/>
          <w:sz w:val="15"/>
          <w:szCs w:val="15"/>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51"/>
        <w:gridCol w:w="949"/>
        <w:gridCol w:w="390"/>
        <w:gridCol w:w="1301"/>
        <w:gridCol w:w="3460"/>
        <w:gridCol w:w="2030"/>
      </w:tblGrid>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2018/6/19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2019/5/30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377,916.72</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广州前海人寿医院有限公司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2018/6/19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4,465,000.00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江门市蓬江区豪爵商务有限公司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2018/6/28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2019/6/25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3,196,186.91</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广州医科大学附属肿瘤医院</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2018/7/9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2021/6/30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266,897.40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无锡地铁集团有限公司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2018/7/9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2020/5/31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2,600,000.00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中国葛洲坝集团机电建设有限公司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2018/7/27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2020/4/30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3,453,000.00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葛洲坝唯逸（南京）房地产开发有限公司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2018/8/20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2019/6/30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4,313,393.99</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深圳市投资控股有限公司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预收款退款保函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2018/8/20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2020/6/30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4,878,370.85</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深圳市投资控股有限公司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不可撤销履约保函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2018/8/20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2019/2/28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686,829.64</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海南亿兴城建投资有限公司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2018/8/20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1,766,516.15</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成都鲁能置业有限公司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2019/2/28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317,582.17</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惠州市现代城房地产发展有限公司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2019/6/10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697,081.46</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中国建</w:t>
            </w:r>
            <w:r>
              <w:rPr>
                <w:rFonts w:ascii="MS Gothic" w:hAnsi="MS Gothic" w:cs="MS Gothic" w:eastAsia="MS Gothic"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第五工程局有限公司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2018/9/5</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2019/8/1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236,583.76</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深圳市福田区建</w:t>
            </w:r>
            <w:r>
              <w:rPr>
                <w:rFonts w:ascii="MS Gothic" w:hAnsi="MS Gothic" w:cs="MS Gothic" w:eastAsia="MS Gothic"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工务局</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不可撤销履约保函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2018/9/18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2020/6/30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63,081.60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宜兴市公共建</w:t>
            </w:r>
            <w:r>
              <w:rPr>
                <w:rFonts w:ascii="MS Gothic" w:hAnsi="MS Gothic" w:cs="MS Gothic" w:eastAsia="MS Gothic"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建设管理中心</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2018/9/18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2020/6/30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4,878,370.85</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深圳市投资控股有限公司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不可撤销履约保函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2019/4/28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608,538.46</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汕头市泰盛科技有限公司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2019/9/20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1,280,000.00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中国城市规划设计研究院西部分院</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2019/9/25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3,968,862.86</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深汕特别合作区深汕湾科技发展有限公司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2019/10/1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2,399,114.49</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天津大学佐治亚理工深圳学院筹备办公室</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不可撤销履约保函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2018/12/26</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2019/6/25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115,985.00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深圳市宝安区新安街道办事处</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2018/12/26</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2019/12/25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587,237.35</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惠州深业南方地产有限公司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2018/12/26</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2019/12/17</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196,945.11</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广州供电局有限公司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质量保函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2018/6/29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2019/1/31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2018/6/29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2019/1/31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2018/7/17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2019/2/20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2018/10/30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2019/5/4</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800,000.00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四川省质量技术监督局</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2018/12/3</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2019/6/20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200,000.00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中国移动通信集团北京有限公司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投标保函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2018/7/27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2019/7/24</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1,223,240.30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中国建</w:t>
            </w:r>
            <w:r>
              <w:rPr>
                <w:rFonts w:ascii="MS Gothic" w:hAnsi="MS Gothic" w:cs="MS Gothic" w:eastAsia="MS Gothic"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第五工程局有限公司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2018/8/28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2019/3/10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7,322,799.20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泉州银行股份有限公司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bl>
    <w:p>
      <w:pPr>
        <w:spacing w:after="0" w:line="240" w:lineRule="auto"/>
        <w:jc w:val="left"/>
        <w:rPr>
          <w:rFonts w:ascii="宋体" w:hAnsi="宋体" w:cs="宋体" w:eastAsia="宋体" w:hint="default"/>
          <w:sz w:val="15"/>
          <w:szCs w:val="15"/>
        </w:rPr>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51"/>
        <w:gridCol w:w="949"/>
        <w:gridCol w:w="390"/>
        <w:gridCol w:w="1301"/>
        <w:gridCol w:w="3460"/>
        <w:gridCol w:w="2030"/>
      </w:tblGrid>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2018/1/29</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2020/1/20</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8,407,750.17</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中铁建设集团有限公司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7"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2018/9/10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2019/2/28</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686,829.64</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海南亿隆城建投资有限公司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履约保函</w:t>
            </w:r>
          </w:p>
        </w:tc>
      </w:tr>
      <w:tr>
        <w:trPr>
          <w:trHeight w:val="426"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2018/9/27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sz w:val="15"/>
              </w:rPr>
              <w:t>2019/3/31</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 w:right="0"/>
              <w:jc w:val="left"/>
              <w:rPr>
                <w:rFonts w:ascii="宋体" w:hAnsi="宋体" w:cs="宋体" w:eastAsia="宋体" w:hint="default"/>
                <w:sz w:val="15"/>
                <w:szCs w:val="15"/>
              </w:rPr>
            </w:pPr>
            <w:r>
              <w:rPr>
                <w:rFonts w:ascii="宋体"/>
                <w:sz w:val="15"/>
              </w:rPr>
              <w:t>7,133,120.00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深汕特别合作区深汕湾科技发展有限公司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宋体" w:hAnsi="宋体" w:cs="宋体" w:eastAsia="宋体" w:hint="default"/>
                <w:sz w:val="15"/>
                <w:szCs w:val="15"/>
              </w:rPr>
            </w:pPr>
            <w:r>
              <w:rPr>
                <w:rFonts w:ascii="宋体" w:hAnsi="宋体" w:cs="宋体" w:eastAsia="宋体" w:hint="default"/>
                <w:sz w:val="15"/>
                <w:szCs w:val="15"/>
              </w:rPr>
              <w:t>预收款退款保函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2017/9/26</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sz w:val="15"/>
              </w:rPr>
              <w:t>2020/9/25</w:t>
            </w: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CNY</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500,000.00</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宁波国家高新技术产业开发区建设管理局</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5"/>
                <w:szCs w:val="15"/>
              </w:rPr>
            </w:pPr>
            <w:r>
              <w:rPr>
                <w:rFonts w:ascii="宋体" w:hAnsi="宋体" w:cs="宋体" w:eastAsia="宋体" w:hint="default"/>
                <w:sz w:val="15"/>
                <w:szCs w:val="15"/>
              </w:rPr>
              <w:t>人工工资支付保函</w:t>
            </w:r>
          </w:p>
        </w:tc>
      </w:tr>
      <w:tr>
        <w:trPr>
          <w:trHeight w:val="428" w:hRule="exact"/>
        </w:trPr>
        <w:tc>
          <w:tcPr>
            <w:tcW w:w="951"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5"/>
                <w:szCs w:val="15"/>
              </w:rPr>
            </w:pPr>
            <w:r>
              <w:rPr>
                <w:rFonts w:ascii="宋体"/>
                <w:sz w:val="15"/>
              </w:rPr>
              <w:t>156,454,593.71</w:t>
            </w:r>
          </w:p>
        </w:tc>
        <w:tc>
          <w:tcPr>
            <w:tcW w:w="3460" w:type="dxa"/>
            <w:tcBorders>
              <w:top w:val="single" w:sz="6" w:space="0" w:color="000000"/>
              <w:left w:val="single" w:sz="6" w:space="0" w:color="000000"/>
              <w:bottom w:val="single" w:sz="6" w:space="0" w:color="000000"/>
              <w:right w:val="single" w:sz="6" w:space="0" w:color="000000"/>
            </w:tcBorders>
          </w:tcPr>
          <w:p>
            <w:pPr/>
          </w:p>
        </w:tc>
        <w:tc>
          <w:tcPr>
            <w:tcW w:w="20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right="0"/>
        <w:jc w:val="both"/>
        <w:rPr>
          <w:b w:val="0"/>
          <w:bCs w:val="0"/>
        </w:rPr>
      </w:pPr>
      <w:bookmarkStart w:name="十三、资产负债表日后事项" w:id="314"/>
      <w:bookmarkEnd w:id="314"/>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其他资产负债表日后事项说明" w:id="315"/>
      <w:bookmarkEnd w:id="315"/>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32"/>
        <w:jc w:val="left"/>
      </w:pPr>
      <w:r>
        <w:rPr>
          <w:rFonts w:ascii="宋体" w:hAnsi="宋体" w:cs="宋体" w:eastAsia="宋体" w:hint="default"/>
        </w:rPr>
        <w:t>1.</w:t>
      </w:r>
      <w:r>
        <w:rPr/>
        <w:t>期后借款</w:t>
      </w:r>
    </w:p>
    <w:p>
      <w:pPr>
        <w:spacing w:line="240" w:lineRule="auto" w:before="0"/>
        <w:rPr>
          <w:rFonts w:ascii="宋体" w:hAnsi="宋体" w:cs="宋体" w:eastAsia="宋体" w:hint="default"/>
          <w:sz w:val="15"/>
          <w:szCs w:val="15"/>
        </w:rPr>
      </w:pPr>
    </w:p>
    <w:p>
      <w:pPr>
        <w:pStyle w:val="BodyText"/>
        <w:spacing w:line="316" w:lineRule="auto"/>
        <w:ind w:right="1049"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日，本公司与华夏银行股份有限公司深圳高新支行签订《流动资金借款合同》，本金为</w:t>
      </w:r>
      <w:r>
        <w:rPr>
          <w:rFonts w:ascii="宋体" w:hAnsi="宋体" w:cs="宋体" w:eastAsia="宋体" w:hint="default"/>
          <w:spacing w:val="-2"/>
        </w:rPr>
        <w:t>90,000,000.00</w:t>
      </w:r>
      <w:r>
        <w:rPr>
          <w:spacing w:val="-2"/>
        </w:rPr>
        <w:t>元，</w:t>
      </w:r>
      <w:r>
        <w:rPr/>
        <w:t> 贷款期限自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w:t>
      </w:r>
      <w:r>
        <w:rPr/>
        <w:t>日。</w:t>
      </w:r>
    </w:p>
    <w:p>
      <w:pPr>
        <w:pStyle w:val="BodyText"/>
        <w:spacing w:line="316" w:lineRule="auto" w:before="139"/>
        <w:ind w:right="1139" w:firstLine="360"/>
        <w:jc w:val="both"/>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w:t>
      </w:r>
      <w:r>
        <w:rPr>
          <w:spacing w:val="-2"/>
        </w:rPr>
        <w:t>日，本公司与中国光大银行股份有限公司深圳分行签订《流动资金贷款合同》，本金为</w:t>
      </w:r>
      <w:r>
        <w:rPr>
          <w:rFonts w:ascii="宋体" w:hAnsi="宋体" w:cs="宋体" w:eastAsia="宋体" w:hint="default"/>
          <w:spacing w:val="-2"/>
        </w:rPr>
        <w:t>120,000,000.00</w:t>
      </w:r>
      <w:r>
        <w:rPr>
          <w:spacing w:val="-2"/>
        </w:rPr>
        <w:t>元，</w:t>
      </w:r>
      <w:r>
        <w:rPr/>
        <w:t> 贷款期限自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w:t>
      </w:r>
      <w:r>
        <w:rPr/>
        <w:t>日。</w:t>
      </w:r>
    </w:p>
    <w:p>
      <w:pPr>
        <w:pStyle w:val="BodyText"/>
        <w:spacing w:line="316" w:lineRule="auto" w:before="139"/>
        <w:ind w:right="1130"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3</w:t>
      </w:r>
      <w:r>
        <w:rPr>
          <w:spacing w:val="-3"/>
        </w:rPr>
        <w:t>日，本公司与中国光大银行股份有限公司深圳分行签订《流动资金贷款合同》，本金为</w:t>
      </w:r>
      <w:r>
        <w:rPr>
          <w:rFonts w:ascii="宋体" w:hAnsi="宋体" w:cs="宋体" w:eastAsia="宋体" w:hint="default"/>
          <w:spacing w:val="-3"/>
        </w:rPr>
        <w:t>80,000,000.00</w:t>
      </w:r>
      <w:r>
        <w:rPr>
          <w:spacing w:val="-3"/>
        </w:rPr>
        <w:t>元，贷</w:t>
      </w:r>
      <w:r>
        <w:rPr/>
        <w:t> 款期限自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w:t>
      </w:r>
      <w:r>
        <w:rPr/>
        <w:t>日。</w:t>
      </w:r>
    </w:p>
    <w:p>
      <w:pPr>
        <w:pStyle w:val="BodyText"/>
        <w:spacing w:line="319" w:lineRule="auto" w:before="139"/>
        <w:ind w:right="1132"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23</w:t>
      </w:r>
      <w:r>
        <w:rPr>
          <w:spacing w:val="-3"/>
        </w:rPr>
        <w:t>日，本公司与中国农业银行股份有限公司深圳东部支行签订《流动资金借款合同》，本金为</w:t>
      </w:r>
      <w:r>
        <w:rPr>
          <w:rFonts w:ascii="宋体" w:hAnsi="宋体" w:cs="宋体" w:eastAsia="宋体" w:hint="default"/>
          <w:spacing w:val="-3"/>
        </w:rPr>
        <w:t>100,000,000.00</w:t>
      </w:r>
      <w:r>
        <w:rPr>
          <w:rFonts w:ascii="宋体" w:hAnsi="宋体" w:cs="宋体" w:eastAsia="宋体" w:hint="default"/>
        </w:rPr>
        <w:t> </w:t>
      </w:r>
      <w:r>
        <w:rPr/>
        <w:t>元，贷款期限自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22</w:t>
      </w:r>
      <w:r>
        <w:rPr/>
        <w:t>日。</w:t>
      </w:r>
    </w:p>
    <w:p>
      <w:pPr>
        <w:pStyle w:val="BodyText"/>
        <w:spacing w:line="316" w:lineRule="auto" w:before="137"/>
        <w:ind w:right="1042"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日，本公司与中国银行股份有限公司深圳中心区支行签订《流动资金借款合同》，本金为</w:t>
      </w:r>
      <w:r>
        <w:rPr>
          <w:rFonts w:ascii="宋体" w:hAnsi="宋体" w:cs="宋体" w:eastAsia="宋体" w:hint="default"/>
          <w:spacing w:val="-3"/>
        </w:rPr>
        <w:t>50,000,000.00</w:t>
      </w:r>
      <w:r>
        <w:rPr>
          <w:spacing w:val="-3"/>
        </w:rPr>
        <w:t>元，</w:t>
      </w:r>
      <w:r>
        <w:rPr/>
        <w:t> 贷款期限自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28</w:t>
      </w:r>
      <w:r>
        <w:rPr/>
        <w:t>日。</w:t>
      </w:r>
    </w:p>
    <w:p>
      <w:pPr>
        <w:pStyle w:val="BodyText"/>
        <w:spacing w:line="316" w:lineRule="auto" w:before="139"/>
        <w:ind w:right="1132" w:firstLine="360"/>
        <w:jc w:val="both"/>
      </w:pPr>
      <w:r>
        <w:rPr>
          <w:rFonts w:ascii="宋体" w:hAnsi="宋体" w:cs="宋体" w:eastAsia="宋体" w:hint="default"/>
          <w:spacing w:val="-5"/>
        </w:rPr>
        <w:t>2019</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13</w:t>
      </w:r>
      <w:r>
        <w:rPr>
          <w:spacing w:val="-5"/>
        </w:rPr>
        <w:t>日，本公司与广发银行股份有限公司深圳分行签订《借款合同》，本金为</w:t>
      </w:r>
      <w:r>
        <w:rPr>
          <w:rFonts w:ascii="宋体" w:hAnsi="宋体" w:cs="宋体" w:eastAsia="宋体" w:hint="default"/>
          <w:spacing w:val="-5"/>
        </w:rPr>
        <w:t>20,000,000.00</w:t>
      </w:r>
      <w:r>
        <w:rPr>
          <w:spacing w:val="-5"/>
        </w:rPr>
        <w:t>元，贷款期限自</w:t>
      </w:r>
      <w:r>
        <w:rPr>
          <w:rFonts w:ascii="宋体" w:hAnsi="宋体" w:cs="宋体" w:eastAsia="宋体" w:hint="default"/>
          <w:spacing w:val="-5"/>
        </w:rPr>
        <w:t>2019</w:t>
      </w:r>
      <w:r>
        <w:rPr>
          <w:rFonts w:ascii="宋体" w:hAnsi="宋体" w:cs="宋体" w:eastAsia="宋体" w:hint="default"/>
        </w:rPr>
        <w:t> </w:t>
      </w:r>
      <w:r>
        <w:rPr/>
        <w:t>年</w:t>
      </w:r>
      <w:r>
        <w:rPr>
          <w:rFonts w:ascii="宋体" w:hAnsi="宋体" w:cs="宋体" w:eastAsia="宋体" w:hint="default"/>
        </w:rPr>
        <w:t>3</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28</w:t>
      </w:r>
      <w:r>
        <w:rPr/>
        <w:t>日。</w:t>
      </w:r>
    </w:p>
    <w:p>
      <w:pPr>
        <w:pStyle w:val="BodyText"/>
        <w:spacing w:line="240" w:lineRule="auto" w:before="139"/>
        <w:ind w:left="514" w:right="1032"/>
        <w:jc w:val="left"/>
      </w:pPr>
      <w:r>
        <w:rPr>
          <w:rFonts w:ascii="宋体" w:hAnsi="宋体" w:cs="宋体" w:eastAsia="宋体" w:hint="default"/>
        </w:rPr>
        <w:t>2</w:t>
      </w:r>
      <w:r>
        <w:rPr/>
        <w:t>、公司发行可转换公司债券</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日，公司已获得中国证券监督管理委员会证监许可</w:t>
      </w:r>
      <w:r>
        <w:rPr>
          <w:rFonts w:ascii="宋体" w:hAnsi="宋体" w:cs="宋体" w:eastAsia="宋体" w:hint="default"/>
          <w:spacing w:val="-2"/>
        </w:rPr>
        <w:t>[2018]1911</w:t>
      </w:r>
      <w:r>
        <w:rPr>
          <w:spacing w:val="-2"/>
        </w:rPr>
        <w:t>号文核准，同意中装建设向社会公开发行面</w:t>
      </w:r>
      <w:r>
        <w:rPr/>
        <w:t> 值总额人民币</w:t>
      </w:r>
      <w:r>
        <w:rPr>
          <w:rFonts w:ascii="宋体" w:hAnsi="宋体" w:cs="宋体" w:eastAsia="宋体" w:hint="default"/>
        </w:rPr>
        <w:t>525,000,000.00</w:t>
      </w:r>
      <w:r>
        <w:rPr/>
        <w:t>元可转换公司债券，期限</w:t>
      </w:r>
      <w:r>
        <w:rPr>
          <w:rFonts w:ascii="宋体" w:hAnsi="宋体" w:cs="宋体" w:eastAsia="宋体" w:hint="default"/>
        </w:rPr>
        <w:t>6</w:t>
      </w:r>
      <w:r>
        <w:rPr/>
        <w:t>年。截至</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w:t>
      </w:r>
      <w:r>
        <w:rPr/>
        <w:t>日止，贵公司已收到发行可转换公司债券认购</w:t>
      </w:r>
      <w:r>
        <w:rPr>
          <w:spacing w:val="-84"/>
        </w:rPr>
        <w:t> </w:t>
      </w:r>
      <w:r>
        <w:rPr>
          <w:spacing w:val="-84"/>
        </w:rPr>
      </w:r>
      <w:r>
        <w:rPr/>
        <w:t>资金。</w:t>
      </w:r>
    </w:p>
    <w:p>
      <w:pPr>
        <w:pStyle w:val="BodyText"/>
        <w:spacing w:line="432" w:lineRule="exact" w:before="3"/>
        <w:ind w:left="514" w:right="1032"/>
        <w:jc w:val="left"/>
      </w:pPr>
      <w:r>
        <w:rPr>
          <w:rFonts w:ascii="宋体" w:hAnsi="宋体" w:cs="宋体" w:eastAsia="宋体" w:hint="default"/>
        </w:rPr>
        <w:t>3. </w:t>
      </w:r>
      <w:r>
        <w:rPr/>
        <w:t>拟投资昆仑健康保险股份有限公司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13</w:t>
      </w:r>
      <w:r>
        <w:rPr>
          <w:spacing w:val="-2"/>
        </w:rPr>
        <w:t>日召开第三届董事会第五次会议、</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日召开的</w:t>
      </w:r>
      <w:r>
        <w:rPr>
          <w:rFonts w:ascii="宋体" w:hAnsi="宋体" w:cs="宋体" w:eastAsia="宋体" w:hint="default"/>
          <w:spacing w:val="-2"/>
        </w:rPr>
        <w:t>2019</w:t>
      </w:r>
      <w:r>
        <w:rPr>
          <w:spacing w:val="-2"/>
        </w:rPr>
        <w:t>年第一次临时股东大会，决议通过拟以</w:t>
      </w:r>
    </w:p>
    <w:p>
      <w:pPr>
        <w:pStyle w:val="BodyText"/>
        <w:spacing w:line="316" w:lineRule="auto" w:before="15"/>
        <w:ind w:right="1130"/>
        <w:jc w:val="both"/>
      </w:pPr>
      <w:r>
        <w:rPr>
          <w:spacing w:val="-2"/>
        </w:rPr>
        <w:t>自筹资金不超过</w:t>
      </w:r>
      <w:r>
        <w:rPr>
          <w:rFonts w:ascii="宋体" w:hAnsi="宋体" w:cs="宋体" w:eastAsia="宋体" w:hint="default"/>
          <w:spacing w:val="-2"/>
        </w:rPr>
        <w:t>55,000</w:t>
      </w:r>
      <w:r>
        <w:rPr>
          <w:spacing w:val="-2"/>
        </w:rPr>
        <w:t>万元人民币认购昆仑健康保险股份有限公司不超过</w:t>
      </w:r>
      <w:r>
        <w:rPr>
          <w:rFonts w:ascii="宋体" w:hAnsi="宋体" w:cs="宋体" w:eastAsia="宋体" w:hint="default"/>
          <w:spacing w:val="-2"/>
        </w:rPr>
        <w:t>15%</w:t>
      </w:r>
      <w:r>
        <w:rPr>
          <w:spacing w:val="-2"/>
        </w:rPr>
        <w:t>的股份，</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日，公司已与昆仑健康保</w:t>
      </w:r>
      <w:r>
        <w:rPr>
          <w:spacing w:val="-48"/>
        </w:rPr>
        <w:t> </w:t>
      </w:r>
      <w:r>
        <w:rPr>
          <w:spacing w:val="-48"/>
        </w:rPr>
      </w:r>
      <w:r>
        <w:rPr>
          <w:spacing w:val="-2"/>
        </w:rPr>
        <w:t>险股份有限公司签署《关于昆仑健康保险定向增发股份认购协议》，公司以</w:t>
      </w:r>
      <w:r>
        <w:rPr>
          <w:rFonts w:ascii="宋体" w:hAnsi="宋体" w:cs="宋体" w:eastAsia="宋体" w:hint="default"/>
          <w:spacing w:val="-2"/>
        </w:rPr>
        <w:t>52,500</w:t>
      </w:r>
      <w:r>
        <w:rPr>
          <w:spacing w:val="-2"/>
        </w:rPr>
        <w:t>万元认缴昆仑健康保险</w:t>
      </w:r>
      <w:r>
        <w:rPr>
          <w:rFonts w:ascii="宋体" w:hAnsi="宋体" w:cs="宋体" w:eastAsia="宋体" w:hint="default"/>
          <w:spacing w:val="-2"/>
        </w:rPr>
        <w:t>35,000</w:t>
      </w:r>
      <w:r>
        <w:rPr>
          <w:spacing w:val="-2"/>
        </w:rPr>
        <w:t>万股，投资</w:t>
      </w:r>
      <w:r>
        <w:rPr>
          <w:spacing w:val="-54"/>
        </w:rPr>
        <w:t> </w:t>
      </w:r>
      <w:r>
        <w:rPr>
          <w:spacing w:val="-54"/>
        </w:rPr>
      </w:r>
      <w:r>
        <w:rPr/>
        <w:t>后公司持股</w:t>
      </w:r>
      <w:r>
        <w:rPr>
          <w:rFonts w:ascii="宋体" w:hAnsi="宋体" w:cs="宋体" w:eastAsia="宋体" w:hint="default"/>
        </w:rPr>
        <w:t>14.95%</w:t>
      </w:r>
      <w:r>
        <w:rPr/>
        <w:t>，本次投资尚需上报中国银行保险监督管理委员会及工商登记机关审批。</w:t>
      </w:r>
    </w:p>
    <w:p>
      <w:pPr>
        <w:pStyle w:val="BodyText"/>
        <w:spacing w:line="432" w:lineRule="exact" w:before="3"/>
        <w:ind w:left="514" w:right="1122"/>
        <w:jc w:val="left"/>
      </w:pPr>
      <w:r>
        <w:rPr>
          <w:rFonts w:ascii="宋体" w:hAnsi="宋体" w:cs="宋体" w:eastAsia="宋体" w:hint="default"/>
        </w:rPr>
        <w:t>3.</w:t>
      </w:r>
      <w:r>
        <w:rPr/>
        <w:t>拟注销子公司 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13</w:t>
      </w:r>
      <w:r>
        <w:rPr/>
        <w:t>日召开第三届董事会第五次会议审议通过《关于注销全资子公司南京卓佰年建筑设计有限公司的议</w:t>
      </w:r>
    </w:p>
    <w:p>
      <w:pPr>
        <w:pStyle w:val="BodyText"/>
        <w:spacing w:line="316" w:lineRule="auto" w:before="15"/>
        <w:ind w:right="1129"/>
        <w:jc w:val="both"/>
      </w:pPr>
      <w:r>
        <w:rPr>
          <w:spacing w:val="-5"/>
        </w:rPr>
        <w:t>案》、《关于注销控股子公司深圳市中装智能建筑顾问有限公司的议案》，公司拟注销这两家子公司，此外，根据公司于</w:t>
      </w:r>
      <w:r>
        <w:rPr>
          <w:rFonts w:ascii="宋体" w:hAnsi="宋体" w:cs="宋体" w:eastAsia="宋体" w:hint="default"/>
          <w:spacing w:val="-5"/>
        </w:rPr>
        <w:t>2018</w:t>
      </w:r>
      <w:r>
        <w:rPr>
          <w:rFonts w:ascii="宋体" w:hAnsi="宋体" w:cs="宋体" w:eastAsia="宋体" w:hint="default"/>
          <w:spacing w:val="-66"/>
        </w:rPr>
        <w:t> </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22</w:t>
      </w:r>
      <w:r>
        <w:rPr>
          <w:spacing w:val="-4"/>
        </w:rPr>
        <w:t>日经第三届董事会第二次会议审议通过《关于注销控股子公司中装利丰建筑工程有限公司的议案》，公司拟注销中装</w:t>
      </w:r>
      <w:r>
        <w:rPr>
          <w:spacing w:val="-38"/>
        </w:rPr>
        <w:t> </w:t>
      </w:r>
      <w:r>
        <w:rPr>
          <w:spacing w:val="-38"/>
        </w:rPr>
      </w:r>
      <w:r>
        <w:rPr/>
        <w:t>利丰建筑工程有限公司，目前中装利丰建筑工程有限公司正在办理注销手续中。</w:t>
      </w:r>
    </w:p>
    <w:p>
      <w:pPr>
        <w:spacing w:after="0" w:line="316" w:lineRule="auto"/>
        <w:jc w:val="both"/>
        <w:sectPr>
          <w:pgSz w:w="11910" w:h="16840"/>
          <w:pgMar w:header="91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left="514" w:right="1032"/>
        <w:jc w:val="left"/>
      </w:pPr>
      <w:r>
        <w:rPr>
          <w:rFonts w:ascii="宋体" w:hAnsi="宋体" w:cs="宋体" w:eastAsia="宋体" w:hint="default"/>
        </w:rPr>
        <w:t>4</w:t>
      </w:r>
      <w:r>
        <w:rPr/>
        <w:t>、拟投资设立子公司</w:t>
      </w:r>
    </w:p>
    <w:p>
      <w:pPr>
        <w:spacing w:line="240" w:lineRule="auto" w:before="0"/>
        <w:rPr>
          <w:rFonts w:ascii="宋体" w:hAnsi="宋体" w:cs="宋体" w:eastAsia="宋体" w:hint="default"/>
          <w:sz w:val="15"/>
          <w:szCs w:val="15"/>
        </w:rPr>
      </w:pPr>
    </w:p>
    <w:p>
      <w:pPr>
        <w:pStyle w:val="BodyText"/>
        <w:spacing w:line="316" w:lineRule="auto"/>
        <w:ind w:right="1114" w:firstLine="360"/>
        <w:jc w:val="left"/>
      </w:pPr>
      <w:r>
        <w:rPr/>
        <w:t>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13</w:t>
      </w:r>
      <w:r>
        <w:rPr/>
        <w:t>日召开第三届董事会第五次会议审议通</w:t>
      </w:r>
      <w:r>
        <w:rPr>
          <w:spacing w:val="-41"/>
        </w:rPr>
        <w:t>过</w:t>
      </w:r>
      <w:r>
        <w:rPr/>
        <w:t>《关于投资设立全资供应链子公司的议案</w:t>
      </w:r>
      <w:r>
        <w:rPr>
          <w:spacing w:val="-90"/>
        </w:rPr>
        <w:t>》</w:t>
      </w:r>
      <w:r>
        <w:rPr>
          <w:spacing w:val="-41"/>
        </w:rPr>
        <w:t>，</w:t>
      </w:r>
      <w:r>
        <w:rPr/>
        <w:t>公司拟使用自</w:t>
      </w:r>
      <w:r>
        <w:rPr/>
        <w:t> 有资金人民币</w:t>
      </w:r>
      <w:r>
        <w:rPr>
          <w:rFonts w:ascii="宋体" w:hAnsi="宋体" w:cs="宋体" w:eastAsia="宋体" w:hint="default"/>
        </w:rPr>
        <w:t>3,000</w:t>
      </w:r>
      <w:r>
        <w:rPr/>
        <w:t>万元设立全资供应链子公司（名称以工商注册结果为准</w:t>
      </w:r>
      <w:r>
        <w:rPr>
          <w:spacing w:val="-90"/>
        </w:rPr>
        <w:t>）</w:t>
      </w:r>
      <w:r>
        <w:rPr/>
        <w:t>。</w:t>
      </w:r>
    </w:p>
    <w:p>
      <w:pPr>
        <w:pStyle w:val="BodyText"/>
        <w:spacing w:line="432" w:lineRule="exact" w:before="4"/>
        <w:ind w:left="514" w:right="1122"/>
        <w:jc w:val="left"/>
      </w:pPr>
      <w:r>
        <w:rPr>
          <w:rFonts w:ascii="宋体" w:hAnsi="宋体" w:cs="宋体" w:eastAsia="宋体" w:hint="default"/>
        </w:rPr>
        <w:t>5. 2018</w:t>
      </w:r>
      <w:r>
        <w:rPr/>
        <w:t>年度利润分配预案 根据公司</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日第三届董事会第七次会议通过的决议，</w:t>
      </w:r>
      <w:r>
        <w:rPr>
          <w:rFonts w:ascii="宋体" w:hAnsi="宋体" w:cs="宋体" w:eastAsia="宋体" w:hint="default"/>
        </w:rPr>
        <w:t>2018</w:t>
      </w:r>
      <w:r>
        <w:rPr/>
        <w:t>年度公司利润分配方案为：公司拟以</w:t>
      </w:r>
      <w:r>
        <w:rPr>
          <w:rFonts w:ascii="宋体" w:hAnsi="宋体" w:cs="宋体" w:eastAsia="宋体" w:hint="default"/>
        </w:rPr>
        <w:t>2018</w:t>
      </w:r>
      <w:r>
        <w:rPr/>
        <w:t>年经审计</w:t>
      </w:r>
    </w:p>
    <w:p>
      <w:pPr>
        <w:pStyle w:val="BodyText"/>
        <w:spacing w:line="316" w:lineRule="auto" w:before="15"/>
        <w:ind w:right="1122"/>
        <w:jc w:val="left"/>
      </w:pPr>
      <w:r>
        <w:rPr/>
        <w:t>的可供分配利润向全体股东派发现金股利（含税）</w:t>
      </w:r>
      <w:r>
        <w:rPr>
          <w:rFonts w:ascii="宋体" w:hAnsi="宋体" w:cs="宋体" w:eastAsia="宋体" w:hint="default"/>
        </w:rPr>
        <w:t>1,800.00</w:t>
      </w:r>
      <w:r>
        <w:rPr/>
        <w:t>万元，即每</w:t>
      </w:r>
      <w:r>
        <w:rPr>
          <w:rFonts w:ascii="宋体" w:hAnsi="宋体" w:cs="宋体" w:eastAsia="宋体" w:hint="default"/>
        </w:rPr>
        <w:t>10</w:t>
      </w:r>
      <w:r>
        <w:rPr/>
        <w:t>股派发现金（含税）</w:t>
      </w:r>
      <w:r>
        <w:rPr>
          <w:rFonts w:ascii="宋体" w:hAnsi="宋体" w:cs="宋体" w:eastAsia="宋体" w:hint="default"/>
        </w:rPr>
        <w:t>0.3</w:t>
      </w:r>
      <w:r>
        <w:rPr/>
        <w:t>元。此分配预案待股东大</w:t>
      </w:r>
      <w:r>
        <w:rPr>
          <w:spacing w:val="-82"/>
        </w:rPr>
        <w:t> </w:t>
      </w:r>
      <w:r>
        <w:rPr>
          <w:spacing w:val="-82"/>
        </w:rPr>
      </w:r>
      <w:r>
        <w:rPr/>
        <w:t>会审议通过。</w:t>
      </w:r>
    </w:p>
    <w:p>
      <w:pPr>
        <w:pStyle w:val="BodyText"/>
        <w:spacing w:line="240" w:lineRule="auto" w:before="139"/>
        <w:ind w:left="514" w:right="1032"/>
        <w:jc w:val="left"/>
      </w:pPr>
      <w:r>
        <w:rPr/>
        <w:t>除上述事项外，截至本财务报表批准报出日止，本公司不存在其他需要披露的重大资产负债表日后非调整事项。</w:t>
      </w:r>
    </w:p>
    <w:p>
      <w:pPr>
        <w:spacing w:line="240" w:lineRule="auto" w:before="2"/>
        <w:rPr>
          <w:rFonts w:ascii="宋体" w:hAnsi="宋体" w:cs="宋体" w:eastAsia="宋体" w:hint="default"/>
          <w:sz w:val="25"/>
          <w:szCs w:val="25"/>
        </w:rPr>
      </w:pPr>
    </w:p>
    <w:p>
      <w:pPr>
        <w:pStyle w:val="Heading2"/>
        <w:spacing w:line="240" w:lineRule="auto"/>
        <w:ind w:right="1032"/>
        <w:jc w:val="left"/>
        <w:rPr>
          <w:b w:val="0"/>
          <w:bCs w:val="0"/>
        </w:rPr>
      </w:pPr>
      <w:bookmarkStart w:name="十四、母公司财务报表主要项目注释" w:id="316"/>
      <w:bookmarkEnd w:id="316"/>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票据及应收账款" w:id="317"/>
      <w:bookmarkEnd w:id="31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47,742,808.90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12,521,574.00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2,707,175,729.61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2,277,061,729.03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2,754,918,538.51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2,289,583,303.03</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1）应收票据" w:id="318"/>
      <w:bookmarkEnd w:id="31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21,847,128.69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6,323,823.00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28,301,152.17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6,197,751.00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减：商业承兑汇票坏账准备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-2,405,471.96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47,742,808.90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12,521,574.00</w:t>
            </w:r>
          </w:p>
        </w:tc>
      </w:tr>
    </w:tbl>
    <w:p>
      <w:pPr>
        <w:pStyle w:val="BodyText"/>
        <w:spacing w:line="240" w:lineRule="auto" w:before="51"/>
        <w:ind w:right="1032"/>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12,079,376.60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12,079,376.60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10"/>
        <w:rPr>
          <w:rFonts w:ascii="宋体" w:hAnsi="宋体" w:cs="宋体" w:eastAsia="宋体" w:hint="default"/>
          <w:sz w:val="21"/>
          <w:szCs w:val="21"/>
        </w:rPr>
      </w:pPr>
    </w:p>
    <w:p>
      <w:pPr>
        <w:pStyle w:val="Heading3"/>
        <w:spacing w:line="240" w:lineRule="auto" w:before="35"/>
        <w:ind w:right="1032"/>
        <w:jc w:val="left"/>
        <w:rPr>
          <w:b w:val="0"/>
          <w:bCs w:val="0"/>
        </w:rPr>
      </w:pPr>
      <w:bookmarkStart w:name="（2）应收账款" w:id="319"/>
      <w:bookmarkEnd w:id="31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3,062,7</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90,873.</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99.83</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359,11</w:t>
            </w:r>
          </w:p>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6,254.5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2,703,6</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74,618.</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2,530</w:t>
            </w:r>
          </w:p>
          <w:p>
            <w:pPr>
              <w:pStyle w:val="TableParagraph"/>
              <w:spacing w:line="240" w:lineRule="auto" w:before="104"/>
              <w:ind w:left="181"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99.16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253,146</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,961.30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2,277,06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1,729.03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10.79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32.69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3,501,1</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1,044</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21,511,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044.18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3,067,9</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91,984.</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360,81</w:t>
            </w:r>
          </w:p>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6,254.5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11.76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2,707,1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75,729.</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2,551</w:t>
            </w:r>
          </w:p>
          <w:p>
            <w:pPr>
              <w:pStyle w:val="TableParagraph"/>
              <w:spacing w:line="240" w:lineRule="auto" w:before="104"/>
              <w:ind w:left="181" w:right="0"/>
              <w:jc w:val="left"/>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274,658</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,005.48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2,277,06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1,729.03</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1,895,713,549.13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94,785,677.46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696,931,708.11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69,693,170.81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350,364,620.35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105,109,386.11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49,775,474.55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24,887,737.28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26,826,191.69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21,460,953.35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43,179,329.58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43,179,329.58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0" w:right="0"/>
              <w:jc w:val="left"/>
              <w:rPr>
                <w:rFonts w:ascii="Times New Roman" w:hAnsi="Times New Roman" w:cs="Times New Roman" w:eastAsia="Times New Roman" w:hint="default"/>
                <w:sz w:val="18"/>
                <w:szCs w:val="18"/>
              </w:rPr>
            </w:pPr>
            <w:r>
              <w:rPr>
                <w:rFonts w:ascii="Times New Roman"/>
                <w:sz w:val="18"/>
              </w:rPr>
              <w:t>3,062,790,873.41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9" w:right="0"/>
              <w:jc w:val="left"/>
              <w:rPr>
                <w:rFonts w:ascii="Times New Roman" w:hAnsi="Times New Roman" w:cs="Times New Roman" w:eastAsia="Times New Roman" w:hint="default"/>
                <w:sz w:val="18"/>
                <w:szCs w:val="18"/>
              </w:rPr>
            </w:pPr>
            <w:r>
              <w:rPr>
                <w:rFonts w:ascii="Times New Roman"/>
                <w:sz w:val="18"/>
              </w:rPr>
              <w:t>359,116,254.59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11.73%</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pStyle w:val="BodyText"/>
        <w:spacing w:line="360" w:lineRule="auto" w:before="51"/>
        <w:ind w:right="243"/>
        <w:jc w:val="left"/>
      </w:pPr>
      <w:r>
        <w:rPr/>
        <w:t>确定该组合依据的说明： 公司应收账款的坏账风险主要与账龄相关，故以账龄作为信用风险组合依据。 组合中，采用余额百分比法计提坏账准备的应收账款：</w:t>
      </w:r>
    </w:p>
    <w:p>
      <w:pPr>
        <w:pStyle w:val="BodyText"/>
        <w:spacing w:line="240" w:lineRule="auto" w:before="27"/>
        <w:ind w:right="243"/>
        <w:jc w:val="left"/>
      </w:pPr>
      <w:r>
        <w:rPr/>
        <w:t>□ 适用 √ 不适用</w:t>
      </w:r>
    </w:p>
    <w:p>
      <w:pPr>
        <w:pStyle w:val="BodyText"/>
        <w:spacing w:line="240" w:lineRule="auto" w:before="116"/>
        <w:ind w:right="24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5"/>
        <w:jc w:val="left"/>
      </w:pPr>
      <w:r>
        <w:rPr/>
        <w:t>本期计提坏账准备金额</w:t>
      </w:r>
      <w:r>
        <w:rPr>
          <w:spacing w:val="-48"/>
        </w:rPr>
        <w:t> </w:t>
      </w:r>
      <w:r>
        <w:rPr>
          <w:rFonts w:ascii="Times New Roman" w:hAnsi="Times New Roman" w:cs="Times New Roman" w:eastAsia="Times New Roman" w:hint="default"/>
        </w:rPr>
        <w:t>86,158,249.11</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3"/>
        <w:ind w:right="243"/>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100" w:bottom="1200" w:left="980" w:right="0"/>
          <w:cols w:num="2" w:equalWidth="0">
            <w:col w:w="6538" w:space="2291"/>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21,511,044.18</w:t>
            </w:r>
          </w:p>
        </w:tc>
      </w:tr>
    </w:tbl>
    <w:p>
      <w:pPr>
        <w:pStyle w:val="BodyText"/>
        <w:spacing w:line="240" w:lineRule="auto" w:before="51"/>
        <w:ind w:right="1032"/>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6,313,114.12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2,408,019.00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2,274,585.06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21,265,718.18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28" w:lineRule="auto" w:before="51"/>
        <w:ind w:right="1032"/>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2"/>
          <w:w w:val="99"/>
        </w:rPr>
        <w:t>本期按照欠款方归集的期末余额前五名应收账款汇总金额为</w:t>
      </w:r>
      <w:r>
        <w:rPr>
          <w:rFonts w:ascii="宋体" w:hAnsi="宋体" w:cs="宋体" w:eastAsia="宋体" w:hint="default"/>
          <w:spacing w:val="-2"/>
          <w:w w:val="99"/>
        </w:rPr>
        <w:t>298,917,604.82</w:t>
      </w:r>
      <w:r>
        <w:rPr>
          <w:spacing w:val="-2"/>
          <w:w w:val="99"/>
        </w:rPr>
        <w:t>元，占应收账款期末余额的合并数的比例</w:t>
      </w:r>
      <w:r>
        <w:rPr>
          <w:rFonts w:ascii="宋体" w:hAnsi="宋体" w:cs="宋体" w:eastAsia="宋体" w:hint="default"/>
          <w:spacing w:val="-2"/>
          <w:w w:val="99"/>
        </w:rPr>
        <w:t>9.74%</w:t>
      </w:r>
      <w:r>
        <w:rPr>
          <w:spacing w:val="-2"/>
          <w:w w:val="99"/>
        </w:rPr>
        <w:t>，</w:t>
      </w:r>
      <w:r>
        <w:rPr>
          <w:spacing w:val="-44"/>
          <w:w w:val="99"/>
        </w:rPr>
        <w:t> </w:t>
      </w:r>
      <w:r>
        <w:rPr/>
        <w:t>对应计提的坏账准备期末余额汇总金额</w:t>
      </w:r>
      <w:r>
        <w:rPr>
          <w:rFonts w:ascii="宋体" w:hAnsi="宋体" w:cs="宋体" w:eastAsia="宋体" w:hint="default"/>
        </w:rPr>
        <w:t>27,670,827.37</w:t>
      </w:r>
      <w:r>
        <w:rPr/>
        <w:t>元。</w:t>
      </w:r>
    </w:p>
    <w:p>
      <w:pPr>
        <w:spacing w:line="240" w:lineRule="auto" w:before="11"/>
        <w:rPr>
          <w:rFonts w:ascii="宋体" w:hAnsi="宋体" w:cs="宋体" w:eastAsia="宋体" w:hint="default"/>
          <w:sz w:val="21"/>
          <w:szCs w:val="21"/>
        </w:rPr>
      </w:pPr>
    </w:p>
    <w:p>
      <w:pPr>
        <w:pStyle w:val="Heading3"/>
        <w:spacing w:line="240" w:lineRule="auto"/>
        <w:ind w:right="1032"/>
        <w:jc w:val="left"/>
        <w:rPr>
          <w:b w:val="0"/>
          <w:bCs w:val="0"/>
        </w:rPr>
      </w:pPr>
      <w:bookmarkStart w:name="2、其他应收款" w:id="320"/>
      <w:bookmarkEnd w:id="32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54" w:right="1032" w:firstLine="0"/>
        <w:jc w:val="left"/>
        <w:rPr>
          <w:rFonts w:ascii="宋体" w:hAnsi="宋体" w:cs="宋体" w:eastAsia="宋体" w:hint="default"/>
          <w:sz w:val="21"/>
          <w:szCs w:val="21"/>
        </w:rPr>
      </w:pPr>
      <w:bookmarkStart w:name="（1）其他应收款"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4,098.7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12,291,</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843.99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2,254.7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44,95</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7.09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98.83</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7,535,2</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85.85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97,709,6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71.24</w:t>
            </w: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,083.</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1,241,0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83.21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4,098.7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12,291,</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843.99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2,254.7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106,4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8,776,3</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69.06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97,709,6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71.24</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019" w:top="1100" w:bottom="120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116,536,852.19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5,826,842.61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25,424,486.82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2,542,448.68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3,912,778.40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1,173,833.52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4,570,465.67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2,285,232.84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480,146.74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384,117.39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79,368.95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79,368.95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151,004,098.77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12,291,843.99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pStyle w:val="BodyText"/>
        <w:spacing w:line="357" w:lineRule="auto" w:before="51"/>
        <w:ind w:right="-20"/>
        <w:jc w:val="left"/>
      </w:pPr>
      <w:r>
        <w:rPr/>
        <w:t>确定该组合依据的说明： 公司其他应收账款的坏账风险主要与账龄相关，故以账龄作为信用风险组合依据。 组合中，采用余额百分比法计提坏账准备的其他应收款：</w:t>
      </w:r>
    </w:p>
    <w:p>
      <w:pPr>
        <w:pStyle w:val="BodyText"/>
        <w:spacing w:line="357" w:lineRule="auto" w:before="29"/>
        <w:ind w:right="2320"/>
        <w:jc w:val="left"/>
      </w:pPr>
      <w:r>
        <w:rPr/>
        <w:t>□ 适用 √ 不适用 组合中，采用其他方法计提坏账准备的其他应收款：</w:t>
      </w:r>
    </w:p>
    <w:p>
      <w:pPr>
        <w:pStyle w:val="BodyText"/>
        <w:spacing w:line="240" w:lineRule="auto" w:before="29"/>
        <w:ind w:right="-20"/>
        <w:jc w:val="left"/>
      </w:pPr>
      <w:r>
        <w:rPr/>
        <w:t>□ 适用 √ 不适用</w:t>
      </w:r>
    </w:p>
    <w:p>
      <w:pPr>
        <w:pStyle w:val="BodyText"/>
        <w:spacing w:line="240" w:lineRule="auto" w:before="116"/>
        <w:ind w:right="-2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20"/>
        <w:jc w:val="left"/>
      </w:pPr>
      <w:r>
        <w:rPr/>
        <w:t>本期计提坏账准备金额</w:t>
      </w:r>
      <w:r>
        <w:rPr>
          <w:spacing w:val="-47"/>
        </w:rPr>
        <w:t> </w:t>
      </w:r>
      <w:r>
        <w:rPr>
          <w:rFonts w:ascii="Times New Roman" w:hAnsi="Times New Roman" w:cs="Times New Roman" w:eastAsia="Times New Roman" w:hint="default"/>
        </w:rPr>
        <w:t>3,515,474.93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2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153" w:right="0"/>
        <w:jc w:val="left"/>
      </w:pPr>
      <w:r>
        <w:rPr/>
        <w:t>单位： 元</w:t>
      </w:r>
    </w:p>
    <w:p>
      <w:pPr>
        <w:spacing w:after="0" w:line="240" w:lineRule="auto"/>
        <w:jc w:val="left"/>
        <w:sectPr>
          <w:type w:val="continuous"/>
          <w:pgSz w:w="11910" w:h="16840"/>
          <w:pgMar w:top="1100" w:bottom="1200" w:left="980" w:right="0"/>
          <w:cols w:num="2" w:equalWidth="0">
            <w:col w:w="6635" w:space="2195"/>
            <w:col w:w="2100"/>
          </w:cols>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1,631,233.21</w:t>
            </w:r>
          </w:p>
        </w:tc>
      </w:tr>
    </w:tbl>
    <w:p>
      <w:pPr>
        <w:spacing w:line="240" w:lineRule="auto" w:before="7"/>
        <w:rPr>
          <w:rFonts w:ascii="宋体" w:hAnsi="宋体" w:cs="宋体" w:eastAsia="宋体" w:hint="default"/>
          <w:sz w:val="27"/>
          <w:szCs w:val="2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771,049.21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470,034.00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390,150.00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1,631,233.21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right="1032"/>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投标、履约及农民工保证金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55,893,108.41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54,768,492.17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73,473,936.31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32,661,409.34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8,591,835.72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6,625,698.47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7,045,218.33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6,430,440.32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151,004,098.77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106,486,040.30</w:t>
            </w:r>
          </w:p>
        </w:tc>
      </w:tr>
    </w:tbl>
    <w:p>
      <w:pPr>
        <w:pStyle w:val="BodyText"/>
        <w:spacing w:line="240" w:lineRule="auto" w:before="51"/>
        <w:ind w:right="103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2,746,473.00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137,323.65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2,499,000.00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249,900.00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1,540,122.00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154,012.20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14,285,595.00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1,216,235.85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长期股权投资" w:id="322"/>
      <w:bookmarkEnd w:id="32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151,935,540.42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151,935,540.42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152,435,540.42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152,435,540.42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63,040,274.84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63,040,274.84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50,377,882.17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50,377,882.17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214,975,815.26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214,975,815.26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202,813,422.59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202,813,422.59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对子公司投资" w:id="323"/>
      <w:bookmarkEnd w:id="32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696,627.90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696,627.90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南京卓佰年</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465,171.02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465,171.02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94,735,098.80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94,735,098.80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吉林中装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38,642.70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38,642.70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中装城市建设</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152,435,540.4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151,935,540.4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对联营、合营企业投资" w:id="324"/>
      <w:bookmarkEnd w:id="32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41"/>
              <w:jc w:val="left"/>
              <w:rPr>
                <w:rFonts w:ascii="宋体" w:hAnsi="宋体" w:cs="宋体" w:eastAsia="宋体" w:hint="default"/>
                <w:sz w:val="18"/>
                <w:szCs w:val="18"/>
              </w:rPr>
            </w:pPr>
            <w:r>
              <w:rPr>
                <w:rFonts w:ascii="宋体" w:hAnsi="宋体" w:cs="宋体" w:eastAsia="宋体" w:hint="default"/>
                <w:sz w:val="18"/>
                <w:szCs w:val="18"/>
              </w:rPr>
              <w:t>赛格物 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40,454,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915.28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6,471,7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63.72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46,926,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679.00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left"/>
              <w:rPr>
                <w:rFonts w:ascii="宋体" w:hAnsi="宋体" w:cs="宋体" w:eastAsia="宋体" w:hint="default"/>
                <w:sz w:val="18"/>
                <w:szCs w:val="18"/>
              </w:rPr>
            </w:pPr>
            <w:r>
              <w:rPr>
                <w:rFonts w:ascii="宋体" w:hAnsi="宋体" w:cs="宋体" w:eastAsia="宋体" w:hint="default"/>
                <w:sz w:val="18"/>
                <w:szCs w:val="18"/>
              </w:rPr>
              <w:t>引爆互 联网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66.89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66.89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南亿科 技</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1,113,5</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95.84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16,113,</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595.84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50,377,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882.17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66.89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7,585,3</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59.56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274.84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50,377,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882.17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66.89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7,585,3</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59.56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274.84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营业收入和营业成本" w:id="325"/>
      <w:bookmarkEnd w:id="3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4,010,288,140.06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3,428,269,867.17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3,087,252,506.96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2,637,869,137.68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367,025.74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240,847.39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4,010,655,165.80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3,428,269,867.17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3,087,493,354.35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2,637,869,137.68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投资收益" w:id="326"/>
      <w:bookmarkEnd w:id="3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7,585,359.56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2,487,883.69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-1,294,782.05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-2,047,965.77</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-315,457.58</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 新计量产生的利得</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5,863,534.34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1,812,863.71</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12,154,111.85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1,937,324.05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9"/>
        <w:rPr>
          <w:rFonts w:ascii="宋体" w:hAnsi="宋体" w:cs="宋体" w:eastAsia="宋体" w:hint="default"/>
          <w:sz w:val="20"/>
          <w:szCs w:val="20"/>
        </w:rPr>
      </w:pPr>
    </w:p>
    <w:p>
      <w:pPr>
        <w:pStyle w:val="Heading2"/>
        <w:spacing w:line="240" w:lineRule="auto" w:before="26"/>
        <w:ind w:right="1032"/>
        <w:jc w:val="left"/>
        <w:rPr>
          <w:b w:val="0"/>
          <w:bCs w:val="0"/>
        </w:rPr>
      </w:pPr>
      <w:bookmarkStart w:name="十五、补充资料" w:id="327"/>
      <w:bookmarkEnd w:id="327"/>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当期非经常性损益明细表" w:id="328"/>
      <w:bookmarkEnd w:id="32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-12,332.89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2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2,511,904.72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5,863,534.34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 提的各项资产减值准备</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 合费用等</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 允价值部分的损益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-6,967,601.36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354,917.03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1,040,623.78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1032"/>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净资产收益率及每股收益" w:id="329"/>
      <w:bookmarkEnd w:id="32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019" w:top="1100" w:bottom="120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1"/>
        <w:ind w:left="3286" w:right="1032" w:firstLine="0"/>
        <w:jc w:val="left"/>
        <w:rPr>
          <w:rFonts w:ascii="宋体" w:hAnsi="宋体" w:cs="宋体" w:eastAsia="宋体" w:hint="default"/>
          <w:sz w:val="32"/>
          <w:szCs w:val="32"/>
        </w:rPr>
      </w:pPr>
      <w:bookmarkStart w:name="第十二节 备查文件目录" w:id="330"/>
      <w:bookmarkEnd w:id="330"/>
      <w:r>
        <w:rPr/>
      </w:r>
      <w:r>
        <w:rPr>
          <w:rFonts w:ascii="宋体" w:hAnsi="宋体" w:cs="宋体" w:eastAsia="宋体" w:hint="default"/>
          <w:b/>
          <w:bCs/>
          <w:sz w:val="32"/>
          <w:szCs w:val="32"/>
        </w:rPr>
        <w:t>第十二节</w:t>
      </w:r>
      <w:r>
        <w:rPr>
          <w:rFonts w:ascii="宋体" w:hAnsi="宋体" w:cs="宋体" w:eastAsia="宋体" w:hint="default"/>
          <w:b/>
          <w:bCs/>
          <w:spacing w:val="-8"/>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8"/>
        <w:rPr>
          <w:rFonts w:ascii="宋体" w:hAnsi="宋体" w:cs="宋体" w:eastAsia="宋体" w:hint="default"/>
          <w:b/>
          <w:bCs/>
          <w:sz w:val="42"/>
          <w:szCs w:val="42"/>
        </w:rPr>
      </w:pPr>
    </w:p>
    <w:p>
      <w:pPr>
        <w:pStyle w:val="BodyText"/>
        <w:spacing w:line="360" w:lineRule="auto"/>
        <w:ind w:right="3642"/>
        <w:jc w:val="left"/>
      </w:pPr>
      <w:r>
        <w:rPr/>
        <w:t>一、载有公司法定代表人、主管会计工作负责人、会计机构负责人签名并盖章的财务报表</w:t>
      </w:r>
      <w:r>
        <w:rPr>
          <w:rFonts w:ascii="宋体" w:hAnsi="宋体" w:cs="宋体" w:eastAsia="宋体" w:hint="default"/>
        </w:rPr>
        <w:t>; </w:t>
      </w:r>
      <w:r>
        <w:rPr/>
        <w:t>二、载有会计师事务所盖章、注册会计师签名并盖章的审计报告原件</w:t>
      </w:r>
      <w:r>
        <w:rPr>
          <w:rFonts w:ascii="宋体" w:hAnsi="宋体" w:cs="宋体" w:eastAsia="宋体" w:hint="default"/>
        </w:rPr>
        <w:t>; </w:t>
      </w:r>
      <w:r>
        <w:rPr/>
        <w:t>三、报告期内在中国证监会指定网站上公开披露过的所有公司文件的正本及公告的原稿</w:t>
      </w:r>
      <w:r>
        <w:rPr>
          <w:rFonts w:ascii="宋体" w:hAnsi="宋体" w:cs="宋体" w:eastAsia="宋体" w:hint="default"/>
        </w:rPr>
        <w:t>; </w:t>
      </w:r>
      <w:r>
        <w:rPr/>
        <w:t>四、载有公司董事长签名并盖章的</w:t>
      </w:r>
      <w:r>
        <w:rPr>
          <w:rFonts w:ascii="宋体" w:hAnsi="宋体" w:cs="宋体" w:eastAsia="宋体" w:hint="default"/>
        </w:rPr>
        <w:t>2018</w:t>
      </w:r>
      <w:r>
        <w:rPr/>
        <w:t>年度报告原件</w:t>
      </w:r>
      <w:r>
        <w:rPr>
          <w:rFonts w:ascii="宋体" w:hAnsi="宋体" w:cs="宋体" w:eastAsia="宋体" w:hint="default"/>
        </w:rPr>
        <w:t>; </w:t>
      </w:r>
      <w:r>
        <w:rPr/>
        <w:t>五、以上备查文件置备于公司董事会办公室。</w:t>
      </w:r>
    </w:p>
    <w:p>
      <w:pPr>
        <w:spacing w:after="0" w:line="360" w:lineRule="auto"/>
        <w:jc w:val="left"/>
        <w:sectPr>
          <w:pgSz w:w="11910" w:h="16840"/>
          <w:pgMar w:header="91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841" w:right="1032"/>
        <w:jc w:val="left"/>
        <w:rPr>
          <w:b w:val="0"/>
          <w:bCs w:val="0"/>
        </w:rPr>
      </w:pPr>
      <w:bookmarkStart w:name="第十三节 上市公司内部控制规则落实自查表" w:id="331"/>
      <w:bookmarkEnd w:id="331"/>
      <w:r>
        <w:rPr>
          <w:b w:val="0"/>
          <w:bCs w:val="0"/>
        </w:rPr>
      </w:r>
      <w:r>
        <w:rPr/>
        <w:t>第十三节</w:t>
      </w:r>
      <w:r>
        <w:rPr>
          <w:spacing w:val="-16"/>
        </w:rPr>
        <w:t> </w:t>
      </w:r>
      <w:r>
        <w:rPr/>
        <w:t>上市公司内部控制规则落实自查表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571"/>
        <w:gridCol w:w="3171"/>
        <w:gridCol w:w="2826"/>
      </w:tblGrid>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内部控制规则落实自查事项</w:t>
            </w:r>
          </w:p>
        </w:tc>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一、内部审计和审计委员会运作</w:t>
            </w: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、内部审计部门负责人是否为专职，并由 审计委员会提名，董事会任免。</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、公司是否设立独立于财务部门的内部审 计部门，是否配置专职内部审计人员。</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、内部审计部门是否至少每季度向审计委 员会报告一次。</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、内部审计部门是否至少每季度对如下事 项进行一次检查：</w:t>
            </w:r>
          </w:p>
        </w:tc>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）募集资金的存放与使用</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）对外担保</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）关联交易</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）证券投资</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）风险投资</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）对外提供财务资助</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）购买和出售资产</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）对外投资</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）公司大额资金往来</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）公司与董事、监事、高级管理人员、 </w:t>
            </w:r>
            <w:r>
              <w:rPr>
                <w:rFonts w:ascii="宋体" w:hAnsi="宋体" w:cs="宋体" w:eastAsia="宋体" w:hint="default"/>
                <w:spacing w:val="-5"/>
                <w:sz w:val="18"/>
                <w:szCs w:val="18"/>
              </w:rPr>
              <w:t>控股股东、实际控制人及其关联人资金往来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情况</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、审计委员会是否至少每季度召开一次会 </w:t>
            </w:r>
            <w:r>
              <w:rPr>
                <w:rFonts w:ascii="宋体" w:hAnsi="宋体" w:cs="宋体" w:eastAsia="宋体" w:hint="default"/>
                <w:spacing w:val="-5"/>
                <w:sz w:val="18"/>
                <w:szCs w:val="18"/>
              </w:rPr>
              <w:t>议，审议内部审计部门提交的工作计划和报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告。</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、审计委员会是否至少每季度向董事会报 </w:t>
            </w:r>
            <w:r>
              <w:rPr>
                <w:rFonts w:ascii="宋体" w:hAnsi="宋体" w:cs="宋体" w:eastAsia="宋体" w:hint="default"/>
                <w:spacing w:val="-5"/>
                <w:sz w:val="18"/>
                <w:szCs w:val="18"/>
              </w:rPr>
              <w:t>告一次内部审计工作进度、质量以及发现的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重大问题等内部审计工作情况。</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、内部审计部门是否按时向审计委员会提 交年度内部审计工作报告和次一年度内部 审计工作计划。</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二、信息披露的内部控制</w:t>
            </w: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、公司是否制定信息披露事务管理制度和 重大信息内部保密制度。</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71"/>
        <w:gridCol w:w="3171"/>
        <w:gridCol w:w="2826"/>
      </w:tblGrid>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、公司是否指派或者授权董事会秘书或者 证券事务代表负责查看互动易网站上的投 资者提问，并及时、完整进行回复。</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、公司与特定对象直接沟通前是否要求特 定对象签署承诺书。</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、公司每次在投资者关系活动结束后两个 </w:t>
            </w:r>
            <w:r>
              <w:rPr>
                <w:rFonts w:ascii="宋体" w:hAnsi="宋体" w:cs="宋体" w:eastAsia="宋体" w:hint="default"/>
                <w:spacing w:val="-3"/>
                <w:sz w:val="18"/>
                <w:szCs w:val="18"/>
              </w:rPr>
              <w:t>交易日内，是否编制《投资者关系活动记录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表》并将该表及活动过程中所使用的演示文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稿、提供的文档等附件（如有）及时在深交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所互动易网站刊载，同时在公司网站（如有）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刊载。</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三、内幕交易的内部控制</w:t>
            </w:r>
          </w:p>
        </w:tc>
      </w:tr>
      <w:tr>
        <w:trPr>
          <w:trHeight w:val="1338"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、公司是否建立内幕信息知情人员登记管 </w:t>
            </w:r>
            <w:r>
              <w:rPr>
                <w:rFonts w:ascii="宋体" w:hAnsi="宋体" w:cs="宋体" w:eastAsia="宋体" w:hint="default"/>
                <w:spacing w:val="-5"/>
                <w:sz w:val="18"/>
                <w:szCs w:val="18"/>
              </w:rPr>
              <w:t>理制度，对内幕信息的保密管理及在内幕信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息依法公开披露前的内幕信息知情人员的 登记管理做出规定。</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、公司是否在内幕信息依法公开披露前， </w:t>
            </w:r>
            <w:r>
              <w:rPr>
                <w:rFonts w:ascii="宋体" w:hAnsi="宋体" w:cs="宋体" w:eastAsia="宋体" w:hint="default"/>
                <w:spacing w:val="-5"/>
                <w:sz w:val="18"/>
                <w:szCs w:val="18"/>
              </w:rPr>
              <w:t>填写《上市公司内幕信息知情人员档案》并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在筹划重大事项时形成重大事项进程备忘 录，相关人员是否在备忘录上签名确认。</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、公司是否在年度报告、半年度报告和相 关重大事项公告后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个交易日内对内幕信 息知情人员买卖本公司证券及其衍生品种 </w:t>
            </w:r>
            <w:r>
              <w:rPr>
                <w:rFonts w:ascii="宋体" w:hAnsi="宋体" w:cs="宋体" w:eastAsia="宋体" w:hint="default"/>
                <w:spacing w:val="-5"/>
                <w:sz w:val="18"/>
                <w:szCs w:val="18"/>
              </w:rPr>
              <w:t>的情况进行自查。发现内幕信息知情人员进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行内幕交易、泄露内幕信息或者建议他人利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用内幕信息进行交易的，是否进行核实、追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3"/>
                <w:sz w:val="18"/>
                <w:szCs w:val="18"/>
              </w:rPr>
              <w:t>究责任，并在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个工作日内将有关情况及处 理结果报送深交所和当地证监局。</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、公司董事、监事、高级管理人员和证券 事务代表及前述人员的配偶买卖本公司股 票及其衍生品种前是否以书面方式将其买 卖计划通知董事会秘书。</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1"/>
              <w:jc w:val="both"/>
              <w:rPr>
                <w:rFonts w:ascii="宋体" w:hAnsi="宋体" w:cs="宋体" w:eastAsia="宋体" w:hint="default"/>
                <w:sz w:val="18"/>
                <w:szCs w:val="18"/>
              </w:rPr>
            </w:pPr>
            <w:r>
              <w:rPr>
                <w:rFonts w:ascii="宋体" w:hAnsi="宋体" w:cs="宋体" w:eastAsia="宋体" w:hint="default"/>
                <w:sz w:val="18"/>
                <w:szCs w:val="18"/>
              </w:rPr>
              <w:t>报告期内未发生董事、监事、高 级管理人员和证券事务代表及前 述人员的配偶买卖本公司股票的 行为</w:t>
            </w:r>
          </w:p>
        </w:tc>
      </w:tr>
      <w:tr>
        <w:trPr>
          <w:trHeight w:val="714"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、公司关联交易是否严格执行审批权限、 审议程序并及时履行信息披露义务。</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四、募集资金的内部控制</w:t>
            </w:r>
          </w:p>
        </w:tc>
      </w:tr>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、公司及实施募集资金项目的子公司是否 </w:t>
            </w:r>
            <w:r>
              <w:rPr>
                <w:rFonts w:ascii="宋体" w:hAnsi="宋体" w:cs="宋体" w:eastAsia="宋体" w:hint="default"/>
                <w:spacing w:val="-5"/>
                <w:sz w:val="18"/>
                <w:szCs w:val="18"/>
              </w:rPr>
              <w:t>对募集资金进行专户存储并及时签订《募集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9"/>
                <w:sz w:val="18"/>
                <w:szCs w:val="18"/>
              </w:rPr>
              <w:t>资金三方监管协议》。</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、内部审计部门是否至少每季度对募集资 </w:t>
            </w:r>
            <w:r>
              <w:rPr>
                <w:rFonts w:ascii="宋体" w:hAnsi="宋体" w:cs="宋体" w:eastAsia="宋体" w:hint="default"/>
                <w:spacing w:val="-5"/>
                <w:sz w:val="18"/>
                <w:szCs w:val="18"/>
              </w:rPr>
              <w:t>金的使用和存放情况进行一次审计，并对募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集资金使用的真实性和合规性发表意见。</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60"/>
        <w:gridCol w:w="3183"/>
        <w:gridCol w:w="2826"/>
      </w:tblGrid>
      <w:tr>
        <w:trPr>
          <w:trHeight w:val="2274"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、除金融类企业外，公司是否未将募集资 金投资于持有交易性金融资产和可供出售 </w:t>
            </w:r>
            <w:r>
              <w:rPr>
                <w:rFonts w:ascii="宋体" w:hAnsi="宋体" w:cs="宋体" w:eastAsia="宋体" w:hint="default"/>
                <w:spacing w:val="-5"/>
                <w:sz w:val="18"/>
                <w:szCs w:val="18"/>
              </w:rPr>
              <w:t>的金融资产、借予他人、委托理财等财务性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投资，未将募集资金用于风险投资、直接或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者间接投资于以买卖有价证券为主要业务 </w:t>
            </w:r>
            <w:r>
              <w:rPr>
                <w:rFonts w:ascii="宋体" w:hAnsi="宋体" w:cs="宋体" w:eastAsia="宋体" w:hint="default"/>
                <w:spacing w:val="-5"/>
                <w:sz w:val="18"/>
                <w:szCs w:val="18"/>
              </w:rPr>
              <w:t>的公司或者用于质押、委托贷款以及其他变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相改变募集资金用途的投资。</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、公司在进行风险投资时后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个月内，是</w:t>
            </w:r>
            <w:r>
              <w:rPr>
                <w:rFonts w:ascii="宋体" w:hAnsi="宋体" w:cs="宋体" w:eastAsia="宋体" w:hint="default"/>
                <w:sz w:val="18"/>
                <w:szCs w:val="18"/>
              </w:rPr>
              <w:t> 否未使用闲置募集资金暂时补充流动资金， 未将募集资金投向变更为永久性补充流动 </w:t>
            </w:r>
            <w:r>
              <w:rPr>
                <w:rFonts w:ascii="宋体" w:hAnsi="宋体" w:cs="宋体" w:eastAsia="宋体" w:hint="default"/>
                <w:spacing w:val="-5"/>
                <w:sz w:val="18"/>
                <w:szCs w:val="18"/>
              </w:rPr>
              <w:t>资金，未将超募资金永久性用于补充流动资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金或者归还银行贷款。</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报告期内公司未进行风险投资</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五、关联交易的内部控制</w:t>
            </w:r>
          </w:p>
        </w:tc>
      </w:tr>
      <w:tr>
        <w:trPr>
          <w:trHeight w:val="1962"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、公司是否在首次公开发行股票上市后</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个交易日内通过深交所业务专区“资料填 </w:t>
            </w:r>
            <w:r>
              <w:rPr>
                <w:rFonts w:ascii="宋体" w:hAnsi="宋体" w:cs="宋体" w:eastAsia="宋体" w:hint="default"/>
                <w:spacing w:val="-5"/>
                <w:sz w:val="18"/>
                <w:szCs w:val="18"/>
              </w:rPr>
              <w:t>报：关联人数据填报”栏目向深交所报备关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联人信息。关联人及其信息发生变化的，公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司是否在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个交易日内进行更新。公司报备</w:t>
            </w:r>
            <w:r>
              <w:rPr>
                <w:rFonts w:ascii="宋体" w:hAnsi="宋体" w:cs="宋体" w:eastAsia="宋体" w:hint="default"/>
                <w:sz w:val="18"/>
                <w:szCs w:val="18"/>
              </w:rPr>
              <w:t> 的关联人信息是否真实、准确、完整。</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、公司独立董事、监事是否至少每季度查 阅一次公司与关联人之间的资金往来情况。</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、公司是否明确股东大会、董事会对关联 </w:t>
            </w:r>
            <w:r>
              <w:rPr>
                <w:rFonts w:ascii="宋体" w:hAnsi="宋体" w:cs="宋体" w:eastAsia="宋体" w:hint="default"/>
                <w:spacing w:val="-5"/>
                <w:sz w:val="18"/>
                <w:szCs w:val="18"/>
              </w:rPr>
              <w:t>交易的审批权限，制定相应的审议程序，并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得以执行。</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、公司董事、监事、高级管理人员、控股 </w:t>
            </w:r>
            <w:r>
              <w:rPr>
                <w:rFonts w:ascii="宋体" w:hAnsi="宋体" w:cs="宋体" w:eastAsia="宋体" w:hint="default"/>
                <w:spacing w:val="-5"/>
                <w:sz w:val="18"/>
                <w:szCs w:val="18"/>
              </w:rPr>
              <w:t>股东、实际控制人及其关联人是否不存在直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接、间接和变相占用上市公司资金的情况。</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六、对外担保的内部控制</w:t>
            </w:r>
          </w:p>
        </w:tc>
      </w:tr>
      <w:tr>
        <w:trPr>
          <w:trHeight w:val="1026"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、公司是否在章程中明确股东大会、董事 会关于对外担保事项的审批权限以及违反 审批权限和审议程序的责任追究制度。</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、公司对外担保是否严格执行审批权限、 审议程序并及时履行信息披露义务。</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七、重大投资的内部控制</w:t>
            </w:r>
          </w:p>
        </w:tc>
      </w:tr>
      <w:tr>
        <w:trPr>
          <w:trHeight w:val="1338"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、公司是否在章程中明确股东大会、董事 </w:t>
            </w:r>
            <w:r>
              <w:rPr>
                <w:rFonts w:ascii="宋体" w:hAnsi="宋体" w:cs="宋体" w:eastAsia="宋体" w:hint="default"/>
                <w:spacing w:val="-5"/>
                <w:sz w:val="18"/>
                <w:szCs w:val="18"/>
              </w:rPr>
              <w:t>会对重大投资的审批权限和审议程序，有关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审批权限和审议程序是否符合法律法规和 深交所业务规则的规定。</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、公司重大投资是否严格执行审批权限、 审议程序并及时履行信息披露义务。</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60"/>
        <w:gridCol w:w="3183"/>
        <w:gridCol w:w="1413"/>
        <w:gridCol w:w="1414"/>
      </w:tblGrid>
      <w:tr>
        <w:trPr>
          <w:trHeight w:val="1962"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、公司在以下期间，是否未进行风险投资：</w:t>
            </w:r>
          </w:p>
          <w:p>
            <w:pPr>
              <w:pStyle w:val="TableParagraph"/>
              <w:spacing w:line="304"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）使用闲置募集资金暂时补充流动资金 </w:t>
            </w:r>
            <w:r>
              <w:rPr>
                <w:rFonts w:ascii="宋体" w:hAnsi="宋体" w:cs="宋体" w:eastAsia="宋体" w:hint="default"/>
                <w:spacing w:val="-9"/>
                <w:sz w:val="18"/>
                <w:szCs w:val="18"/>
              </w:rPr>
              <w:t>期间；（</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）将募集资金投向变更为永久性补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充流动资金后十二个月内；（</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）将超募资金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永久性用于补充流动资金或者归还银行贷 款后的十二个月内。</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八、其他重要事项</w:t>
            </w:r>
          </w:p>
        </w:tc>
      </w:tr>
      <w:tr>
        <w:trPr>
          <w:trHeight w:val="2274"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、公司控股股东、实际控制人是否签署了</w:t>
            </w:r>
          </w:p>
          <w:p>
            <w:pPr>
              <w:pStyle w:val="TableParagraph"/>
              <w:spacing w:line="316" w:lineRule="auto" w:before="63"/>
              <w:ind w:left="103" w:right="101"/>
              <w:jc w:val="both"/>
              <w:rPr>
                <w:rFonts w:ascii="宋体" w:hAnsi="宋体" w:cs="宋体" w:eastAsia="宋体" w:hint="default"/>
                <w:sz w:val="18"/>
                <w:szCs w:val="18"/>
              </w:rPr>
            </w:pPr>
            <w:r>
              <w:rPr>
                <w:rFonts w:ascii="宋体" w:hAnsi="宋体" w:cs="宋体" w:eastAsia="宋体" w:hint="default"/>
                <w:spacing w:val="-5"/>
                <w:sz w:val="18"/>
                <w:szCs w:val="18"/>
              </w:rPr>
              <w:t>《控股股东、实际控制人声明及承诺书》并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报深交所和公司董事会备案。控股股东、实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际控制人发生变化的，新的控股股东、实际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控制人是否在其完成变更的一个月内完成</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pacing w:val="-5"/>
                <w:sz w:val="18"/>
                <w:szCs w:val="18"/>
              </w:rPr>
              <w:t>《控股股东、实际控制人声明及承诺书》的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签署和备案工作。</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、公司董事、监事、高级管理人员是否已 </w:t>
            </w:r>
            <w:r>
              <w:rPr>
                <w:rFonts w:ascii="宋体" w:hAnsi="宋体" w:cs="宋体" w:eastAsia="宋体" w:hint="default"/>
                <w:spacing w:val="-5"/>
                <w:sz w:val="18"/>
                <w:szCs w:val="18"/>
              </w:rPr>
              <w:t>签署并及时更新《董事、监事、高级管理人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员声明及承诺书》后报深交所和公司董事会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备案。</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82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、除参加董事会会议外，独立董事是否每 </w:t>
            </w:r>
            <w:r>
              <w:rPr>
                <w:rFonts w:ascii="宋体" w:hAnsi="宋体" w:cs="宋体" w:eastAsia="宋体" w:hint="default"/>
                <w:spacing w:val="-5"/>
                <w:sz w:val="18"/>
                <w:szCs w:val="18"/>
              </w:rPr>
              <w:t>年利用不少于十天的时间，对公司生产经营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状况、管理和内部控制等制度的建设及执行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情况、董事会决议执行情况等进行现场检 查。</w:t>
            </w:r>
          </w:p>
        </w:tc>
        <w:tc>
          <w:tcPr>
            <w:tcW w:w="31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独董姓名</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天数</w:t>
            </w:r>
          </w:p>
        </w:tc>
      </w:tr>
      <w:tr>
        <w:trPr>
          <w:trHeight w:val="402" w:hRule="exact"/>
        </w:trPr>
        <w:tc>
          <w:tcPr>
            <w:tcW w:w="3560" w:type="dxa"/>
            <w:vMerge/>
            <w:tcBorders>
              <w:left w:val="single" w:sz="4" w:space="0" w:color="000000"/>
              <w:right w:val="single" w:sz="4" w:space="0" w:color="000000"/>
            </w:tcBorders>
            <w:shd w:val="clear" w:color="auto" w:fill="D2D2D2"/>
          </w:tcPr>
          <w:p>
            <w:pPr/>
          </w:p>
        </w:tc>
        <w:tc>
          <w:tcPr>
            <w:tcW w:w="3183" w:type="dxa"/>
            <w:vMerge/>
            <w:tcBorders>
              <w:left w:val="single" w:sz="4" w:space="0" w:color="000000"/>
              <w:right w:val="single" w:sz="4" w:space="0" w:color="000000"/>
            </w:tcBorders>
          </w:tcPr>
          <w:p>
            <w:pP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60" w:type="dxa"/>
            <w:vMerge/>
            <w:tcBorders>
              <w:left w:val="single" w:sz="4" w:space="0" w:color="000000"/>
              <w:right w:val="single" w:sz="4" w:space="0" w:color="000000"/>
            </w:tcBorders>
            <w:shd w:val="clear" w:color="auto" w:fill="D2D2D2"/>
          </w:tcPr>
          <w:p>
            <w:pPr/>
          </w:p>
        </w:tc>
        <w:tc>
          <w:tcPr>
            <w:tcW w:w="3183" w:type="dxa"/>
            <w:vMerge/>
            <w:tcBorders>
              <w:left w:val="single" w:sz="4" w:space="0" w:color="000000"/>
              <w:right w:val="single" w:sz="4" w:space="0" w:color="000000"/>
            </w:tcBorders>
          </w:tcPr>
          <w:p>
            <w:pP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44" w:hRule="exact"/>
        </w:trPr>
        <w:tc>
          <w:tcPr>
            <w:tcW w:w="3560" w:type="dxa"/>
            <w:vMerge/>
            <w:tcBorders>
              <w:left w:val="single" w:sz="4" w:space="0" w:color="000000"/>
              <w:bottom w:val="single" w:sz="4" w:space="0" w:color="000000"/>
              <w:right w:val="single" w:sz="4" w:space="0" w:color="000000"/>
            </w:tcBorders>
            <w:shd w:val="clear" w:color="auto" w:fill="D2D2D2"/>
          </w:tcPr>
          <w:p>
            <w:pPr/>
          </w:p>
        </w:tc>
        <w:tc>
          <w:tcPr>
            <w:tcW w:w="3183" w:type="dxa"/>
            <w:vMerge/>
            <w:tcBorders>
              <w:left w:val="single" w:sz="4" w:space="0" w:color="000000"/>
              <w:bottom w:val="single" w:sz="4" w:space="0" w:color="000000"/>
              <w:right w:val="single" w:sz="4" w:space="0" w:color="000000"/>
            </w:tcBorders>
          </w:tcPr>
          <w:p>
            <w:pP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357" w:lineRule="auto" w:before="44"/>
        <w:ind w:left="6814" w:right="1752" w:hanging="360"/>
        <w:jc w:val="left"/>
      </w:pPr>
      <w:r>
        <w:rPr/>
        <w:t>深圳市中装建设集团股份有限公司 二〇一九年四月二十五日</w:t>
      </w:r>
    </w:p>
    <w:sectPr>
      <w:pgSz w:w="11910" w:h="16840"/>
      <w:pgMar w:header="917" w:footer="1019" w:top="1100" w:bottom="12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1320" type="#_x0000_t75" stroked="false">
          <v:imagedata r:id="rId1" o:title=""/>
        </v:shape>
      </w:pict>
    </w:r>
    <w:r>
      <w:rPr/>
      <w:pict>
        <v:shape style="position:absolute;margin-left:54.700001pt;margin-top:779.977905pt;width:13pt;height:11pt;mso-position-horizontal-relative:page;mso-position-vertical-relative:page;z-index:-1091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1272" type="#_x0000_t75" stroked="false">
          <v:imagedata r:id="rId1" o:title=""/>
        </v:shape>
      </w:pict>
    </w:r>
    <w:r>
      <w:rPr/>
      <w:pict>
        <v:shape style="position:absolute;margin-left:55.700001pt;margin-top:779.977905pt;width:15.5pt;height:11pt;mso-position-horizontal-relative:page;mso-position-vertical-relative:page;z-index:-1091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1224" type="#_x0000_t75" stroked="false">
          <v:imagedata r:id="rId1" o:title=""/>
        </v:shape>
      </w:pict>
    </w:r>
    <w:r>
      <w:rPr/>
      <w:pict>
        <v:shape style="position:absolute;margin-left:54.700001pt;margin-top:779.977905pt;width:17.5pt;height:11pt;mso-position-horizontal-relative:page;mso-position-vertical-relative:page;z-index:-1091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6.519981pt;width:485pt;height:.1pt;mso-position-horizontal-relative:page;mso-position-vertical-relative:page;z-index:-1091368" coordorigin="1104,1130" coordsize="9700,2">
          <v:shape style="position:absolute;left:1104;top:1130;width:9700;height:2" coordorigin="1104,1130" coordsize="9700,0" path="m1104,1130l10804,1130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4.739990pt;margin-top:44.845608pt;width:204.55pt;height:11.5pt;mso-position-horizontal-relative:page;mso-position-vertical-relative:page;z-index:-1091344" type="#_x0000_t202" filled="false" stroked="false">
          <v:textbox inset="0,0,0,0">
            <w:txbxContent>
              <w:p>
                <w:pPr>
                  <w:pStyle w:val="BodyText"/>
                  <w:spacing w:line="214" w:lineRule="exact"/>
                  <w:ind w:left="20" w:right="0"/>
                  <w:jc w:val="left"/>
                </w:pPr>
                <w:r>
                  <w:rPr/>
                  <w:t>深圳市中装建设集团股份有限公司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24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44"/>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zhongzhuang.com/" TargetMode="External"/><Relationship Id="rId9" Type="http://schemas.openxmlformats.org/officeDocument/2006/relationships/hyperlink" Target="mailto:zhengquan@zhongzhuang.com" TargetMode="External"/><Relationship Id="rId10" Type="http://schemas.openxmlformats.org/officeDocument/2006/relationships/hyperlink" Target="mailto:yuguitian@zhongzhuang.com" TargetMode="External"/><Relationship Id="rId11" Type="http://schemas.openxmlformats.org/officeDocument/2006/relationships/hyperlink" Target="mailto:chenlin@zhongzhuang.com" TargetMode="External"/><Relationship Id="rId12" Type="http://schemas.openxmlformats.org/officeDocument/2006/relationships/hyperlink" Target="mailto:zhangxue@zhongzhuang.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hyperlink" Target="http://www.cninfo.con/" TargetMode="External"/><Relationship Id="rId16" Type="http://schemas.openxmlformats.org/officeDocument/2006/relationships/footer" Target="footer2.xml"/><Relationship Id="rId1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巫家琦</dc:creator>
  <dcterms:created xsi:type="dcterms:W3CDTF">2020-05-05T03:13:55Z</dcterms:created>
  <dcterms:modified xsi:type="dcterms:W3CDTF">2020-05-05T03:13:55Z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