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line="580" w:lineRule="exact" w:before="0"/>
        <w:ind w:left="0" w:right="978" w:firstLine="0"/>
        <w:jc w:val="center"/>
        <w:rPr>
          <w:rFonts w:ascii="宋体" w:hAnsi="宋体" w:cs="宋体" w:eastAsia="宋体" w:hint="default"/>
          <w:sz w:val="48"/>
          <w:szCs w:val="48"/>
        </w:rPr>
      </w:pPr>
      <w:r>
        <w:rPr>
          <w:rFonts w:ascii="宋体" w:hAnsi="宋体" w:cs="宋体" w:eastAsia="宋体" w:hint="default"/>
          <w:b/>
          <w:bCs/>
          <w:w w:val="99"/>
          <w:sz w:val="48"/>
          <w:szCs w:val="48"/>
        </w:rPr>
      </w:r>
      <w:r>
        <w:rPr>
          <w:rFonts w:ascii="宋体" w:hAnsi="宋体" w:cs="宋体" w:eastAsia="宋体" w:hint="default"/>
          <w:b/>
          <w:bCs/>
          <w:shadow/>
          <w:sz w:val="48"/>
          <w:szCs w:val="48"/>
        </w:rPr>
        <w:t>深圳市金溢科技股份有限公司</w:t>
      </w:r>
      <w:r>
        <w:rPr>
          <w:rFonts w:ascii="宋体" w:hAnsi="宋体" w:cs="宋体" w:eastAsia="宋体" w:hint="default"/>
          <w:b/>
          <w:bCs/>
          <w:shadow w:val="0"/>
          <w:sz w:val="48"/>
          <w:szCs w:val="48"/>
        </w:rPr>
      </w:r>
      <w:r>
        <w:rPr>
          <w:rFonts w:ascii="宋体" w:hAnsi="宋体" w:cs="宋体" w:eastAsia="宋体" w:hint="default"/>
          <w:shadow w:val="0"/>
          <w:sz w:val="48"/>
          <w:szCs w:val="48"/>
        </w:rPr>
      </w:r>
    </w:p>
    <w:p>
      <w:pPr>
        <w:spacing w:before="219"/>
        <w:ind w:left="0" w:right="977" w:firstLine="0"/>
        <w:jc w:val="center"/>
        <w:rPr>
          <w:rFonts w:ascii="宋体" w:hAnsi="宋体" w:cs="宋体" w:eastAsia="宋体" w:hint="default"/>
          <w:sz w:val="30"/>
          <w:szCs w:val="30"/>
        </w:rPr>
      </w:pPr>
      <w:r>
        <w:rPr>
          <w:rFonts w:ascii="宋体"/>
          <w:b/>
          <w:sz w:val="30"/>
        </w:rPr>
        <w:t>Shenzhen Genvict Technologies Co.,</w:t>
      </w:r>
      <w:r>
        <w:rPr>
          <w:rFonts w:ascii="宋体"/>
          <w:b/>
          <w:spacing w:val="-7"/>
          <w:sz w:val="30"/>
        </w:rPr>
        <w:t> </w:t>
      </w:r>
      <w:r>
        <w:rPr>
          <w:rFonts w:ascii="宋体"/>
          <w:b/>
          <w:sz w:val="30"/>
        </w:rPr>
        <w:t>Ltd.</w:t>
      </w:r>
      <w:r>
        <w:rPr>
          <w:rFonts w:ascii="宋体"/>
          <w:sz w:val="30"/>
        </w:rPr>
      </w:r>
    </w:p>
    <w:p>
      <w:pPr>
        <w:spacing w:line="240" w:lineRule="auto" w:before="8"/>
        <w:rPr>
          <w:rFonts w:ascii="宋体" w:hAnsi="宋体" w:cs="宋体" w:eastAsia="宋体" w:hint="default"/>
          <w:b/>
          <w:bCs/>
          <w:sz w:val="24"/>
          <w:szCs w:val="24"/>
        </w:rPr>
      </w:pPr>
    </w:p>
    <w:p>
      <w:pPr>
        <w:spacing w:before="0"/>
        <w:ind w:left="0" w:right="976" w:firstLine="0"/>
        <w:jc w:val="center"/>
        <w:rPr>
          <w:rFonts w:ascii="宋体" w:hAnsi="宋体" w:cs="宋体" w:eastAsia="宋体" w:hint="default"/>
          <w:sz w:val="24"/>
          <w:szCs w:val="24"/>
        </w:rPr>
      </w:pPr>
      <w:r>
        <w:rPr>
          <w:rFonts w:ascii="宋体" w:hAnsi="宋体" w:cs="宋体" w:eastAsia="宋体" w:hint="default"/>
          <w:sz w:val="24"/>
          <w:szCs w:val="24"/>
        </w:rPr>
        <w:t>（深圳市南山区科苑路清华信息港研发楼</w:t>
      </w:r>
      <w:r>
        <w:rPr>
          <w:rFonts w:ascii="宋体" w:hAnsi="宋体" w:cs="宋体" w:eastAsia="宋体" w:hint="default"/>
          <w:sz w:val="24"/>
          <w:szCs w:val="24"/>
        </w:rPr>
        <w:t>A</w:t>
      </w:r>
      <w:r>
        <w:rPr>
          <w:rFonts w:ascii="宋体" w:hAnsi="宋体" w:cs="宋体" w:eastAsia="宋体" w:hint="default"/>
          <w:sz w:val="24"/>
          <w:szCs w:val="24"/>
        </w:rPr>
        <w:t>栋</w:t>
      </w:r>
      <w:r>
        <w:rPr>
          <w:rFonts w:ascii="宋体" w:hAnsi="宋体" w:cs="宋体" w:eastAsia="宋体" w:hint="default"/>
          <w:sz w:val="24"/>
          <w:szCs w:val="24"/>
        </w:rPr>
        <w:t>12</w:t>
      </w:r>
      <w:r>
        <w:rPr>
          <w:rFonts w:ascii="宋体" w:hAnsi="宋体" w:cs="宋体" w:eastAsia="宋体" w:hint="default"/>
          <w:sz w:val="24"/>
          <w:szCs w:val="24"/>
        </w:rPr>
        <w:t>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476" w:lineRule="exact"/>
        <w:ind w:left="1403"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542984" cy="93726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542984" cy="937260"/>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58"/>
        <w:ind w:left="0" w:right="97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2017</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6"/>
        <w:rPr>
          <w:rFonts w:ascii="宋体" w:hAnsi="宋体" w:cs="宋体" w:eastAsia="宋体" w:hint="default"/>
          <w:b/>
          <w:bCs/>
          <w:sz w:val="68"/>
          <w:szCs w:val="68"/>
        </w:rPr>
      </w:pPr>
    </w:p>
    <w:p>
      <w:pPr>
        <w:spacing w:before="0"/>
        <w:ind w:left="0" w:right="978" w:firstLine="0"/>
        <w:jc w:val="center"/>
        <w:rPr>
          <w:rFonts w:ascii="宋体" w:hAnsi="宋体" w:cs="宋体" w:eastAsia="宋体" w:hint="default"/>
          <w:sz w:val="30"/>
          <w:szCs w:val="30"/>
        </w:rPr>
      </w:pPr>
      <w:r>
        <w:rPr>
          <w:rFonts w:ascii="宋体" w:hAnsi="宋体" w:cs="宋体" w:eastAsia="宋体" w:hint="default"/>
          <w:b/>
          <w:bCs/>
          <w:sz w:val="30"/>
          <w:szCs w:val="30"/>
        </w:rPr>
        <w:t>二〇一八年四月</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877" w:footer="979" w:top="1100" w:bottom="1160" w:left="980" w:right="0"/>
          <w:pgNumType w:start="1"/>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2805" w:right="1235"/>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235"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76"/>
        <w:ind w:right="1235" w:firstLine="482"/>
        <w:jc w:val="left"/>
        <w:rPr>
          <w:b w:val="0"/>
          <w:bCs w:val="0"/>
        </w:rPr>
      </w:pPr>
      <w:r>
        <w:rPr>
          <w:w w:val="95"/>
        </w:rPr>
        <w:t>公司负责人罗瑞发、主管会计工作负责人刘厚军及会计机构负责人</w:t>
      </w:r>
      <w:r>
        <w:rPr>
          <w:rFonts w:ascii="Times New Roman" w:hAnsi="Times New Roman" w:cs="Times New Roman" w:eastAsia="Times New Roman" w:hint="default"/>
          <w:w w:val="95"/>
        </w:rPr>
        <w:t>(</w:t>
      </w:r>
      <w:r>
        <w:rPr>
          <w:w w:val="95"/>
        </w:rPr>
        <w:t>会计主管人员</w:t>
      </w:r>
      <w:r>
        <w:rPr>
          <w:rFonts w:ascii="Times New Roman" w:hAnsi="Times New Roman" w:cs="Times New Roman" w:eastAsia="Times New Roman" w:hint="default"/>
          <w:w w:val="95"/>
        </w:rPr>
        <w:t>)</w:t>
      </w:r>
      <w:r>
        <w:rPr>
          <w:w w:val="95"/>
        </w:rPr>
        <w:t>聂磊</w:t>
      </w:r>
      <w:r>
        <w:rPr>
          <w:spacing w:val="1"/>
          <w:w w:val="99"/>
        </w:rPr>
        <w:t> </w:t>
      </w:r>
      <w:r>
        <w:rPr/>
        <w:t>声明：保证年度报告中财务报告的真实、准确、完整。</w:t>
      </w:r>
      <w:r>
        <w:rPr>
          <w:b w:val="0"/>
          <w:bCs w:val="0"/>
        </w:rPr>
      </w:r>
    </w:p>
    <w:p>
      <w:pPr>
        <w:pStyle w:val="Heading2"/>
        <w:spacing w:line="386" w:lineRule="auto" w:before="95"/>
        <w:ind w:left="636" w:right="1235"/>
        <w:jc w:val="left"/>
        <w:rPr>
          <w:b w:val="0"/>
          <w:bCs w:val="0"/>
        </w:rPr>
      </w:pPr>
      <w:r>
        <w:rPr/>
        <w:t>公司全体董事亲自出席了审议本次年报的董事会会议。</w:t>
      </w:r>
      <w:r>
        <w:rPr>
          <w:w w:val="99"/>
        </w:rPr>
        <w:t> </w:t>
      </w:r>
      <w:r>
        <w:rPr>
          <w:w w:val="95"/>
        </w:rPr>
        <w:t>本报告中所涉及的发展战略、经营计划等前瞻性陈述属于计划性事项，该计划不构成公</w:t>
      </w:r>
      <w:r>
        <w:rPr>
          <w:b w:val="0"/>
          <w:bCs w:val="0"/>
        </w:rPr>
      </w:r>
    </w:p>
    <w:p>
      <w:pPr>
        <w:pStyle w:val="Heading2"/>
        <w:spacing w:line="357" w:lineRule="auto" w:before="7"/>
        <w:ind w:right="1235"/>
        <w:jc w:val="left"/>
        <w:rPr>
          <w:b w:val="0"/>
          <w:bCs w:val="0"/>
        </w:rPr>
      </w:pPr>
      <w:r>
        <w:rPr>
          <w:w w:val="95"/>
        </w:rPr>
        <w:t>司对投资者的实质承诺，投资者及相关人士均应当对此保持足够的风险认识，并且应当理解</w:t>
      </w:r>
      <w:r>
        <w:rPr>
          <w:spacing w:val="99"/>
          <w:w w:val="95"/>
        </w:rPr>
        <w:t> </w:t>
      </w:r>
      <w:r>
        <w:rPr/>
        <w:t>计划、预测与承诺之间的差异，敬请投资者注意投资风险。</w:t>
      </w:r>
      <w:r>
        <w:rPr>
          <w:b w:val="0"/>
          <w:bCs w:val="0"/>
        </w:rPr>
      </w:r>
    </w:p>
    <w:p>
      <w:pPr>
        <w:pStyle w:val="Heading2"/>
        <w:spacing w:line="357" w:lineRule="auto" w:before="76"/>
        <w:ind w:right="1235" w:firstLine="482"/>
        <w:jc w:val="left"/>
        <w:rPr>
          <w:b w:val="0"/>
          <w:bCs w:val="0"/>
        </w:rPr>
      </w:pPr>
      <w:r>
        <w:rPr/>
        <w:t>公司在本报告“第四节</w:t>
      </w:r>
      <w:r>
        <w:rPr>
          <w:rFonts w:ascii="宋体" w:hAnsi="宋体" w:cs="宋体" w:eastAsia="宋体" w:hint="default"/>
        </w:rPr>
        <w:t>-</w:t>
      </w:r>
      <w:r>
        <w:rPr/>
        <w:t>经营情况讨论与分析”之“九、公司未来发展的展望”中详细</w:t>
      </w:r>
      <w:r>
        <w:rPr>
          <w:spacing w:val="1"/>
          <w:w w:val="99"/>
        </w:rPr>
        <w:t> </w:t>
      </w:r>
      <w:r>
        <w:rPr/>
        <w:t>描述了公司未来经营中可能存在的风险和应对措施，敬请投资者关注相关内容。</w:t>
      </w:r>
      <w:r>
        <w:rPr>
          <w:b w:val="0"/>
          <w:bCs w:val="0"/>
        </w:rPr>
      </w:r>
    </w:p>
    <w:p>
      <w:pPr>
        <w:pStyle w:val="Heading2"/>
        <w:spacing w:line="240" w:lineRule="auto" w:before="74"/>
        <w:ind w:left="636" w:right="1235"/>
        <w:jc w:val="left"/>
        <w:rPr>
          <w:b w:val="0"/>
          <w:bCs w:val="0"/>
        </w:rPr>
      </w:pPr>
      <w:r>
        <w:rPr/>
        <w:t>公司经本次董事会审议通过的利润分配预案为：以</w:t>
      </w:r>
      <w:r>
        <w:rPr>
          <w:spacing w:val="-79"/>
        </w:rPr>
        <w:t> </w:t>
      </w:r>
      <w:r>
        <w:rPr>
          <w:rFonts w:ascii="Times New Roman" w:hAnsi="Times New Roman" w:cs="Times New Roman" w:eastAsia="Times New Roman" w:hint="default"/>
        </w:rPr>
        <w:t>117,800,000</w:t>
      </w:r>
      <w:r>
        <w:rPr>
          <w:rFonts w:ascii="Times New Roman" w:hAnsi="Times New Roman" w:cs="Times New Roman" w:eastAsia="Times New Roman" w:hint="default"/>
          <w:spacing w:val="-21"/>
        </w:rPr>
        <w:t> </w:t>
      </w:r>
      <w:r>
        <w:rPr/>
        <w:t>为基数，向全体股东每</w:t>
      </w:r>
      <w:r>
        <w:rPr>
          <w:b w:val="0"/>
          <w:bCs w:val="0"/>
        </w:rPr>
      </w:r>
    </w:p>
    <w:p>
      <w:pPr>
        <w:pStyle w:val="Heading2"/>
        <w:spacing w:line="240" w:lineRule="auto" w:before="137"/>
        <w:ind w:right="1235"/>
        <w:jc w:val="left"/>
        <w:rPr>
          <w:b w:val="0"/>
          <w:bCs w:val="0"/>
        </w:rPr>
      </w:pPr>
      <w:r>
        <w:rPr>
          <w:rFonts w:ascii="Times New Roman" w:hAnsi="Times New Roman" w:cs="Times New Roman" w:eastAsia="Times New Roman" w:hint="default"/>
        </w:rPr>
        <w:t>10 </w:t>
      </w:r>
      <w:r>
        <w:rPr>
          <w:spacing w:val="1"/>
          <w:w w:val="99"/>
        </w:rPr>
        <w:t>股派发现金红</w:t>
      </w:r>
      <w:r>
        <w:rPr>
          <w:w w:val="99"/>
        </w:rPr>
        <w:t>利</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w:t>
      </w:r>
      <w:r>
        <w:rPr>
          <w:rFonts w:ascii="Times New Roman" w:hAnsi="Times New Roman" w:cs="Times New Roman" w:eastAsia="Times New Roman" w:hint="default"/>
        </w:rPr>
        <w:t>00 </w:t>
      </w:r>
      <w:r>
        <w:rPr>
          <w:w w:val="99"/>
        </w:rPr>
        <w:t>元（含税</w:t>
      </w:r>
      <w:r>
        <w:rPr>
          <w:spacing w:val="-119"/>
          <w:w w:val="99"/>
        </w:rPr>
        <w:t>）</w:t>
      </w:r>
      <w:r>
        <w:rPr>
          <w:w w:val="99"/>
        </w:rPr>
        <w:t>，送红股</w:t>
      </w:r>
      <w:r>
        <w:rPr>
          <w:spacing w:val="-59"/>
        </w:rPr>
        <w:t> </w:t>
      </w:r>
      <w:r>
        <w:rPr>
          <w:rFonts w:ascii="Times New Roman" w:hAnsi="Times New Roman" w:cs="Times New Roman" w:eastAsia="Times New Roman" w:hint="default"/>
        </w:rPr>
        <w:t>0 </w:t>
      </w:r>
      <w:r>
        <w:rPr>
          <w:w w:val="99"/>
        </w:rPr>
        <w:t>股（含税</w:t>
      </w:r>
      <w:r>
        <w:rPr>
          <w:spacing w:val="-119"/>
          <w:w w:val="99"/>
        </w:rPr>
        <w:t>）</w:t>
      </w:r>
      <w:r>
        <w:rPr>
          <w:spacing w:val="1"/>
          <w:w w:val="99"/>
        </w:rPr>
        <w:t>，</w:t>
      </w:r>
      <w:r>
        <w:rPr>
          <w:w w:val="99"/>
        </w:rPr>
        <w:t>不以公积金转增股本。</w:t>
      </w:r>
      <w:r>
        <w:rPr>
          <w:b w:val="0"/>
          <w:bCs w:val="0"/>
        </w:rPr>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b/>
          <w:bCs/>
          <w:sz w:val="19"/>
          <w:szCs w:val="19"/>
        </w:rPr>
      </w:pPr>
    </w:p>
    <w:p>
      <w:pPr>
        <w:pStyle w:val="Heading2"/>
        <w:tabs>
          <w:tab w:pos="481" w:val="left" w:leader="none"/>
        </w:tabs>
        <w:spacing w:line="240" w:lineRule="auto" w:before="26"/>
        <w:ind w:left="0" w:right="977"/>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9782" w:val="right" w:leader="dot"/>
            </w:tabs>
            <w:spacing w:line="240" w:lineRule="auto" w:before="430"/>
            <w:ind w:left="153" w:right="0"/>
            <w:jc w:val="left"/>
            <w:rPr>
              <w:rFonts w:ascii="Calibri" w:hAnsi="Calibri" w:cs="Calibri" w:eastAsia="Calibri"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Calibri" w:hAnsi="Calibri" w:cs="Calibri" w:eastAsia="Calibri" w:hint="default"/>
              </w:rPr>
              <w:tab/>
              <w:t>2</w:t>
            </w:r>
          </w:hyperlink>
        </w:p>
        <w:p>
          <w:pPr>
            <w:pStyle w:val="TOC1"/>
            <w:tabs>
              <w:tab w:pos="9782" w:val="right" w:leader="dot"/>
            </w:tabs>
            <w:spacing w:line="240" w:lineRule="auto"/>
            <w:ind w:left="153" w:right="0"/>
            <w:jc w:val="left"/>
            <w:rPr>
              <w:rFonts w:ascii="Calibri" w:hAnsi="Calibri" w:cs="Calibri" w:eastAsia="Calibri" w:hint="default"/>
            </w:rPr>
          </w:pPr>
          <w:hyperlink w:history="true" w:anchor="_bookmark1">
            <w:r>
              <w:rPr/>
              <w:t>第二节</w:t>
            </w:r>
            <w:r>
              <w:rPr>
                <w:spacing w:val="-1"/>
              </w:rPr>
              <w:t> </w:t>
            </w:r>
            <w:r>
              <w:rPr/>
              <w:t>公司简介和主要财务指标</w:t>
            </w:r>
            <w:r>
              <w:rPr>
                <w:rFonts w:ascii="Calibri" w:hAnsi="Calibri" w:cs="Calibri" w:eastAsia="Calibri" w:hint="default"/>
              </w:rPr>
              <w:tab/>
              <w:t>7</w:t>
            </w:r>
          </w:hyperlink>
        </w:p>
        <w:p>
          <w:pPr>
            <w:pStyle w:val="TOC1"/>
            <w:tabs>
              <w:tab w:pos="9782" w:val="right" w:leader="dot"/>
            </w:tabs>
            <w:spacing w:line="240" w:lineRule="auto"/>
            <w:ind w:left="153" w:right="0"/>
            <w:jc w:val="left"/>
            <w:rPr>
              <w:rFonts w:ascii="Calibri" w:hAnsi="Calibri" w:cs="Calibri" w:eastAsia="Calibri" w:hint="default"/>
            </w:rPr>
          </w:pPr>
          <w:hyperlink w:history="true" w:anchor="_bookmark2">
            <w:r>
              <w:rPr/>
              <w:t>第三节</w:t>
            </w:r>
            <w:r>
              <w:rPr>
                <w:spacing w:val="-1"/>
              </w:rPr>
              <w:t> </w:t>
            </w:r>
            <w:r>
              <w:rPr/>
              <w:t>公司业务概要</w:t>
            </w:r>
            <w:r>
              <w:rPr>
                <w:rFonts w:ascii="Calibri" w:hAnsi="Calibri" w:cs="Calibri" w:eastAsia="Calibri" w:hint="default"/>
              </w:rPr>
              <w:tab/>
              <w:t>12</w:t>
            </w:r>
          </w:hyperlink>
        </w:p>
        <w:p>
          <w:pPr>
            <w:pStyle w:val="TOC1"/>
            <w:tabs>
              <w:tab w:pos="9782" w:val="right" w:leader="dot"/>
            </w:tabs>
            <w:spacing w:line="240" w:lineRule="auto" w:before="143"/>
            <w:ind w:right="0"/>
            <w:jc w:val="left"/>
            <w:rPr>
              <w:rFonts w:ascii="Calibri" w:hAnsi="Calibri" w:cs="Calibri" w:eastAsia="Calibri" w:hint="default"/>
            </w:rPr>
          </w:pPr>
          <w:hyperlink w:history="true" w:anchor="_bookmark3">
            <w:r>
              <w:rPr/>
              <w:t>第四节</w:t>
            </w:r>
            <w:r>
              <w:rPr>
                <w:spacing w:val="-1"/>
              </w:rPr>
              <w:t> </w:t>
            </w:r>
            <w:r>
              <w:rPr/>
              <w:t>经营情况讨论与分析</w:t>
            </w:r>
            <w:r>
              <w:rPr>
                <w:rFonts w:ascii="Calibri" w:hAnsi="Calibri" w:cs="Calibri" w:eastAsia="Calibri" w:hint="default"/>
              </w:rPr>
              <w:tab/>
              <w:t>20</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4">
            <w:r>
              <w:rPr/>
              <w:t>第五节</w:t>
            </w:r>
            <w:r>
              <w:rPr>
                <w:spacing w:val="-1"/>
              </w:rPr>
              <w:t> </w:t>
            </w:r>
            <w:r>
              <w:rPr/>
              <w:t>重要事项</w:t>
            </w:r>
            <w:r>
              <w:rPr>
                <w:rFonts w:ascii="Calibri" w:hAnsi="Calibri" w:cs="Calibri" w:eastAsia="Calibri" w:hint="default"/>
              </w:rPr>
              <w:tab/>
              <w:t>41</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5">
            <w:r>
              <w:rPr/>
              <w:t>第六节</w:t>
            </w:r>
            <w:r>
              <w:rPr>
                <w:spacing w:val="-1"/>
              </w:rPr>
              <w:t> </w:t>
            </w:r>
            <w:r>
              <w:rPr/>
              <w:t>股份变动及股东情况</w:t>
            </w:r>
            <w:r>
              <w:rPr>
                <w:rFonts w:ascii="Calibri" w:hAnsi="Calibri" w:cs="Calibri" w:eastAsia="Calibri" w:hint="default"/>
              </w:rPr>
              <w:tab/>
              <w:t>73</w:t>
            </w:r>
          </w:hyperlink>
        </w:p>
        <w:p>
          <w:pPr>
            <w:pStyle w:val="TOC1"/>
            <w:tabs>
              <w:tab w:pos="9782" w:val="right" w:leader="dot"/>
            </w:tabs>
            <w:spacing w:line="240" w:lineRule="auto" w:before="143"/>
            <w:ind w:right="0"/>
            <w:jc w:val="left"/>
            <w:rPr>
              <w:rFonts w:ascii="Calibri" w:hAnsi="Calibri" w:cs="Calibri" w:eastAsia="Calibri" w:hint="default"/>
            </w:rPr>
          </w:pPr>
          <w:hyperlink w:history="true" w:anchor="_bookmark6">
            <w:r>
              <w:rPr/>
              <w:t>第七节</w:t>
            </w:r>
            <w:r>
              <w:rPr>
                <w:spacing w:val="-1"/>
              </w:rPr>
              <w:t> </w:t>
            </w:r>
            <w:r>
              <w:rPr/>
              <w:t>优先股相关情况</w:t>
            </w:r>
            <w:r>
              <w:rPr>
                <w:rFonts w:ascii="Calibri" w:hAnsi="Calibri" w:cs="Calibri" w:eastAsia="Calibri" w:hint="default"/>
              </w:rPr>
              <w:tab/>
              <w:t>79</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7">
            <w:r>
              <w:rPr/>
              <w:t>第八节</w:t>
            </w:r>
            <w:r>
              <w:rPr>
                <w:spacing w:val="-1"/>
              </w:rPr>
              <w:t> </w:t>
            </w:r>
            <w:r>
              <w:rPr/>
              <w:t>董事、监事、高级管理人员和员工情况</w:t>
            </w:r>
            <w:r>
              <w:rPr>
                <w:rFonts w:ascii="Calibri" w:hAnsi="Calibri" w:cs="Calibri" w:eastAsia="Calibri" w:hint="default"/>
              </w:rPr>
              <w:tab/>
              <w:t>80</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8">
            <w:r>
              <w:rPr/>
              <w:t>第九节</w:t>
            </w:r>
            <w:r>
              <w:rPr>
                <w:spacing w:val="-1"/>
              </w:rPr>
              <w:t> </w:t>
            </w:r>
            <w:r>
              <w:rPr/>
              <w:t>公司治理</w:t>
            </w:r>
            <w:r>
              <w:rPr>
                <w:rFonts w:ascii="Calibri" w:hAnsi="Calibri" w:cs="Calibri" w:eastAsia="Calibri" w:hint="default"/>
              </w:rPr>
              <w:tab/>
              <w:t>86</w:t>
            </w:r>
          </w:hyperlink>
        </w:p>
        <w:p>
          <w:pPr>
            <w:pStyle w:val="TOC1"/>
            <w:tabs>
              <w:tab w:pos="9782" w:val="right" w:leader="dot"/>
            </w:tabs>
            <w:spacing w:line="240" w:lineRule="auto" w:before="143"/>
            <w:ind w:right="0"/>
            <w:jc w:val="left"/>
            <w:rPr>
              <w:rFonts w:ascii="Calibri" w:hAnsi="Calibri" w:cs="Calibri" w:eastAsia="Calibri" w:hint="default"/>
            </w:rPr>
          </w:pPr>
          <w:hyperlink w:history="true" w:anchor="_bookmark9">
            <w:r>
              <w:rPr/>
              <w:t>第十节</w:t>
            </w:r>
            <w:r>
              <w:rPr>
                <w:spacing w:val="-1"/>
              </w:rPr>
              <w:t> </w:t>
            </w:r>
            <w:r>
              <w:rPr/>
              <w:t>公司债券相关情况</w:t>
            </w:r>
            <w:r>
              <w:rPr>
                <w:rFonts w:ascii="Calibri" w:hAnsi="Calibri" w:cs="Calibri" w:eastAsia="Calibri" w:hint="default"/>
              </w:rPr>
              <w:tab/>
              <w:t>93</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10">
            <w:r>
              <w:rPr/>
              <w:t>第十一节</w:t>
            </w:r>
            <w:r>
              <w:rPr>
                <w:spacing w:val="-1"/>
              </w:rPr>
              <w:t> </w:t>
            </w:r>
            <w:r>
              <w:rPr/>
              <w:t>财务报告</w:t>
            </w:r>
            <w:r>
              <w:rPr>
                <w:rFonts w:ascii="Calibri" w:hAnsi="Calibri" w:cs="Calibri" w:eastAsia="Calibri" w:hint="default"/>
              </w:rPr>
              <w:tab/>
              <w:t>94</w:t>
            </w:r>
          </w:hyperlink>
        </w:p>
        <w:p>
          <w:pPr>
            <w:pStyle w:val="TOC1"/>
            <w:tabs>
              <w:tab w:pos="9782" w:val="right" w:leader="dot"/>
            </w:tabs>
            <w:spacing w:line="240" w:lineRule="auto"/>
            <w:ind w:right="0"/>
            <w:jc w:val="left"/>
            <w:rPr>
              <w:rFonts w:ascii="Calibri" w:hAnsi="Calibri" w:cs="Calibri" w:eastAsia="Calibri" w:hint="default"/>
            </w:rPr>
          </w:pPr>
          <w:hyperlink w:history="true" w:anchor="_bookmark11">
            <w:r>
              <w:rPr/>
              <w:t>第十二节</w:t>
            </w:r>
            <w:r>
              <w:rPr>
                <w:spacing w:val="-1"/>
              </w:rPr>
              <w:t> </w:t>
            </w:r>
            <w:r>
              <w:rPr/>
              <w:t>备查文件目录</w:t>
            </w:r>
            <w:r>
              <w:rPr>
                <w:rFonts w:ascii="Calibri" w:hAnsi="Calibri" w:cs="Calibri" w:eastAsia="Calibri" w:hint="default"/>
              </w:rPr>
              <w:tab/>
              <w:t>185</w:t>
            </w:r>
          </w:hyperlink>
        </w:p>
        <w:p>
          <w:pPr/>
          <w:r>
            <w:fldChar w:fldCharType="end"/>
          </w:r>
        </w:p>
      </w:sdtContent>
    </w:sdt>
    <w:p>
      <w:pPr>
        <w:spacing w:after="0"/>
        <w:sectPr>
          <w:pgSz w:w="11910" w:h="16840"/>
          <w:pgMar w:header="877" w:footer="979" w:top="1100" w:bottom="1160" w:left="980" w:right="0"/>
        </w:sectPr>
      </w:pPr>
    </w:p>
    <w:p>
      <w:pPr>
        <w:pStyle w:val="Heading2"/>
        <w:tabs>
          <w:tab w:pos="481" w:val="left" w:leader="none"/>
        </w:tabs>
        <w:spacing w:line="240" w:lineRule="auto" w:before="282"/>
        <w:ind w:left="0" w:right="977"/>
        <w:jc w:val="center"/>
        <w:rPr>
          <w:b w:val="0"/>
          <w:bCs w:val="0"/>
        </w:rPr>
      </w:pPr>
      <w:r>
        <w:rPr>
          <w:w w:val="95"/>
        </w:rPr>
        <w:t>释</w:t>
        <w:tab/>
      </w:r>
      <w:r>
        <w:rPr/>
        <w:t>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4"/>
          <w:szCs w:val="14"/>
        </w:rPr>
      </w:pPr>
    </w:p>
    <w:p>
      <w:pPr>
        <w:pStyle w:val="BodyText"/>
        <w:spacing w:line="240" w:lineRule="auto"/>
        <w:ind w:left="0" w:right="1138"/>
        <w:jc w:val="right"/>
      </w:pPr>
      <w:r>
        <w:rPr/>
        <w:pict>
          <v:shape style="position:absolute;margin-left:56.459999pt;margin-top:-364.888306pt;width:479.25pt;height:650.0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金溢科技、公司、本公司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金溢有限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深圳市金溢科技有限公司，公司前身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北京中交金溢科技有限公司，子公司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广东华信金溢信息技术有限公司，子公司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伟龙金溢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伟龙金溢科技（深圳）有限公司，子公司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无锡金溢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敏行电子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深圳市敏行电子有限公司，公司第一大股东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至为投资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深圳至为投资企业（有限合伙）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致璞投资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深圳致璞投资企业（有限合伙）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WeiLong </w:t>
                        </w:r>
                        <w:r>
                          <w:rPr>
                            <w:rFonts w:ascii="Times New Roman"/>
                            <w:sz w:val="18"/>
                          </w:rPr>
                          <w:t>Electronics Engineering Pte</w:t>
                        </w:r>
                        <w:r>
                          <w:rPr>
                            <w:rFonts w:ascii="Times New Roman"/>
                            <w:spacing w:val="-1"/>
                            <w:sz w:val="18"/>
                          </w:rPr>
                          <w:t> </w:t>
                        </w:r>
                        <w:r>
                          <w:rPr>
                            <w:rFonts w:ascii="Times New Roman"/>
                            <w:sz w:val="18"/>
                          </w:rPr>
                          <w:t>Ltd.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中华人民共和国交通运输部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公安部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中华人民共和国公安部</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无线射频识别（</w:t>
                        </w: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）技术，一种通信技术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特定目标之间建立机械或光学接触。</w:t>
                        </w:r>
                        <w:r>
                          <w:rPr>
                            <w:rFonts w:ascii="Times New Roman" w:hAnsi="Times New Roman" w:cs="Times New Roman" w:eastAsia="Times New Roman" w:hint="default"/>
                            <w:spacing w:val="-2"/>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技术属于射频技术的范畴</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DSRC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9"/>
                          <w:jc w:val="both"/>
                          <w:rPr>
                            <w:rFonts w:ascii="宋体" w:hAnsi="宋体" w:cs="宋体" w:eastAsia="宋体" w:hint="default"/>
                            <w:sz w:val="18"/>
                            <w:szCs w:val="18"/>
                          </w:rPr>
                        </w:pPr>
                        <w:r>
                          <w:rPr>
                            <w:rFonts w:ascii="宋体" w:hAnsi="宋体" w:cs="宋体" w:eastAsia="宋体" w:hint="default"/>
                            <w:sz w:val="18"/>
                            <w:szCs w:val="18"/>
                          </w:rPr>
                          <w:t>专用短程通信技术（</w:t>
                        </w:r>
                        <w:r>
                          <w:rPr>
                            <w:rFonts w:ascii="Times New Roman" w:hAnsi="Times New Roman" w:cs="Times New Roman" w:eastAsia="Times New Roman" w:hint="default"/>
                            <w:sz w:val="18"/>
                            <w:szCs w:val="18"/>
                          </w:rPr>
                          <w:t>Dedicated Short Range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一种高 效的无线通信技术，它可以实现在特定小区域内（通常为数十米）对 高速运动下的移动目标的识别和双向通信。主要应用在不停车收费、 出入控制、信息服务等领域。</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技术属于射频技术的范畴。</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1"/>
                          <w:ind w:left="27" w:right="21"/>
                          <w:jc w:val="both"/>
                          <w:rPr>
                            <w:rFonts w:ascii="宋体" w:hAnsi="宋体" w:cs="宋体" w:eastAsia="宋体" w:hint="default"/>
                            <w:sz w:val="18"/>
                            <w:szCs w:val="18"/>
                          </w:rPr>
                        </w:pPr>
                        <w:r>
                          <w:rPr>
                            <w:rFonts w:ascii="宋体" w:hAnsi="宋体" w:cs="宋体" w:eastAsia="宋体" w:hint="default"/>
                            <w:spacing w:val="-1"/>
                            <w:sz w:val="18"/>
                            <w:szCs w:val="18"/>
                          </w:rPr>
                          <w:t>电子不停车收费系统（</w:t>
                        </w:r>
                        <w:r>
                          <w:rPr>
                            <w:rFonts w:ascii="Times New Roman" w:hAnsi="Times New Roman" w:cs="Times New Roman" w:eastAsia="Times New Roman" w:hint="default"/>
                            <w:spacing w:val="-1"/>
                            <w:sz w:val="18"/>
                            <w:szCs w:val="18"/>
                          </w:rPr>
                          <w:t>Electronic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Toll</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Collection</w:t>
                        </w:r>
                        <w:r>
                          <w:rPr>
                            <w:rFonts w:ascii="宋体" w:hAnsi="宋体" w:cs="宋体" w:eastAsia="宋体" w:hint="default"/>
                            <w:spacing w:val="-5"/>
                            <w:sz w:val="18"/>
                            <w:szCs w:val="18"/>
                          </w:rPr>
                          <w:t>），实现了车辆在通过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收费节点时，通过专用短程通信技术实现车辆识别、信息写入并自动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从预先绑定的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卡或银行账户上扣除相应资金。这一技术使得道路 的通行能力与收费效率大幅度提高。</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RSU</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路侧单元（</w:t>
                        </w:r>
                        <w:r>
                          <w:rPr>
                            <w:rFonts w:ascii="Times New Roman" w:hAnsi="Times New Roman" w:cs="Times New Roman" w:eastAsia="Times New Roman" w:hint="default"/>
                            <w:sz w:val="18"/>
                            <w:szCs w:val="18"/>
                          </w:rPr>
                          <w:t>Road Side </w:t>
                        </w:r>
                        <w:r>
                          <w:rPr>
                            <w:rFonts w:ascii="Times New Roman" w:hAnsi="Times New Roman" w:cs="Times New Roman" w:eastAsia="Times New Roman" w:hint="default"/>
                            <w:spacing w:val="-5"/>
                            <w:w w:val="99"/>
                            <w:sz w:val="18"/>
                            <w:szCs w:val="18"/>
                          </w:rPr>
                          <w:t>Unit</w:t>
                        </w:r>
                        <w:r>
                          <w:rPr>
                            <w:rFonts w:ascii="宋体" w:hAnsi="宋体" w:cs="宋体" w:eastAsia="宋体" w:hint="default"/>
                            <w:spacing w:val="-5"/>
                            <w:w w:val="99"/>
                            <w:sz w:val="18"/>
                            <w:szCs w:val="18"/>
                          </w:rPr>
                          <w:t>），又称路侧天线，电子不停车收费系统中</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pacing w:val="-2"/>
                            <w:sz w:val="18"/>
                            <w:szCs w:val="18"/>
                          </w:rPr>
                          <w:t>的路侧组成部分，由微波天线和读写控制器组成，实时采集和更新标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签和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卡中的收费信息，并与计算机和网络连通。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OBU</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71"/>
                          <w:jc w:val="both"/>
                          <w:rPr>
                            <w:rFonts w:ascii="宋体" w:hAnsi="宋体" w:cs="宋体" w:eastAsia="宋体" w:hint="default"/>
                            <w:sz w:val="18"/>
                            <w:szCs w:val="18"/>
                          </w:rPr>
                        </w:pPr>
                        <w:r>
                          <w:rPr>
                            <w:rFonts w:ascii="宋体" w:hAnsi="宋体" w:cs="宋体" w:eastAsia="宋体" w:hint="default"/>
                            <w:w w:val="99"/>
                            <w:sz w:val="18"/>
                            <w:szCs w:val="18"/>
                          </w:rPr>
                          <w:t>车载单元（</w:t>
                        </w:r>
                        <w:r>
                          <w:rPr>
                            <w:rFonts w:ascii="Times New Roman" w:hAnsi="Times New Roman" w:cs="Times New Roman" w:eastAsia="Times New Roman" w:hint="default"/>
                            <w:w w:val="99"/>
                            <w:sz w:val="18"/>
                            <w:szCs w:val="18"/>
                          </w:rPr>
                          <w:t>On </w:t>
                        </w:r>
                        <w:r>
                          <w:rPr>
                            <w:rFonts w:ascii="Times New Roman" w:hAnsi="Times New Roman" w:cs="Times New Roman" w:eastAsia="Times New Roman" w:hint="default"/>
                            <w:sz w:val="18"/>
                            <w:szCs w:val="18"/>
                          </w:rPr>
                          <w:t>Board </w:t>
                        </w:r>
                        <w:r>
                          <w:rPr>
                            <w:rFonts w:ascii="Times New Roman" w:hAnsi="Times New Roman" w:cs="Times New Roman" w:eastAsia="Times New Roman" w:hint="default"/>
                            <w:spacing w:val="-4"/>
                            <w:sz w:val="18"/>
                            <w:szCs w:val="18"/>
                          </w:rPr>
                          <w:t>Unit</w:t>
                        </w:r>
                        <w:r>
                          <w:rPr>
                            <w:rFonts w:ascii="宋体" w:hAnsi="宋体" w:cs="宋体" w:eastAsia="宋体" w:hint="default"/>
                            <w:spacing w:val="-4"/>
                            <w:sz w:val="18"/>
                            <w:szCs w:val="18"/>
                          </w:rPr>
                          <w:t>），又称电子标签，安装于车辆前挡风玻璃</w:t>
                        </w:r>
                        <w:r>
                          <w:rPr>
                            <w:rFonts w:ascii="宋体" w:hAnsi="宋体" w:cs="宋体" w:eastAsia="宋体" w:hint="default"/>
                            <w:sz w:val="18"/>
                            <w:szCs w:val="18"/>
                          </w:rPr>
                          <w:t> 内侧、后视镜内、控制台上下等位置，通过 </w:t>
                        </w:r>
                        <w:r>
                          <w:rPr>
                            <w:rFonts w:ascii="Times New Roman" w:hAnsi="Times New Roman" w:cs="Times New Roman" w:eastAsia="Times New Roman" w:hint="default"/>
                            <w:sz w:val="18"/>
                            <w:szCs w:val="18"/>
                          </w:rPr>
                          <w:t>OBU </w:t>
                        </w:r>
                        <w:r>
                          <w:rPr>
                            <w:rFonts w:ascii="宋体" w:hAnsi="宋体" w:cs="宋体" w:eastAsia="宋体" w:hint="default"/>
                            <w:sz w:val="18"/>
                            <w:szCs w:val="18"/>
                          </w:rPr>
                          <w:t>与 </w:t>
                        </w:r>
                        <w:r>
                          <w:rPr>
                            <w:rFonts w:ascii="Times New Roman" w:hAnsi="Times New Roman" w:cs="Times New Roman" w:eastAsia="Times New Roman" w:hint="default"/>
                            <w:sz w:val="18"/>
                            <w:szCs w:val="18"/>
                          </w:rPr>
                          <w:t>RSU</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之间的通 信，实现不停车收费功能，可分为单片式和双片式。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89.6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Hz</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赫兹，国际单位制中频率的单位，它是每秒中的周期性变动重复次数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的计量。</w:t>
                        </w:r>
                        <w:r>
                          <w:rPr>
                            <w:rFonts w:ascii="Times New Roman" w:hAnsi="Times New Roman" w:cs="Times New Roman" w:eastAsia="Times New Roman" w:hint="default"/>
                            <w:spacing w:val="-3"/>
                            <w:sz w:val="18"/>
                            <w:szCs w:val="18"/>
                          </w:rPr>
                          <w:t>1Hz</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=1/s</w:t>
                        </w:r>
                        <w:r>
                          <w:rPr>
                            <w:rFonts w:ascii="宋体" w:hAnsi="宋体" w:cs="宋体" w:eastAsia="宋体" w:hint="default"/>
                            <w:sz w:val="18"/>
                            <w:szCs w:val="18"/>
                          </w:rPr>
                          <w:t>，即在单位时间内完成振动的次数，单位为赫兹（</w:t>
                        </w:r>
                        <w:r>
                          <w:rPr>
                            <w:rFonts w:ascii="Times New Roman" w:hAnsi="Times New Roman" w:cs="Times New Roman" w:eastAsia="Times New Roman" w:hint="default"/>
                            <w:sz w:val="18"/>
                            <w:szCs w:val="18"/>
                          </w:rPr>
                          <w:t>1 </w:t>
                        </w:r>
                        <w:r>
                          <w:rPr>
                            <w:rFonts w:ascii="宋体" w:hAnsi="宋体" w:cs="宋体" w:eastAsia="宋体" w:hint="default"/>
                            <w:sz w:val="18"/>
                            <w:szCs w:val="18"/>
                          </w:rPr>
                          <w:t>赫兹</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6"/>
                            <w:w w:val="99"/>
                            <w:sz w:val="18"/>
                            <w:szCs w:val="18"/>
                          </w:rPr>
                          <w:t>次</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秒）。</w:t>
                        </w:r>
                        <w:r>
                          <w:rPr>
                            <w:rFonts w:ascii="Times New Roman" w:hAnsi="Times New Roman" w:cs="Times New Roman" w:eastAsia="Times New Roman" w:hint="default"/>
                            <w:spacing w:val="-6"/>
                            <w:w w:val="99"/>
                            <w:sz w:val="18"/>
                            <w:szCs w:val="18"/>
                          </w:rPr>
                          <w:t>1GHz=1000MHz</w:t>
                        </w:r>
                        <w:r>
                          <w:rPr>
                            <w:rFonts w:ascii="宋体" w:hAnsi="宋体" w:cs="宋体" w:eastAsia="宋体" w:hint="default"/>
                            <w:spacing w:val="-6"/>
                            <w:w w:val="99"/>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5.8GHz</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通讯频段，电磁波的频率范围，对应电磁波的波长为厘米波</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10cm~1cm</w:t>
                        </w:r>
                        <w:r>
                          <w:rPr>
                            <w:rFonts w:ascii="宋体" w:hAnsi="宋体" w:cs="宋体" w:eastAsia="宋体" w:hint="default"/>
                            <w:sz w:val="18"/>
                            <w:szCs w:val="18"/>
                          </w:rPr>
                          <w:t>。</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多义性路径识别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车辆从高速公路网络中的某一入口进入，至某一出口离开，中间可能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有多种行驶路径。多义性路径识别是利用技术手段对车辆的行驶路径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进行识别，记录车辆的实际行驶路径信息。可用于收</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计费清算及拆分</w:t>
                        </w:r>
                        <w:r>
                          <w:rPr>
                            <w:rFonts w:ascii="宋体" w:hAnsi="宋体" w:cs="宋体" w:eastAsia="宋体" w:hint="default"/>
                            <w:spacing w:val="-78"/>
                            <w:sz w:val="18"/>
                            <w:szCs w:val="18"/>
                          </w:rPr>
                          <w:t> </w:t>
                        </w:r>
                        <w:r>
                          <w:rPr>
                            <w:rFonts w:ascii="宋体" w:hAnsi="宋体" w:cs="宋体" w:eastAsia="宋体" w:hint="default"/>
                            <w:sz w:val="18"/>
                            <w:szCs w:val="18"/>
                          </w:rPr>
                          <w:t>车流量调节。</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自由流</w:t>
                        </w:r>
                        <w:r>
                          <w:rPr>
                            <w:rFonts w:ascii="Times New Roman" w:hAnsi="Times New Roman" w:cs="Times New Roman" w:eastAsia="Times New Roman" w:hint="default"/>
                            <w:sz w:val="18"/>
                            <w:szCs w:val="18"/>
                          </w:rPr>
                          <w:t>/</w:t>
                        </w:r>
                        <w:r>
                          <w:rPr>
                            <w:rFonts w:ascii="宋体" w:hAnsi="宋体" w:cs="宋体" w:eastAsia="宋体" w:hint="default"/>
                            <w:sz w:val="18"/>
                            <w:szCs w:val="18"/>
                          </w:rPr>
                          <w:t>多车道自由流系统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Multi-lane Free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Flow</w:t>
                        </w:r>
                        <w:r>
                          <w:rPr>
                            <w:rFonts w:ascii="宋体" w:hAnsi="宋体" w:cs="宋体" w:eastAsia="宋体" w:hint="default"/>
                            <w:sz w:val="18"/>
                            <w:szCs w:val="18"/>
                          </w:rPr>
                          <w:t>，车道上不设置物理隔离物，不影响车流的正常 </w:t>
                        </w:r>
                        <w:r>
                          <w:rPr>
                            <w:rFonts w:ascii="宋体" w:hAnsi="宋体" w:cs="宋体" w:eastAsia="宋体" w:hint="default"/>
                            <w:spacing w:val="-2"/>
                            <w:sz w:val="18"/>
                            <w:szCs w:val="18"/>
                          </w:rPr>
                          <w:t>通行的电子不停车收费系统；收费过程不对车辆行驶状态提出过多的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限制，如车速、并驰、跨线和并线等。</w:t>
                        </w:r>
                      </w:p>
                    </w:tc>
                  </w:tr>
                  <w:tr>
                    <w:trPr>
                      <w:trHeight w:val="23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智慧停车场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智慧停车场管理系统，是融合了物联网、电子支付及云计算新技术， 能够实现全自动停车联网服务与收费管理的高科技机电一体化产品。</w:t>
                        </w:r>
                      </w:p>
                      <w:p>
                        <w:pPr>
                          <w:pStyle w:val="TableParagraph"/>
                          <w:spacing w:line="319" w:lineRule="auto" w:before="55"/>
                          <w:ind w:left="22" w:right="21"/>
                          <w:jc w:val="both"/>
                          <w:rPr>
                            <w:rFonts w:ascii="宋体" w:hAnsi="宋体" w:cs="宋体" w:eastAsia="宋体" w:hint="default"/>
                            <w:sz w:val="18"/>
                            <w:szCs w:val="18"/>
                          </w:rPr>
                        </w:pPr>
                        <w:r>
                          <w:rPr>
                            <w:rFonts w:ascii="宋体" w:hAnsi="宋体" w:cs="宋体" w:eastAsia="宋体" w:hint="default"/>
                            <w:spacing w:val="-2"/>
                            <w:sz w:val="18"/>
                            <w:szCs w:val="18"/>
                          </w:rPr>
                          <w:t>它以车载电子标签和车牌等特征为识别介质，通过物联网识别设备获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取车辆及持卡人的相关信息，通过车辆感知、传输以及集中监控的停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车联网远程服务，辅助以移动终端和监控人机界面，实现全自动无人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值守、不停车通行、非现金收费、集中化联网车辆管理服务。具有管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理高效、运作环保，以及更高服务质量，更好服务体验的特点。</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利用先进传感技术、网络技术、计算技术、控制技术、智能技术，对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道路和交通进行全面感知，实现多个系统间大范围、大容量数据的交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互，对每一辆汽车进行交通全程控制，对每一条道路进行交通全时空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控制，以提高交通效率和交通安全为主的网络与应用。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GPS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Global</w:t>
                        </w:r>
                        <w:r>
                          <w:rPr>
                            <w:rFonts w:ascii="Times New Roman" w:hAnsi="Times New Roman" w:cs="Times New Roman" w:eastAsia="Times New Roman" w:hint="default"/>
                            <w:spacing w:val="12"/>
                            <w:w w:val="99"/>
                            <w:sz w:val="18"/>
                            <w:szCs w:val="18"/>
                          </w:rPr>
                          <w:t> </w:t>
                        </w:r>
                        <w:r>
                          <w:rPr>
                            <w:rFonts w:ascii="Times New Roman" w:hAnsi="Times New Roman" w:cs="Times New Roman" w:eastAsia="Times New Roman" w:hint="default"/>
                            <w:spacing w:val="-1"/>
                            <w:w w:val="99"/>
                            <w:sz w:val="18"/>
                            <w:szCs w:val="18"/>
                          </w:rPr>
                          <w:t>Positioning</w:t>
                        </w:r>
                        <w:r>
                          <w:rPr>
                            <w:rFonts w:ascii="Times New Roman" w:hAnsi="Times New Roman" w:cs="Times New Roman" w:eastAsia="Times New Roman" w:hint="default"/>
                            <w:spacing w:val="10"/>
                            <w:w w:val="99"/>
                            <w:sz w:val="18"/>
                            <w:szCs w:val="18"/>
                          </w:rPr>
                          <w:t> </w:t>
                        </w:r>
                        <w:r>
                          <w:rPr>
                            <w:rFonts w:ascii="Times New Roman" w:hAnsi="Times New Roman" w:cs="Times New Roman" w:eastAsia="Times New Roman" w:hint="default"/>
                            <w:spacing w:val="-7"/>
                            <w:w w:val="99"/>
                            <w:sz w:val="18"/>
                            <w:szCs w:val="18"/>
                          </w:rPr>
                          <w:t>System</w:t>
                        </w:r>
                        <w:r>
                          <w:rPr>
                            <w:rFonts w:ascii="宋体" w:hAnsi="宋体" w:cs="宋体" w:eastAsia="宋体" w:hint="default"/>
                            <w:spacing w:val="-7"/>
                            <w:w w:val="99"/>
                            <w:sz w:val="18"/>
                            <w:szCs w:val="18"/>
                          </w:rPr>
                          <w:t>（全球定位系统），利用卫星，在全球范围内</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实时进行定位、导航的系统。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质保期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指产品已经交付并经业主或系统集成商验收合格后，自验收合格之日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起约定时间段内的产品质量保证期。</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联网收费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也称为收费联网，在一定的收费路网范围内，将分属不同收费公路经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营单位管理的若干条高速公路纳入一个统一的封闭式收费系统，对各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收费公路经营管理单位实行</w:t>
                        </w:r>
                        <w:r>
                          <w:rPr>
                            <w:rFonts w:ascii="Times New Roman" w:hAnsi="Times New Roman" w:cs="Times New Roman" w:eastAsia="Times New Roman" w:hint="default"/>
                            <w:sz w:val="18"/>
                            <w:szCs w:val="18"/>
                          </w:rPr>
                          <w:t>"</w:t>
                        </w:r>
                        <w:r>
                          <w:rPr>
                            <w:rFonts w:ascii="宋体" w:hAnsi="宋体" w:cs="宋体" w:eastAsia="宋体" w:hint="default"/>
                            <w:sz w:val="18"/>
                            <w:szCs w:val="18"/>
                          </w:rPr>
                          <w:t>统一收费、按比例分成</w:t>
                        </w:r>
                        <w:r>
                          <w:rPr>
                            <w:rFonts w:ascii="Times New Roman" w:hAnsi="Times New Roman" w:cs="Times New Roman" w:eastAsia="Times New Roman" w:hint="default"/>
                            <w:sz w:val="18"/>
                            <w:szCs w:val="18"/>
                          </w:rPr>
                          <w:t>"</w:t>
                        </w:r>
                        <w:r>
                          <w:rPr>
                            <w:rFonts w:ascii="宋体" w:hAnsi="宋体" w:cs="宋体" w:eastAsia="宋体" w:hint="default"/>
                            <w:sz w:val="18"/>
                            <w:szCs w:val="18"/>
                          </w:rPr>
                          <w:t>的收费运营和管 理方式。</w:t>
                        </w:r>
                      </w:p>
                    </w:tc>
                  </w:tr>
                  <w:tr>
                    <w:trPr>
                      <w:trHeight w:val="22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Manual </w:t>
                        </w:r>
                        <w:r>
                          <w:rPr>
                            <w:rFonts w:ascii="Times New Roman" w:hAnsi="Times New Roman" w:cs="Times New Roman" w:eastAsia="Times New Roman" w:hint="default"/>
                            <w:spacing w:val="-4"/>
                            <w:w w:val="99"/>
                            <w:sz w:val="18"/>
                            <w:szCs w:val="18"/>
                          </w:rPr>
                          <w:t>Toll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w w:val="99"/>
                            <w:sz w:val="18"/>
                            <w:szCs w:val="18"/>
                          </w:rPr>
                          <w:t>Collection</w:t>
                        </w:r>
                        <w:r>
                          <w:rPr>
                            <w:rFonts w:ascii="宋体" w:hAnsi="宋体" w:cs="宋体" w:eastAsia="宋体" w:hint="default"/>
                            <w:spacing w:val="-4"/>
                            <w:w w:val="99"/>
                            <w:sz w:val="18"/>
                            <w:szCs w:val="18"/>
                          </w:rPr>
                          <w:t>（人工半自动收费车道），就是现有的人工收费</w:t>
                        </w:r>
                        <w:r>
                          <w:rPr>
                            <w:rFonts w:ascii="宋体" w:hAnsi="宋体" w:cs="宋体" w:eastAsia="宋体" w:hint="default"/>
                            <w:spacing w:val="-61"/>
                            <w:w w:val="99"/>
                            <w:sz w:val="18"/>
                            <w:szCs w:val="18"/>
                          </w:rPr>
                          <w:t> </w:t>
                        </w:r>
                        <w:r>
                          <w:rPr>
                            <w:rFonts w:ascii="宋体" w:hAnsi="宋体" w:cs="宋体" w:eastAsia="宋体" w:hint="default"/>
                            <w:spacing w:val="-61"/>
                            <w:w w:val="99"/>
                            <w:sz w:val="18"/>
                            <w:szCs w:val="18"/>
                          </w:rPr>
                        </w:r>
                        <w:r>
                          <w:rPr>
                            <w:rFonts w:ascii="宋体" w:hAnsi="宋体" w:cs="宋体" w:eastAsia="宋体" w:hint="default"/>
                            <w:spacing w:val="-1"/>
                            <w:w w:val="99"/>
                            <w:sz w:val="18"/>
                            <w:szCs w:val="18"/>
                          </w:rPr>
                          <w:t>系统。</w:t>
                        </w:r>
                        <w:r>
                          <w:rPr>
                            <w:rFonts w:ascii="Times New Roman" w:hAnsi="Times New Roman" w:cs="Times New Roman" w:eastAsia="Times New Roman" w:hint="default"/>
                            <w:spacing w:val="-1"/>
                            <w:w w:val="99"/>
                            <w:sz w:val="18"/>
                            <w:szCs w:val="18"/>
                          </w:rPr>
                          <w:t>MTC</w:t>
                        </w:r>
                        <w:r>
                          <w:rPr>
                            <w:rFonts w:ascii="Times New Roman" w:hAnsi="Times New Roman" w:cs="Times New Roman" w:eastAsia="Times New Roman" w:hint="default"/>
                            <w:w w:val="99"/>
                            <w:sz w:val="18"/>
                            <w:szCs w:val="18"/>
                          </w:rPr>
                          <w:t> </w:t>
                        </w:r>
                        <w:r>
                          <w:rPr>
                            <w:rFonts w:ascii="宋体" w:hAnsi="宋体" w:cs="宋体" w:eastAsia="宋体" w:hint="default"/>
                            <w:spacing w:val="-5"/>
                            <w:w w:val="99"/>
                            <w:sz w:val="18"/>
                            <w:szCs w:val="18"/>
                          </w:rPr>
                          <w:t>车道是由汽车自动分类系统（</w:t>
                        </w:r>
                        <w:r>
                          <w:rPr>
                            <w:rFonts w:ascii="Times New Roman" w:hAnsi="Times New Roman" w:cs="Times New Roman" w:eastAsia="Times New Roman" w:hint="default"/>
                            <w:spacing w:val="-5"/>
                            <w:w w:val="99"/>
                            <w:sz w:val="18"/>
                            <w:szCs w:val="18"/>
                          </w:rPr>
                          <w:t>AVC</w:t>
                        </w:r>
                        <w:r>
                          <w:rPr>
                            <w:rFonts w:ascii="宋体" w:hAnsi="宋体" w:cs="宋体" w:eastAsia="宋体" w:hint="default"/>
                            <w:spacing w:val="-5"/>
                            <w:w w:val="99"/>
                            <w:sz w:val="18"/>
                            <w:szCs w:val="18"/>
                          </w:rPr>
                          <w:t>）、读卡装置、显示设</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2"/>
                            <w:sz w:val="18"/>
                            <w:szCs w:val="18"/>
                          </w:rPr>
                          <w:t>备、视频临控、自动栏杆和计算机软件系统组成，读卡器可以采用接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触式或非接触式。当汽车进入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MTC</w:t>
                        </w:r>
                        <w:r>
                          <w:rPr>
                            <w:rFonts w:ascii="Times New Roman" w:hAnsi="Times New Roman" w:cs="Times New Roman" w:eastAsia="Times New Roman" w:hint="default"/>
                            <w:spacing w:val="2"/>
                            <w:sz w:val="18"/>
                            <w:szCs w:val="18"/>
                          </w:rPr>
                          <w:t> </w:t>
                        </w:r>
                        <w:r>
                          <w:rPr>
                            <w:rFonts w:ascii="宋体" w:hAnsi="宋体" w:cs="宋体" w:eastAsia="宋体" w:hint="default"/>
                            <w:spacing w:val="-12"/>
                            <w:w w:val="99"/>
                            <w:sz w:val="18"/>
                            <w:szCs w:val="18"/>
                          </w:rPr>
                          <w:t>车道时，汽车自动分类系统（</w:t>
                        </w:r>
                        <w:r>
                          <w:rPr>
                            <w:rFonts w:ascii="Times New Roman" w:hAnsi="Times New Roman" w:cs="Times New Roman" w:eastAsia="Times New Roman" w:hint="default"/>
                            <w:spacing w:val="-12"/>
                            <w:w w:val="99"/>
                            <w:sz w:val="18"/>
                            <w:szCs w:val="18"/>
                          </w:rPr>
                          <w:t>AVC</w:t>
                        </w:r>
                        <w:r>
                          <w:rPr>
                            <w:rFonts w:ascii="Times New Roman" w:hAnsi="Times New Roman" w:cs="Times New Roman" w:eastAsia="Times New Roman" w:hint="default"/>
                            <w:spacing w:val="-34"/>
                            <w:w w:val="99"/>
                            <w:sz w:val="18"/>
                            <w:szCs w:val="18"/>
                          </w:rPr>
                          <w:t> </w:t>
                        </w:r>
                        <w:r>
                          <w:rPr>
                            <w:rFonts w:ascii="Times New Roman" w:hAnsi="Times New Roman" w:cs="Times New Roman" w:eastAsia="Times New Roman" w:hint="default"/>
                            <w:spacing w:val="-34"/>
                            <w:w w:val="99"/>
                            <w:sz w:val="18"/>
                            <w:szCs w:val="18"/>
                          </w:rPr>
                        </w:r>
                        <w:r>
                          <w:rPr>
                            <w:rFonts w:ascii="宋体" w:hAnsi="宋体" w:cs="宋体" w:eastAsia="宋体" w:hint="default"/>
                            <w:sz w:val="18"/>
                            <w:szCs w:val="18"/>
                          </w:rPr>
                          <w:t>将车辆信息自动分类，然后告诉软件系统该车属于哪一类型的车辆， </w:t>
                        </w:r>
                        <w:r>
                          <w:rPr>
                            <w:rFonts w:ascii="宋体" w:hAnsi="宋体" w:cs="宋体" w:eastAsia="宋体" w:hint="default"/>
                            <w:spacing w:val="-2"/>
                            <w:sz w:val="18"/>
                            <w:szCs w:val="18"/>
                          </w:rPr>
                          <w:t>软件系统根据此信息告诉读卡器应该收取多少数额的通行费，当交易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完成后，软件系统向自动栏杆发出命令，让车辆通过，完成收费。</w:t>
                        </w:r>
                      </w:p>
                    </w:tc>
                  </w:tr>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ERP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Resource </w:t>
                        </w:r>
                        <w:r>
                          <w:rPr>
                            <w:rFonts w:ascii="Times New Roman" w:hAnsi="Times New Roman" w:cs="Times New Roman" w:eastAsia="Times New Roman" w:hint="default"/>
                            <w:spacing w:val="-6"/>
                            <w:sz w:val="18"/>
                            <w:szCs w:val="18"/>
                          </w:rPr>
                          <w:t>Planning</w:t>
                        </w:r>
                        <w:r>
                          <w:rPr>
                            <w:rFonts w:ascii="宋体" w:hAnsi="宋体" w:cs="宋体" w:eastAsia="宋体" w:hint="default"/>
                            <w:spacing w:val="-6"/>
                            <w:sz w:val="18"/>
                            <w:szCs w:val="18"/>
                          </w:rPr>
                          <w:t>（企业资源计划）</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针对物资资源管理（物</w:t>
                        </w:r>
                        <w:r>
                          <w:rPr>
                            <w:rFonts w:ascii="宋体" w:hAnsi="宋体" w:cs="宋体" w:eastAsia="宋体" w:hint="default"/>
                            <w:sz w:val="18"/>
                            <w:szCs w:val="18"/>
                          </w:rPr>
                          <w:t> </w:t>
                        </w:r>
                        <w:r>
                          <w:rPr>
                            <w:rFonts w:ascii="宋体" w:hAnsi="宋体" w:cs="宋体" w:eastAsia="宋体" w:hint="default"/>
                            <w:spacing w:val="-9"/>
                            <w:sz w:val="18"/>
                            <w:szCs w:val="18"/>
                          </w:rPr>
                          <w:t>流）、人力资源管理（人流）、财务资源管理（财流）、信息资源管理</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pacing w:val="-2"/>
                            <w:sz w:val="18"/>
                            <w:szCs w:val="18"/>
                          </w:rPr>
                          <w:t>（信息流）集成一体化的企业管理软件。数据在各业务系统之间高度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56.459999pt;margin-top:-117.02829pt;width:479.25pt;height:518.1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共享，所有源数据只需在某一个系统中输入一次，保证了数据的一致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性。并且对公司内部业务流程和管理过程进行了优化，主要的业务流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程实现了自动化。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射频技术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采用无线电波来传送控制信号的通信技术，信号传播不具方向性，有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效传播距离可达数十米，较常见的应用有无线射频识别。</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V2X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V2X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Vehicle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Everything)</w:t>
                        </w:r>
                        <w:r>
                          <w:rPr>
                            <w:rFonts w:ascii="宋体" w:hAnsi="宋体" w:cs="宋体" w:eastAsia="宋体" w:hint="default"/>
                            <w:sz w:val="18"/>
                            <w:szCs w:val="18"/>
                          </w:rPr>
                          <w:t>，即汽车之间、汽车与其它交通要素之间 的直接通信，是未来智能交通运输系统的关键技术。它使得车与车、 </w:t>
                        </w:r>
                        <w:r>
                          <w:rPr>
                            <w:rFonts w:ascii="宋体" w:hAnsi="宋体" w:cs="宋体" w:eastAsia="宋体" w:hint="default"/>
                            <w:spacing w:val="-5"/>
                            <w:sz w:val="18"/>
                            <w:szCs w:val="18"/>
                          </w:rPr>
                          <w:t>车与基站、基站与基站之间能够通信。从而获得实时路况、道路信息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行人信息等一系列交通信息，从而提高驾驶安全性、减少拥堵、提高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交通效率、提供车载娱乐信息等。</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物联网（</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，简称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）是新一代信息技术的重要组成 </w:t>
                        </w:r>
                        <w:r>
                          <w:rPr>
                            <w:rFonts w:ascii="宋体" w:hAnsi="宋体" w:cs="宋体" w:eastAsia="宋体" w:hint="default"/>
                            <w:spacing w:val="-2"/>
                            <w:sz w:val="18"/>
                            <w:szCs w:val="18"/>
                          </w:rPr>
                          <w:t>部分，是物物相连的互联网。物联网通过智能感知、识别技术与普适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计算等通信感知技术，广泛应用于网络的融合中。</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汽车电子标识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汽车电子标识（</w:t>
                        </w:r>
                        <w:r>
                          <w:rPr>
                            <w:rFonts w:ascii="Times New Roman" w:hAnsi="Times New Roman" w:cs="Times New Roman" w:eastAsia="Times New Roman" w:hint="default"/>
                            <w:spacing w:val="-4"/>
                            <w:sz w:val="18"/>
                            <w:szCs w:val="18"/>
                          </w:rPr>
                          <w:t>electronic </w:t>
                        </w:r>
                        <w:r>
                          <w:rPr>
                            <w:rFonts w:ascii="Times New Roman" w:hAnsi="Times New Roman" w:cs="Times New Roman" w:eastAsia="Times New Roman" w:hint="default"/>
                            <w:sz w:val="18"/>
                            <w:szCs w:val="18"/>
                          </w:rPr>
                          <w:t>registration identification of the motor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vehicle</w:t>
                        </w:r>
                        <w:r>
                          <w:rPr>
                            <w:rFonts w:ascii="Times New Roman" w:hAnsi="Times New Roman" w:cs="Times New Roman" w:eastAsia="Times New Roman" w:hint="default"/>
                            <w:sz w:val="18"/>
                            <w:szCs w:val="18"/>
                          </w:rPr>
                          <w:t> </w:t>
                        </w:r>
                        <w:r>
                          <w:rPr>
                            <w:rFonts w:ascii="宋体" w:hAnsi="宋体" w:cs="宋体" w:eastAsia="宋体" w:hint="default"/>
                            <w:sz w:val="18"/>
                            <w:szCs w:val="18"/>
                          </w:rPr>
                          <w:t>简称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ERI</w:t>
                        </w:r>
                        <w:r>
                          <w:rPr>
                            <w:rFonts w:ascii="宋体" w:hAnsi="宋体" w:cs="宋体" w:eastAsia="宋体" w:hint="default"/>
                            <w:sz w:val="18"/>
                            <w:szCs w:val="18"/>
                          </w:rPr>
                          <w:t>）也叫汽车电子身份证、汽车数字化标准信源、俗称“电子 </w:t>
                        </w:r>
                        <w:r>
                          <w:rPr>
                            <w:rFonts w:ascii="宋体" w:hAnsi="宋体" w:cs="宋体" w:eastAsia="宋体" w:hint="default"/>
                            <w:spacing w:val="-3"/>
                            <w:sz w:val="18"/>
                            <w:szCs w:val="18"/>
                          </w:rPr>
                          <w:t>车牌”，将车牌号码等信息存储在射频标签中，能够自动、非接触、</w:t>
                        </w:r>
                        <w:r>
                          <w:rPr>
                            <w:rFonts w:ascii="宋体" w:hAnsi="宋体" w:cs="宋体" w:eastAsia="宋体" w:hint="default"/>
                            <w:sz w:val="18"/>
                            <w:szCs w:val="18"/>
                          </w:rPr>
                          <w:t> </w:t>
                        </w:r>
                        <w:r>
                          <w:rPr>
                            <w:rFonts w:ascii="宋体" w:hAnsi="宋体" w:cs="宋体" w:eastAsia="宋体" w:hint="default"/>
                            <w:spacing w:val="-6"/>
                            <w:w w:val="99"/>
                            <w:sz w:val="18"/>
                            <w:szCs w:val="18"/>
                          </w:rPr>
                          <w:t>不停车地完成车辆的识别和监控，是基于物联网无源射频识别（</w:t>
                        </w:r>
                        <w:r>
                          <w:rPr>
                            <w:rFonts w:ascii="Times New Roman" w:hAnsi="Times New Roman" w:cs="Times New Roman" w:eastAsia="Times New Roman" w:hint="default"/>
                            <w:spacing w:val="-6"/>
                            <w:w w:val="99"/>
                            <w:sz w:val="18"/>
                            <w:szCs w:val="18"/>
                          </w:rPr>
                          <w:t>RFID</w:t>
                        </w:r>
                        <w:r>
                          <w:rPr>
                            <w:rFonts w:ascii="Times New Roman" w:hAnsi="Times New Roman" w:cs="Times New Roman" w:eastAsia="Times New Roman" w:hint="default"/>
                            <w:spacing w:val="-28"/>
                            <w:w w:val="99"/>
                            <w:sz w:val="18"/>
                            <w:szCs w:val="18"/>
                          </w:rPr>
                          <w:t> </w:t>
                        </w:r>
                        <w:r>
                          <w:rPr>
                            <w:rFonts w:ascii="Times New Roman" w:hAnsi="Times New Roman" w:cs="Times New Roman" w:eastAsia="Times New Roman" w:hint="default"/>
                            <w:spacing w:val="-28"/>
                            <w:w w:val="99"/>
                            <w:sz w:val="18"/>
                            <w:szCs w:val="18"/>
                          </w:rPr>
                        </w:r>
                        <w:r>
                          <w:rPr>
                            <w:rFonts w:ascii="宋体" w:hAnsi="宋体" w:cs="宋体" w:eastAsia="宋体" w:hint="default"/>
                            <w:sz w:val="18"/>
                            <w:szCs w:val="18"/>
                          </w:rPr>
                          <w:t>在智慧交通领域的延伸。</w:t>
                        </w:r>
                      </w:p>
                    </w:tc>
                  </w:tr>
                  <w:tr>
                    <w:trPr>
                      <w:trHeight w:val="22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车路协同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智能车路协同系统即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IVICS(Intelligent</w:t>
                        </w:r>
                        <w:r>
                          <w:rPr>
                            <w:rFonts w:ascii="Times New Roman" w:hAnsi="Times New Roman" w:cs="Times New Roman" w:eastAsia="Times New Roman" w:hint="default"/>
                            <w:spacing w:val="-4"/>
                            <w:sz w:val="18"/>
                            <w:szCs w:val="18"/>
                          </w:rPr>
                          <w:t> Vehicle</w:t>
                        </w:r>
                        <w:r>
                          <w:rPr>
                            <w:rFonts w:ascii="Times New Roman" w:hAnsi="Times New Roman" w:cs="Times New Roman" w:eastAsia="Times New Roman" w:hint="default"/>
                            <w:sz w:val="18"/>
                            <w:szCs w:val="18"/>
                          </w:rPr>
                          <w:t> Infrastructure</w:t>
                        </w:r>
                        <w:r>
                          <w:rPr>
                            <w:rFonts w:ascii="Times New Roman" w:hAnsi="Times New Roman" w:cs="Times New Roman" w:eastAsia="Times New Roman" w:hint="default"/>
                            <w:sz w:val="18"/>
                            <w:szCs w:val="18"/>
                          </w:rPr>
                          <w:t> Cooperative </w:t>
                        </w:r>
                        <w:r>
                          <w:rPr>
                            <w:rFonts w:ascii="Times New Roman" w:hAnsi="Times New Roman" w:cs="Times New Roman" w:eastAsia="Times New Roman" w:hint="default"/>
                            <w:spacing w:val="-4"/>
                            <w:sz w:val="18"/>
                            <w:szCs w:val="18"/>
                          </w:rPr>
                          <w:t>Systems)</w:t>
                        </w:r>
                        <w:r>
                          <w:rPr>
                            <w:rFonts w:ascii="宋体" w:hAnsi="宋体" w:cs="宋体" w:eastAsia="宋体" w:hint="default"/>
                            <w:spacing w:val="-4"/>
                            <w:sz w:val="18"/>
                            <w:szCs w:val="18"/>
                          </w:rPr>
                          <w:t>，简称车路协同系统，</w:t>
                        </w:r>
                        <w:hyperlink r:id="rId8">
                          <w:r>
                            <w:rPr>
                              <w:rFonts w:ascii="宋体" w:hAnsi="宋体" w:cs="宋体" w:eastAsia="宋体" w:hint="default"/>
                              <w:spacing w:val="-4"/>
                              <w:sz w:val="18"/>
                              <w:szCs w:val="18"/>
                            </w:rPr>
                            <w:t>是智能交通系统</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ITS</w:t>
                        </w:r>
                        <w:r>
                          <w:rPr>
                            <w:rFonts w:ascii="宋体" w:hAnsi="宋体" w:cs="宋体" w:eastAsia="宋体" w:hint="default"/>
                            <w:spacing w:val="-4"/>
                            <w:sz w:val="18"/>
                            <w:szCs w:val="18"/>
                          </w:rPr>
                          <w:t>）的</w:t>
                        </w:r>
                        <w:r>
                          <w:rPr>
                            <w:rFonts w:ascii="宋体" w:hAnsi="宋体" w:cs="宋体" w:eastAsia="宋体" w:hint="default"/>
                            <w:spacing w:val="-81"/>
                            <w:sz w:val="18"/>
                            <w:szCs w:val="18"/>
                          </w:rPr>
                          <w:t> </w:t>
                        </w:r>
                        <w:r>
                          <w:rPr>
                            <w:rFonts w:ascii="宋体" w:hAnsi="宋体" w:cs="宋体" w:eastAsia="宋体" w:hint="default"/>
                            <w:spacing w:val="-2"/>
                            <w:sz w:val="18"/>
                            <w:szCs w:val="18"/>
                          </w:rPr>
                          <w:t>最新发展方向。车路协同是采用先进的无线通信和新一代互联网等技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术，全方位实施车车、车路动态实时信息交互，并在全时空动态交通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信息采集与融合的基础上开展车辆主动安全控制和道路协同管理，充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分实现人车路的有效协同，保证交通安全，提高通行效率，从而形成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的安全、高效和环保的道路交通系统。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LTE-V2X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实现</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V2X</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Vehicle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Everything</w:t>
                        </w:r>
                        <w:r>
                          <w:rPr>
                            <w:rFonts w:ascii="宋体" w:hAnsi="宋体" w:cs="宋体" w:eastAsia="宋体" w:hint="default"/>
                            <w:sz w:val="18"/>
                            <w:szCs w:val="18"/>
                          </w:rPr>
                          <w:t>）的两大技术阵营之一，是基于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4.5G</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网络，以</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通信技术作为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的基础，专门针对车间通讯的协议</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智慧公路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也叫智能公路，可通过交通资讯信息的收集和传递，实现对车流在时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间和空间上的引导、分流，避免公路堵塞，加强公路用户的安全，以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减少交通事故的发生。并改善了高速公路交通运输环境，使车辆和司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乘人员在高速公路上安全、快速、畅通、舒适地运行。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92.879974pt;width:361.5pt;height:19.6pt;mso-position-horizontal-relative:page;mso-position-vertical-relative:page;z-index:-95692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123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3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金溢科技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002869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金溢科技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Genvict Technologies Co.,</w:t>
            </w:r>
            <w:r>
              <w:rPr>
                <w:rFonts w:ascii="Times New Roman"/>
                <w:spacing w:val="-26"/>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GENVICT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罗瑞发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深圳市南山区科苑路清华信息港研发楼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深圳市南山区科苑路清华信息港研发楼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www.genvict.com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23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冯卓琛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深圳市南山区科苑路清华信息港研发楼</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深圳市南山区科苑路清华信息港研发楼</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0755-26624127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0755-26624127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0755-26625173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0755-26625173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23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1235"/>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91440300761987321E</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235"/>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赵国梁、龙海燕</w:t>
            </w:r>
          </w:p>
        </w:tc>
      </w:tr>
    </w:tbl>
    <w:p>
      <w:pPr>
        <w:pStyle w:val="BodyText"/>
        <w:spacing w:line="240" w:lineRule="auto" w:before="51"/>
        <w:ind w:left="154" w:right="1235"/>
        <w:jc w:val="left"/>
      </w:pPr>
      <w:r>
        <w:rPr/>
        <w:t>公司聘请的报告期内履行持续督导职责的保荐机构</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号国信证券大厦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王鸿远、金蕾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1235"/>
        <w:jc w:val="left"/>
      </w:pPr>
      <w:r>
        <w:rPr/>
        <w:t>公司聘请的报告期内履行持续督导职责的财务顾问</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公司是否需追溯调整或重述以前年度会计数据</w:t>
      </w:r>
    </w:p>
    <w:p>
      <w:pPr>
        <w:pStyle w:val="BodyText"/>
        <w:spacing w:line="240" w:lineRule="auto" w:before="117"/>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622,649,833.01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668,721,241.20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752,064,473.55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89,417,850.55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121,642,814.86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139,698,090.88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75,697,841.09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111,724,065.49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132,356,988.45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14,274,820.84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19,255,597.55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328,985,846.96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1,379,681,672.73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836,656,139.06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909,497,561.52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1,022,640,167.17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426,672,023.27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9" w:right="0"/>
              <w:jc w:val="left"/>
              <w:rPr>
                <w:rFonts w:ascii="Times New Roman" w:hAnsi="Times New Roman" w:cs="Times New Roman" w:eastAsia="Times New Roman" w:hint="default"/>
                <w:sz w:val="18"/>
                <w:szCs w:val="18"/>
              </w:rPr>
            </w:pPr>
            <w:r>
              <w:rPr>
                <w:rFonts w:ascii="Times New Roman"/>
                <w:sz w:val="18"/>
              </w:rPr>
              <w:t>139.68%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349,169,208.41</w:t>
            </w:r>
          </w:p>
        </w:tc>
      </w:tr>
    </w:tbl>
    <w:p>
      <w:pPr>
        <w:pStyle w:val="BodyText"/>
        <w:spacing w:line="240" w:lineRule="auto" w:before="51"/>
        <w:ind w:left="154" w:right="1235"/>
        <w:jc w:val="left"/>
      </w:pPr>
      <w:r>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0.7591</w:t>
            </w:r>
          </w:p>
        </w:tc>
      </w:tr>
    </w:tbl>
    <w:p>
      <w:pPr>
        <w:pStyle w:val="BodyText"/>
        <w:spacing w:line="240" w:lineRule="auto" w:before="51"/>
        <w:ind w:left="154" w:right="1235"/>
        <w:jc w:val="left"/>
      </w:pPr>
      <w:r>
        <w:rPr/>
        <w:t>是否存在公司债</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3"/>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3"/>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123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2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153" w:right="123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1235"/>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八、分季度主要财务指标" w:id="15"/>
      <w:bookmarkEnd w:id="15"/>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184,381,048.56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149,071,169.89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87,327,479.34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201,870,135.22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42,613,828.83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13,717,559.40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898,583.71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32,187,878.61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41,624,033.94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12,791,589.68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-2,182,281.52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23,464,498.99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-120,591,741.72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-3,521,874.32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14,503,124.80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123,885,312.08</w:t>
            </w:r>
          </w:p>
        </w:tc>
      </w:tr>
    </w:tbl>
    <w:p>
      <w:pPr>
        <w:pStyle w:val="BodyText"/>
        <w:spacing w:line="240" w:lineRule="auto" w:before="51"/>
        <w:ind w:left="154" w:right="1235"/>
        <w:jc w:val="left"/>
      </w:pPr>
      <w:r>
        <w:rPr/>
        <w:t>上述财务指标或其加总数是否与公司已披露季度报告、半年度报告相关财务指标存在重大差异</w:t>
      </w:r>
    </w:p>
    <w:p>
      <w:pPr>
        <w:pStyle w:val="BodyText"/>
        <w:spacing w:line="240" w:lineRule="auto" w:before="117"/>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1235"/>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40,327.88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-104,666.10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-34,391.85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13,203,573.18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11,335,967.25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7,654,406.21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研发项目补助及其他 补助</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3,956,289.96</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公司购买理财产品产 生的收益</w:t>
            </w:r>
          </w:p>
        </w:tc>
      </w:tr>
      <w:tr>
        <w:trPr>
          <w:trHeight w:val="391"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-890,160.90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521,843.32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1,075,630.40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16,310,030.12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11,753,144.47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8,695,644.76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2,579,955.50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1,798,241.86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1,350,782.09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10,065.16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36,153.24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3,760.24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13,720,009.46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9,918,749.37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7,341,102.43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27" w:right="1120"/>
        <w:jc w:val="left"/>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233" w:right="1120"/>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233" w:right="7693"/>
        <w:jc w:val="left"/>
      </w:pPr>
      <w:r>
        <w:rPr/>
        <w:t>公司是否需要遵守特殊行业的披露要求 否</w:t>
      </w:r>
    </w:p>
    <w:p>
      <w:pPr>
        <w:pStyle w:val="BodyText"/>
        <w:spacing w:line="357" w:lineRule="auto" w:before="26"/>
        <w:ind w:left="593" w:right="1120" w:firstLine="1"/>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公司专注于智慧交通和物联网领域身份识别与电子支付的应用开发、产品创新与推广，是国内领先的车辆身份识别与电</w:t>
      </w:r>
    </w:p>
    <w:p>
      <w:pPr>
        <w:pStyle w:val="BodyText"/>
        <w:spacing w:line="225" w:lineRule="exact"/>
        <w:ind w:left="233" w:right="1120"/>
        <w:jc w:val="left"/>
      </w:pPr>
      <w:r>
        <w:rPr/>
        <w:t>子支付解决方案和核心设备提供商。经过多年的技术积累和发展，公司已经成为中国智慧交通和物联网领域领先企业。</w:t>
      </w:r>
    </w:p>
    <w:p>
      <w:pPr>
        <w:pStyle w:val="Heading4"/>
        <w:spacing w:line="240" w:lineRule="auto" w:before="117"/>
        <w:ind w:left="593" w:right="1120"/>
        <w:jc w:val="left"/>
        <w:rPr>
          <w:b w:val="0"/>
          <w:bCs w:val="0"/>
        </w:rPr>
      </w:pPr>
      <w:r>
        <w:rPr/>
        <w:t>（二）公司主要产品及其用途</w:t>
      </w:r>
      <w:r>
        <w:rPr>
          <w:b w:val="0"/>
          <w:bCs w:val="0"/>
        </w:rPr>
      </w:r>
    </w:p>
    <w:p>
      <w:pPr>
        <w:pStyle w:val="BodyText"/>
        <w:spacing w:line="302" w:lineRule="auto" w:before="115"/>
        <w:ind w:left="234" w:right="1120" w:firstLine="360"/>
        <w:jc w:val="left"/>
      </w:pPr>
      <w:r>
        <w:rPr/>
        <w:t>公司主要产品包括高速公路</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2"/>
        </w:rPr>
        <w:t> </w:t>
      </w:r>
      <w:r>
        <w:rPr/>
        <w:t>产品、路径识别产品、多车道自由流</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2"/>
        </w:rPr>
        <w:t> </w:t>
      </w:r>
      <w:r>
        <w:rPr/>
        <w:t>产品、车路协同产品、智慧停车场产品，以 及基于射频技术的物联网身份识别产品，主要应用于高速公路、城市交通、车辆管理等智慧交通和出行领域。</w:t>
      </w:r>
    </w:p>
    <w:p>
      <w:pPr>
        <w:spacing w:line="240" w:lineRule="auto" w:before="5"/>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378"/>
        <w:gridCol w:w="1537"/>
        <w:gridCol w:w="2393"/>
        <w:gridCol w:w="1537"/>
        <w:gridCol w:w="3010"/>
      </w:tblGrid>
      <w:tr>
        <w:trPr>
          <w:trHeight w:val="422" w:hRule="exact"/>
        </w:trPr>
        <w:tc>
          <w:tcPr>
            <w:tcW w:w="13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973" w:hRule="exact"/>
        </w:trPr>
        <w:tc>
          <w:tcPr>
            <w:tcW w:w="137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8" w:right="101"/>
              <w:jc w:val="left"/>
              <w:rPr>
                <w:rFonts w:ascii="宋体" w:hAnsi="宋体" w:cs="宋体" w:eastAsia="宋体" w:hint="default"/>
                <w:sz w:val="18"/>
                <w:szCs w:val="18"/>
              </w:rPr>
            </w:pPr>
            <w:r>
              <w:rPr>
                <w:rFonts w:ascii="宋体" w:hAnsi="宋体" w:cs="宋体" w:eastAsia="宋体" w:hint="default"/>
                <w:spacing w:val="13"/>
                <w:sz w:val="18"/>
                <w:szCs w:val="18"/>
              </w:rPr>
              <w:t>电子不停车收</w:t>
            </w:r>
            <w:r>
              <w:rPr>
                <w:rFonts w:ascii="宋体" w:hAnsi="宋体" w:cs="宋体" w:eastAsia="宋体" w:hint="default"/>
                <w:sz w:val="18"/>
                <w:szCs w:val="18"/>
              </w:rPr>
              <w:t> </w:t>
            </w:r>
            <w:r>
              <w:rPr>
                <w:rFonts w:ascii="宋体" w:hAnsi="宋体" w:cs="宋体" w:eastAsia="宋体" w:hint="default"/>
                <w:spacing w:val="-10"/>
                <w:sz w:val="18"/>
                <w:szCs w:val="18"/>
              </w:rPr>
              <w:t>费（</w:t>
            </w:r>
            <w:r>
              <w:rPr>
                <w:rFonts w:ascii="Times New Roman" w:hAnsi="Times New Roman" w:cs="Times New Roman" w:eastAsia="Times New Roman" w:hint="default"/>
                <w:spacing w:val="-10"/>
                <w:sz w:val="18"/>
                <w:szCs w:val="18"/>
              </w:rPr>
              <w:t>ETC</w:t>
            </w:r>
            <w:r>
              <w:rPr>
                <w:rFonts w:ascii="宋体" w:hAnsi="宋体" w:cs="宋体" w:eastAsia="宋体" w:hint="default"/>
                <w:spacing w:val="-10"/>
                <w:sz w:val="18"/>
                <w:szCs w:val="18"/>
              </w:rPr>
              <w:t>）领域</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02"/>
              <w:jc w:val="left"/>
              <w:rPr>
                <w:rFonts w:ascii="宋体" w:hAnsi="宋体" w:cs="宋体" w:eastAsia="宋体" w:hint="default"/>
                <w:sz w:val="18"/>
                <w:szCs w:val="18"/>
              </w:rPr>
            </w:pPr>
            <w:r>
              <w:rPr>
                <w:rFonts w:ascii="宋体" w:hAnsi="宋体" w:cs="宋体" w:eastAsia="宋体" w:hint="default"/>
                <w:spacing w:val="8"/>
                <w:sz w:val="18"/>
                <w:szCs w:val="18"/>
              </w:rPr>
              <w:t>高速公路电子不</w:t>
            </w:r>
            <w:r>
              <w:rPr>
                <w:rFonts w:ascii="宋体" w:hAnsi="宋体" w:cs="宋体" w:eastAsia="宋体" w:hint="default"/>
                <w:sz w:val="18"/>
                <w:szCs w:val="18"/>
              </w:rPr>
              <w:t> 停</w:t>
            </w:r>
            <w:r>
              <w:rPr>
                <w:rFonts w:ascii="宋体" w:hAnsi="宋体" w:cs="宋体" w:eastAsia="宋体" w:hint="default"/>
                <w:spacing w:val="-43"/>
                <w:sz w:val="18"/>
                <w:szCs w:val="18"/>
              </w:rPr>
              <w:t> </w:t>
            </w:r>
            <w:r>
              <w:rPr>
                <w:rFonts w:ascii="宋体" w:hAnsi="宋体" w:cs="宋体" w:eastAsia="宋体" w:hint="default"/>
                <w:sz w:val="18"/>
                <w:szCs w:val="18"/>
              </w:rPr>
              <w:t>车</w:t>
            </w:r>
            <w:r>
              <w:rPr>
                <w:rFonts w:ascii="宋体" w:hAnsi="宋体" w:cs="宋体" w:eastAsia="宋体" w:hint="default"/>
                <w:spacing w:val="-43"/>
                <w:sz w:val="18"/>
                <w:szCs w:val="18"/>
              </w:rPr>
              <w:t> </w:t>
            </w: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费</w:t>
            </w:r>
            <w:r>
              <w:rPr>
                <w:rFonts w:ascii="宋体" w:hAnsi="宋体" w:cs="宋体" w:eastAsia="宋体" w:hint="default"/>
                <w:spacing w:val="-42"/>
                <w:sz w:val="18"/>
                <w:szCs w:val="18"/>
              </w:rPr>
              <w:t> </w:t>
            </w:r>
            <w:r>
              <w:rPr>
                <w:rFonts w:ascii="宋体" w:hAnsi="宋体" w:cs="宋体" w:eastAsia="宋体" w:hint="default"/>
                <w:sz w:val="18"/>
                <w:szCs w:val="18"/>
              </w:rPr>
              <w:t>系</w:t>
            </w:r>
            <w:r>
              <w:rPr>
                <w:rFonts w:ascii="宋体" w:hAnsi="宋体" w:cs="宋体" w:eastAsia="宋体" w:hint="default"/>
                <w:spacing w:val="-42"/>
                <w:sz w:val="18"/>
                <w:szCs w:val="18"/>
              </w:rPr>
              <w:t> </w:t>
            </w:r>
            <w:r>
              <w:rPr>
                <w:rFonts w:ascii="宋体" w:hAnsi="宋体" w:cs="宋体" w:eastAsia="宋体" w:hint="default"/>
                <w:sz w:val="18"/>
                <w:szCs w:val="18"/>
              </w:rPr>
              <w:t>统</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 高 速 公</w:t>
            </w:r>
            <w:r>
              <w:rPr>
                <w:rFonts w:ascii="宋体" w:hAnsi="宋体" w:cs="宋体" w:eastAsia="宋体" w:hint="default"/>
                <w:spacing w:val="60"/>
                <w:sz w:val="18"/>
                <w:szCs w:val="18"/>
              </w:rPr>
              <w:t> </w:t>
            </w:r>
            <w:r>
              <w:rPr>
                <w:rFonts w:ascii="宋体" w:hAnsi="宋体" w:cs="宋体" w:eastAsia="宋体" w:hint="default"/>
                <w:sz w:val="18"/>
                <w:szCs w:val="18"/>
              </w:rPr>
              <w:t>路</w:t>
            </w:r>
          </w:p>
          <w:p>
            <w:pPr>
              <w:pStyle w:val="TableParagraph"/>
              <w:spacing w:line="240" w:lineRule="auto" w:before="7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该系统安装在高速公路收费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站车道和收费车辆上，车辆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按序不停车通过。</w:t>
            </w:r>
          </w:p>
        </w:tc>
        <w:tc>
          <w:tcPr>
            <w:tcW w:w="1537" w:type="dxa"/>
            <w:vMerge w:val="restart"/>
            <w:tcBorders>
              <w:top w:val="single" w:sz="12" w:space="0" w:color="000000"/>
              <w:left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、车载电子标签</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OBU</w:t>
            </w:r>
            <w:r>
              <w:rPr>
                <w:rFonts w:ascii="宋体" w:hAnsi="宋体" w:cs="宋体" w:eastAsia="宋体" w:hint="default"/>
                <w:sz w:val="18"/>
                <w:szCs w:val="18"/>
              </w:rPr>
              <w:t>）</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、微波读写天线</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、手持销售终端</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pacing w:val="20"/>
                <w:sz w:val="18"/>
                <w:szCs w:val="18"/>
              </w:rPr>
              <w:t>、桌面读写器</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ODU</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、蓝牙盒子</w:t>
            </w:r>
          </w:p>
          <w:p>
            <w:pPr>
              <w:pStyle w:val="TableParagraph"/>
              <w:spacing w:line="302" w:lineRule="auto" w:before="10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、前装 </w:t>
            </w:r>
            <w:r>
              <w:rPr>
                <w:rFonts w:ascii="Times New Roman" w:hAnsi="Times New Roman" w:cs="Times New Roman" w:eastAsia="Times New Roman" w:hint="default"/>
                <w:sz w:val="18"/>
                <w:szCs w:val="18"/>
              </w:rPr>
              <w:t>OBU</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 块</w:t>
            </w:r>
          </w:p>
          <w:p>
            <w:pPr>
              <w:pStyle w:val="TableParagraph"/>
              <w:spacing w:line="302" w:lineRule="auto" w:before="68"/>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4G ETC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智能 车载终端</w:t>
            </w:r>
          </w:p>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、智能后视镜</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314" w:lineRule="auto" w:before="51"/>
              <w:ind w:left="103" w:right="21"/>
              <w:jc w:val="left"/>
              <w:rPr>
                <w:rFonts w:ascii="宋体" w:hAnsi="宋体" w:cs="宋体" w:eastAsia="宋体" w:hint="default"/>
                <w:sz w:val="18"/>
                <w:szCs w:val="18"/>
              </w:rPr>
            </w:pPr>
            <w:r>
              <w:rPr>
                <w:rFonts w:ascii="宋体" w:hAnsi="宋体" w:cs="宋体" w:eastAsia="宋体" w:hint="default"/>
                <w:sz w:val="18"/>
                <w:szCs w:val="18"/>
              </w:rPr>
              <w:t>目前我国高速公路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均采用此种 形式。相对于传统的人工收费而言， </w:t>
            </w:r>
            <w:r>
              <w:rPr>
                <w:rFonts w:ascii="宋体" w:hAnsi="宋体" w:cs="宋体" w:eastAsia="宋体" w:hint="default"/>
                <w:spacing w:val="5"/>
                <w:sz w:val="18"/>
                <w:szCs w:val="18"/>
              </w:rPr>
              <w:t>电子不停车收费系统在高速公路的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具体应用不仅大大提升了收费站通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行能力和收费效率，还能实现节能减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排。</w:t>
            </w:r>
          </w:p>
        </w:tc>
      </w:tr>
      <w:tr>
        <w:trPr>
          <w:trHeight w:val="2776" w:hRule="exact"/>
        </w:trPr>
        <w:tc>
          <w:tcPr>
            <w:tcW w:w="1378" w:type="dxa"/>
            <w:vMerge/>
            <w:tcBorders>
              <w:left w:val="nil" w:sz="6" w:space="0" w:color="auto"/>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8"/>
                <w:sz w:val="18"/>
                <w:szCs w:val="18"/>
              </w:rPr>
              <w:t>多车道自由流电</w:t>
            </w:r>
            <w:r>
              <w:rPr>
                <w:rFonts w:ascii="宋体" w:hAnsi="宋体" w:cs="宋体" w:eastAsia="宋体" w:hint="default"/>
                <w:sz w:val="18"/>
                <w:szCs w:val="18"/>
              </w:rPr>
              <w:t> </w:t>
            </w:r>
            <w:r>
              <w:rPr>
                <w:rFonts w:ascii="宋体" w:hAnsi="宋体" w:cs="宋体" w:eastAsia="宋体" w:hint="default"/>
                <w:spacing w:val="8"/>
                <w:sz w:val="18"/>
                <w:szCs w:val="18"/>
              </w:rPr>
              <w:t>子收费系统（多</w:t>
            </w:r>
            <w:r>
              <w:rPr>
                <w:rFonts w:ascii="宋体" w:hAnsi="宋体" w:cs="宋体" w:eastAsia="宋体" w:hint="default"/>
                <w:sz w:val="18"/>
                <w:szCs w:val="18"/>
              </w:rPr>
              <w:t> 车 道 自 由</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z w:val="18"/>
                <w:szCs w:val="18"/>
              </w:rPr>
              <w:t> </w:t>
            </w: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该系统不设立隔离车道，不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限制车辆正常通行速度，可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以快速完成车辆的信息识别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与自动收费。</w:t>
            </w:r>
          </w:p>
        </w:tc>
        <w:tc>
          <w:tcPr>
            <w:tcW w:w="1537" w:type="dxa"/>
            <w:vMerge/>
            <w:tcBorders>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107"/>
              <w:jc w:val="both"/>
              <w:rPr>
                <w:rFonts w:ascii="宋体" w:hAnsi="宋体" w:cs="宋体" w:eastAsia="宋体" w:hint="default"/>
                <w:sz w:val="18"/>
                <w:szCs w:val="18"/>
              </w:rPr>
            </w:pPr>
            <w:r>
              <w:rPr>
                <w:rFonts w:ascii="宋体" w:hAnsi="宋体" w:cs="宋体" w:eastAsia="宋体" w:hint="default"/>
                <w:spacing w:val="5"/>
                <w:sz w:val="18"/>
                <w:szCs w:val="18"/>
              </w:rPr>
              <w:t>主要用于不设立收费站的收费应用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场合，可以应用于城市路桥隧道、高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速公路的自由流收费以及城市拥堵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治理。</w:t>
            </w:r>
          </w:p>
        </w:tc>
      </w:tr>
      <w:tr>
        <w:trPr>
          <w:trHeight w:val="2394" w:hRule="exact"/>
        </w:trPr>
        <w:tc>
          <w:tcPr>
            <w:tcW w:w="1378"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102" w:right="102"/>
              <w:jc w:val="both"/>
              <w:rPr>
                <w:rFonts w:ascii="宋体" w:hAnsi="宋体" w:cs="宋体" w:eastAsia="宋体" w:hint="default"/>
                <w:sz w:val="18"/>
                <w:szCs w:val="18"/>
              </w:rPr>
            </w:pPr>
            <w:r>
              <w:rPr>
                <w:rFonts w:ascii="宋体" w:hAnsi="宋体" w:cs="宋体" w:eastAsia="宋体" w:hint="default"/>
                <w:spacing w:val="8"/>
                <w:sz w:val="18"/>
                <w:szCs w:val="18"/>
              </w:rPr>
              <w:t>智慧停车场收费</w:t>
            </w:r>
            <w:r>
              <w:rPr>
                <w:rFonts w:ascii="宋体" w:hAnsi="宋体" w:cs="宋体" w:eastAsia="宋体" w:hint="default"/>
                <w:sz w:val="18"/>
                <w:szCs w:val="18"/>
              </w:rPr>
              <w:t> </w:t>
            </w:r>
            <w:r>
              <w:rPr>
                <w:rFonts w:ascii="宋体" w:hAnsi="宋体" w:cs="宋体" w:eastAsia="宋体" w:hint="default"/>
                <w:spacing w:val="8"/>
                <w:sz w:val="18"/>
                <w:szCs w:val="18"/>
              </w:rPr>
              <w:t>管理系统（停车</w:t>
            </w:r>
            <w:r>
              <w:rPr>
                <w:rFonts w:ascii="宋体" w:hAnsi="宋体" w:cs="宋体" w:eastAsia="宋体" w:hint="default"/>
                <w:sz w:val="18"/>
                <w:szCs w:val="18"/>
              </w:rPr>
              <w:t> 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该系统安装在停车场出入口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和收费车辆上，实现车辆自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动识别和不停车收费。</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、车载电子标签</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OBU</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、微波读写天线</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、车道控制机</w:t>
            </w:r>
          </w:p>
          <w:p>
            <w:pPr>
              <w:pStyle w:val="TableParagraph"/>
              <w:spacing w:line="302" w:lineRule="auto" w:before="102"/>
              <w:ind w:left="103" w:right="5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、停车场车辆管</w:t>
            </w:r>
            <w:r>
              <w:rPr>
                <w:rFonts w:ascii="宋体" w:hAnsi="宋体" w:cs="宋体" w:eastAsia="宋体" w:hint="default"/>
                <w:sz w:val="18"/>
                <w:szCs w:val="18"/>
              </w:rPr>
              <w:t> 理系统软件</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103" w:right="58"/>
              <w:jc w:val="both"/>
              <w:rPr>
                <w:rFonts w:ascii="宋体" w:hAnsi="宋体" w:cs="宋体" w:eastAsia="宋体" w:hint="default"/>
                <w:sz w:val="18"/>
                <w:szCs w:val="18"/>
              </w:rPr>
            </w:pPr>
            <w:r>
              <w:rPr>
                <w:rFonts w:ascii="宋体" w:hAnsi="宋体" w:cs="宋体" w:eastAsia="宋体" w:hint="default"/>
                <w:spacing w:val="-3"/>
                <w:sz w:val="18"/>
                <w:szCs w:val="18"/>
              </w:rPr>
              <w:t>适用于商业、办公楼宇、园区、住宅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小区、机关大院、运输场站、公共场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馆等各类停车场的收费及自动门禁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管理，是电子不停车收费产品在停车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场的具体应用。</w:t>
            </w:r>
          </w:p>
        </w:tc>
      </w:tr>
      <w:tr>
        <w:trPr>
          <w:trHeight w:val="1438"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08" w:right="102"/>
              <w:jc w:val="both"/>
              <w:rPr>
                <w:rFonts w:ascii="宋体" w:hAnsi="宋体" w:cs="宋体" w:eastAsia="宋体" w:hint="default"/>
                <w:sz w:val="18"/>
                <w:szCs w:val="18"/>
              </w:rPr>
            </w:pPr>
            <w:r>
              <w:rPr>
                <w:rFonts w:ascii="宋体" w:hAnsi="宋体" w:cs="宋体" w:eastAsia="宋体" w:hint="default"/>
                <w:spacing w:val="13"/>
                <w:sz w:val="18"/>
                <w:szCs w:val="18"/>
              </w:rPr>
              <w:t>基于射频技术</w:t>
            </w:r>
            <w:r>
              <w:rPr>
                <w:rFonts w:ascii="宋体" w:hAnsi="宋体" w:cs="宋体" w:eastAsia="宋体" w:hint="default"/>
                <w:sz w:val="18"/>
                <w:szCs w:val="18"/>
              </w:rPr>
              <w:t> </w:t>
            </w:r>
            <w:r>
              <w:rPr>
                <w:rFonts w:ascii="宋体" w:hAnsi="宋体" w:cs="宋体" w:eastAsia="宋体" w:hint="default"/>
                <w:spacing w:val="13"/>
                <w:sz w:val="18"/>
                <w:szCs w:val="18"/>
              </w:rPr>
              <w:t>的路径识别应</w:t>
            </w:r>
            <w:r>
              <w:rPr>
                <w:rFonts w:ascii="宋体" w:hAnsi="宋体" w:cs="宋体" w:eastAsia="宋体" w:hint="default"/>
                <w:sz w:val="18"/>
                <w:szCs w:val="18"/>
              </w:rPr>
              <w:t> 用领域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22"/>
              <w:ind w:left="102" w:right="97"/>
              <w:jc w:val="both"/>
              <w:rPr>
                <w:rFonts w:ascii="宋体" w:hAnsi="宋体" w:cs="宋体" w:eastAsia="宋体" w:hint="default"/>
                <w:sz w:val="18"/>
                <w:szCs w:val="18"/>
              </w:rPr>
            </w:pPr>
            <w:r>
              <w:rPr>
                <w:rFonts w:ascii="宋体" w:hAnsi="宋体" w:cs="宋体" w:eastAsia="宋体" w:hint="default"/>
                <w:spacing w:val="8"/>
                <w:sz w:val="18"/>
                <w:szCs w:val="18"/>
              </w:rPr>
              <w:t>基于无线射频识</w:t>
            </w:r>
            <w:r>
              <w:rPr>
                <w:rFonts w:ascii="宋体" w:hAnsi="宋体" w:cs="宋体" w:eastAsia="宋体" w:hint="default"/>
                <w:sz w:val="18"/>
                <w:szCs w:val="18"/>
              </w:rPr>
              <w:t> 别（</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的路径识别产品</w:t>
            </w:r>
          </w:p>
          <w:p>
            <w:pPr>
              <w:pStyle w:val="TableParagraph"/>
              <w:spacing w:line="240" w:lineRule="auto" w:before="24"/>
              <w:ind w:left="10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适</w:t>
            </w:r>
            <w:r>
              <w:rPr>
                <w:rFonts w:ascii="宋体" w:hAnsi="宋体" w:cs="宋体" w:eastAsia="宋体" w:hint="default"/>
                <w:spacing w:val="-61"/>
                <w:sz w:val="18"/>
                <w:szCs w:val="18"/>
              </w:rPr>
              <w:t> </w:t>
            </w:r>
            <w:r>
              <w:rPr>
                <w:rFonts w:ascii="宋体" w:hAnsi="宋体" w:cs="宋体" w:eastAsia="宋体" w:hint="default"/>
                <w:sz w:val="18"/>
                <w:szCs w:val="18"/>
              </w:rPr>
              <w:t>用</w:t>
            </w:r>
            <w:r>
              <w:rPr>
                <w:rFonts w:ascii="宋体" w:hAnsi="宋体" w:cs="宋体" w:eastAsia="宋体" w:hint="default"/>
                <w:spacing w:val="-60"/>
                <w:sz w:val="18"/>
                <w:szCs w:val="18"/>
              </w:rPr>
              <w:t> </w:t>
            </w:r>
            <w:r>
              <w:rPr>
                <w:rFonts w:ascii="宋体" w:hAnsi="宋体" w:cs="宋体" w:eastAsia="宋体" w:hint="default"/>
                <w:sz w:val="18"/>
                <w:szCs w:val="18"/>
              </w:rPr>
              <w:t>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MTC</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2"/>
              <w:ind w:left="103" w:right="104"/>
              <w:jc w:val="both"/>
              <w:rPr>
                <w:rFonts w:ascii="宋体" w:hAnsi="宋体" w:cs="宋体" w:eastAsia="宋体" w:hint="default"/>
                <w:sz w:val="18"/>
                <w:szCs w:val="18"/>
              </w:rPr>
            </w:pPr>
            <w:r>
              <w:rPr>
                <w:rFonts w:ascii="宋体" w:hAnsi="宋体" w:cs="宋体" w:eastAsia="宋体" w:hint="default"/>
                <w:sz w:val="18"/>
                <w:szCs w:val="18"/>
              </w:rPr>
              <w:t>该系统通过在高速公路沿线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的适当地点架设信标基站，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向行驶车辆写入路径信息，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准确记录车辆的行车路线。</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、复合通行卡</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、信标基站</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、双频读写器</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102"/>
              <w:ind w:left="103" w:right="106"/>
              <w:jc w:val="both"/>
              <w:rPr>
                <w:rFonts w:ascii="宋体" w:hAnsi="宋体" w:cs="宋体" w:eastAsia="宋体" w:hint="default"/>
                <w:sz w:val="18"/>
                <w:szCs w:val="18"/>
              </w:rPr>
            </w:pPr>
            <w:r>
              <w:rPr>
                <w:rFonts w:ascii="宋体" w:hAnsi="宋体" w:cs="宋体" w:eastAsia="宋体" w:hint="default"/>
                <w:spacing w:val="-6"/>
                <w:sz w:val="18"/>
                <w:szCs w:val="18"/>
              </w:rPr>
              <w:t>通过高速公路多义性路径识别，实现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对联网省区内收取的通行费精确拆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分和收费，为路段业主的收费管理提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供高效率工具手段。</w:t>
            </w:r>
          </w:p>
        </w:tc>
      </w:tr>
    </w:tbl>
    <w:p>
      <w:pPr>
        <w:spacing w:after="0" w:line="316" w:lineRule="auto"/>
        <w:jc w:val="both"/>
        <w:rPr>
          <w:rFonts w:ascii="宋体" w:hAnsi="宋体" w:cs="宋体" w:eastAsia="宋体" w:hint="default"/>
          <w:sz w:val="18"/>
          <w:szCs w:val="18"/>
        </w:rPr>
        <w:sectPr>
          <w:pgSz w:w="11910" w:h="16840"/>
          <w:pgMar w:header="877" w:footer="979" w:top="1100" w:bottom="116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78"/>
        <w:gridCol w:w="1537"/>
        <w:gridCol w:w="2393"/>
        <w:gridCol w:w="1537"/>
        <w:gridCol w:w="3010"/>
      </w:tblGrid>
      <w:tr>
        <w:trPr>
          <w:trHeight w:val="422" w:hRule="exact"/>
        </w:trPr>
        <w:tc>
          <w:tcPr>
            <w:tcW w:w="13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448" w:hRule="exact"/>
        </w:trPr>
        <w:tc>
          <w:tcPr>
            <w:tcW w:w="1378" w:type="dxa"/>
            <w:vMerge w:val="restart"/>
            <w:tcBorders>
              <w:top w:val="single" w:sz="12" w:space="0" w:color="000000"/>
              <w:left w:val="nil" w:sz="6" w:space="0" w:color="auto"/>
              <w:right w:val="single" w:sz="4" w:space="0" w:color="000000"/>
            </w:tcBorders>
          </w:tcPr>
          <w:p>
            <w:pP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用户）</w:t>
            </w:r>
          </w:p>
        </w:tc>
        <w:tc>
          <w:tcPr>
            <w:tcW w:w="2393" w:type="dxa"/>
            <w:vMerge w:val="restart"/>
            <w:tcBorders>
              <w:top w:val="single" w:sz="12" w:space="0" w:color="000000"/>
              <w:left w:val="single" w:sz="4" w:space="0" w:color="000000"/>
              <w:right w:val="single" w:sz="4" w:space="0" w:color="000000"/>
            </w:tcBorders>
          </w:tcPr>
          <w:p>
            <w:pPr/>
          </w:p>
        </w:tc>
        <w:tc>
          <w:tcPr>
            <w:tcW w:w="1537" w:type="dxa"/>
            <w:tcBorders>
              <w:top w:val="single" w:sz="12" w:space="0" w:color="000000"/>
              <w:left w:val="single" w:sz="4" w:space="0" w:color="000000"/>
              <w:bottom w:val="single" w:sz="4" w:space="0" w:color="000000"/>
              <w:right w:val="single" w:sz="4" w:space="0" w:color="000000"/>
            </w:tcBorders>
          </w:tcPr>
          <w:p>
            <w:pPr/>
          </w:p>
        </w:tc>
        <w:tc>
          <w:tcPr>
            <w:tcW w:w="3010" w:type="dxa"/>
            <w:vMerge w:val="restart"/>
            <w:tcBorders>
              <w:top w:val="single" w:sz="12" w:space="0" w:color="000000"/>
              <w:left w:val="single" w:sz="4" w:space="0" w:color="000000"/>
              <w:right w:val="nil" w:sz="6" w:space="0" w:color="auto"/>
            </w:tcBorders>
          </w:tcPr>
          <w:p>
            <w:pPr/>
          </w:p>
        </w:tc>
      </w:tr>
      <w:tr>
        <w:trPr>
          <w:trHeight w:val="2082" w:hRule="exact"/>
        </w:trPr>
        <w:tc>
          <w:tcPr>
            <w:tcW w:w="1378"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07" w:lineRule="auto"/>
              <w:ind w:left="102" w:right="100"/>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技术平 </w:t>
            </w:r>
            <w:r>
              <w:rPr>
                <w:rFonts w:ascii="宋体" w:hAnsi="宋体" w:cs="宋体" w:eastAsia="宋体" w:hint="default"/>
                <w:spacing w:val="8"/>
                <w:sz w:val="18"/>
                <w:szCs w:val="18"/>
              </w:rPr>
              <w:t>台的路径识别产</w:t>
            </w:r>
            <w:r>
              <w:rPr>
                <w:rFonts w:ascii="宋体" w:hAnsi="宋体" w:cs="宋体" w:eastAsia="宋体" w:hint="default"/>
                <w:sz w:val="18"/>
                <w:szCs w:val="18"/>
              </w:rPr>
              <w:t> 品（适用于</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ETC </w:t>
            </w:r>
            <w:r>
              <w:rPr>
                <w:rFonts w:ascii="宋体" w:hAnsi="宋体" w:cs="宋体" w:eastAsia="宋体" w:hint="default"/>
                <w:sz w:val="18"/>
                <w:szCs w:val="18"/>
              </w:rPr>
              <w:t>用户）</w:t>
            </w:r>
          </w:p>
        </w:tc>
        <w:tc>
          <w:tcPr>
            <w:tcW w:w="2393"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、微波读写天线</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p>
            <w:pPr>
              <w:pStyle w:val="TableParagraph"/>
              <w:spacing w:line="302" w:lineRule="auto" w:before="10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、标识</w:t>
            </w:r>
            <w:r>
              <w:rPr>
                <w:rFonts w:ascii="宋体" w:hAnsi="宋体" w:cs="宋体" w:eastAsia="宋体" w:hint="default"/>
                <w:spacing w:val="-44"/>
                <w:sz w:val="18"/>
                <w:szCs w:val="18"/>
              </w:rPr>
              <w:t> </w:t>
            </w:r>
            <w:r>
              <w:rPr>
                <w:rFonts w:ascii="宋体" w:hAnsi="宋体" w:cs="宋体" w:eastAsia="宋体" w:hint="default"/>
                <w:sz w:val="18"/>
                <w:szCs w:val="18"/>
              </w:rPr>
              <w:t>RSU</w:t>
            </w:r>
            <w:r>
              <w:rPr>
                <w:rFonts w:ascii="宋体" w:hAnsi="宋体" w:cs="宋体" w:eastAsia="宋体" w:hint="default"/>
                <w:spacing w:val="-44"/>
                <w:sz w:val="18"/>
                <w:szCs w:val="18"/>
              </w:rPr>
              <w:t> </w:t>
            </w:r>
            <w:r>
              <w:rPr>
                <w:rFonts w:ascii="宋体" w:hAnsi="宋体" w:cs="宋体" w:eastAsia="宋体" w:hint="default"/>
                <w:sz w:val="18"/>
                <w:szCs w:val="18"/>
              </w:rPr>
              <w:t>同步</w:t>
            </w:r>
            <w:r>
              <w:rPr>
                <w:rFonts w:ascii="宋体" w:hAnsi="宋体" w:cs="宋体" w:eastAsia="宋体" w:hint="default"/>
                <w:spacing w:val="1"/>
                <w:sz w:val="18"/>
                <w:szCs w:val="18"/>
              </w:rPr>
              <w:t> </w:t>
            </w:r>
            <w:r>
              <w:rPr>
                <w:rFonts w:ascii="宋体" w:hAnsi="宋体" w:cs="宋体" w:eastAsia="宋体" w:hint="default"/>
                <w:sz w:val="18"/>
                <w:szCs w:val="18"/>
              </w:rPr>
              <w:t>控制器</w:t>
            </w:r>
          </w:p>
          <w:p>
            <w:pPr>
              <w:pStyle w:val="TableParagraph"/>
              <w:spacing w:line="240" w:lineRule="auto" w:before="6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通行卡</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、三频读卡器</w:t>
            </w:r>
          </w:p>
        </w:tc>
        <w:tc>
          <w:tcPr>
            <w:tcW w:w="3010" w:type="dxa"/>
            <w:vMerge/>
            <w:tcBorders>
              <w:left w:val="single" w:sz="4" w:space="0" w:color="000000"/>
              <w:bottom w:val="single" w:sz="4" w:space="0" w:color="000000"/>
              <w:right w:val="nil" w:sz="6" w:space="0" w:color="auto"/>
            </w:tcBorders>
          </w:tcPr>
          <w:p>
            <w:pPr/>
          </w:p>
        </w:tc>
      </w:tr>
      <w:tr>
        <w:trPr>
          <w:trHeight w:val="227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5"/>
              <w:jc w:val="center"/>
              <w:rPr>
                <w:rFonts w:ascii="宋体" w:hAnsi="宋体" w:cs="宋体" w:eastAsia="宋体" w:hint="default"/>
                <w:sz w:val="18"/>
                <w:szCs w:val="18"/>
              </w:rPr>
            </w:pPr>
            <w:r>
              <w:rPr>
                <w:rFonts w:ascii="宋体" w:hAnsi="宋体" w:cs="宋体" w:eastAsia="宋体" w:hint="default"/>
                <w:sz w:val="18"/>
                <w:szCs w:val="18"/>
              </w:rPr>
              <w:t>公安交通管理</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pacing w:val="8"/>
                <w:sz w:val="18"/>
                <w:szCs w:val="18"/>
              </w:rPr>
              <w:t>汽车电子标识系</w:t>
            </w:r>
            <w:r>
              <w:rPr>
                <w:rFonts w:ascii="宋体" w:hAnsi="宋体" w:cs="宋体" w:eastAsia="宋体" w:hint="default"/>
                <w:sz w:val="18"/>
                <w:szCs w:val="18"/>
              </w:rPr>
              <w:t> 统设备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8"/>
              <w:jc w:val="both"/>
              <w:rPr>
                <w:rFonts w:ascii="宋体" w:hAnsi="宋体" w:cs="宋体" w:eastAsia="宋体" w:hint="default"/>
                <w:sz w:val="18"/>
                <w:szCs w:val="18"/>
              </w:rPr>
            </w:pPr>
            <w:r>
              <w:rPr>
                <w:rFonts w:ascii="宋体" w:hAnsi="宋体" w:cs="宋体" w:eastAsia="宋体" w:hint="default"/>
                <w:sz w:val="18"/>
                <w:szCs w:val="18"/>
              </w:rPr>
              <w:t>该系统将车牌号码等信息存 储在射频标签中，安装有汽 车电子标识的车辆经过架设 车标固定式读写器的城市道 路重要卡口，读写器准确读 取所要求的信息，并将信息 回传指挥中心。</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62"/>
              <w:jc w:val="left"/>
              <w:rPr>
                <w:rFonts w:ascii="宋体" w:hAnsi="宋体" w:cs="宋体" w:eastAsia="宋体" w:hint="default"/>
                <w:sz w:val="18"/>
                <w:szCs w:val="18"/>
              </w:rPr>
            </w:pPr>
            <w:r>
              <w:rPr>
                <w:rFonts w:ascii="宋体" w:hAnsi="宋体" w:cs="宋体" w:eastAsia="宋体" w:hint="default"/>
                <w:sz w:val="18"/>
                <w:szCs w:val="18"/>
              </w:rPr>
              <w:t>车标固定式读写 器</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6"/>
              <w:jc w:val="both"/>
              <w:rPr>
                <w:rFonts w:ascii="宋体" w:hAnsi="宋体" w:cs="宋体" w:eastAsia="宋体" w:hint="default"/>
                <w:sz w:val="18"/>
                <w:szCs w:val="18"/>
              </w:rPr>
            </w:pPr>
            <w:r>
              <w:rPr>
                <w:rFonts w:ascii="宋体" w:hAnsi="宋体" w:cs="宋体" w:eastAsia="宋体" w:hint="default"/>
                <w:spacing w:val="5"/>
                <w:sz w:val="18"/>
                <w:szCs w:val="18"/>
              </w:rPr>
              <w:t>开展汽车电子标识的应用是为了实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现我国在道路交通领域管理模式上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的根本改变，利用智能交通信息技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术，真正实现数字化、智能化的交通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w:t>
            </w:r>
          </w:p>
        </w:tc>
      </w:tr>
      <w:tr>
        <w:trPr>
          <w:trHeight w:val="2586"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8" w:right="102"/>
              <w:jc w:val="left"/>
              <w:rPr>
                <w:rFonts w:ascii="宋体" w:hAnsi="宋体" w:cs="宋体" w:eastAsia="宋体" w:hint="default"/>
                <w:sz w:val="18"/>
                <w:szCs w:val="18"/>
              </w:rPr>
            </w:pPr>
            <w:r>
              <w:rPr>
                <w:rFonts w:ascii="宋体" w:hAnsi="宋体" w:cs="宋体" w:eastAsia="宋体" w:hint="default"/>
                <w:spacing w:val="13"/>
                <w:sz w:val="18"/>
                <w:szCs w:val="18"/>
              </w:rPr>
              <w:t>路内停车运营</w:t>
            </w:r>
            <w:r>
              <w:rPr>
                <w:rFonts w:ascii="宋体" w:hAnsi="宋体" w:cs="宋体" w:eastAsia="宋体" w:hint="default"/>
                <w:sz w:val="18"/>
                <w:szCs w:val="18"/>
              </w:rPr>
              <w:t> 管理</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auto"/>
              <w:ind w:left="102" w:right="101"/>
              <w:jc w:val="both"/>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定位</w:t>
            </w:r>
            <w:r>
              <w:rPr>
                <w:rFonts w:ascii="宋体" w:hAnsi="宋体" w:cs="宋体" w:eastAsia="宋体" w:hint="default"/>
                <w:spacing w:val="1"/>
                <w:sz w:val="18"/>
                <w:szCs w:val="18"/>
              </w:rPr>
              <w:t> </w:t>
            </w:r>
            <w:r>
              <w:rPr>
                <w:rFonts w:ascii="宋体" w:hAnsi="宋体" w:cs="宋体" w:eastAsia="宋体" w:hint="default"/>
                <w:spacing w:val="8"/>
                <w:sz w:val="18"/>
                <w:szCs w:val="18"/>
              </w:rPr>
              <w:t>和视频识别技术</w:t>
            </w:r>
            <w:r>
              <w:rPr>
                <w:rFonts w:ascii="宋体" w:hAnsi="宋体" w:cs="宋体" w:eastAsia="宋体" w:hint="default"/>
                <w:sz w:val="18"/>
                <w:szCs w:val="18"/>
              </w:rPr>
              <w:t> </w:t>
            </w:r>
            <w:r>
              <w:rPr>
                <w:rFonts w:ascii="宋体" w:hAnsi="宋体" w:cs="宋体" w:eastAsia="宋体" w:hint="default"/>
                <w:spacing w:val="8"/>
                <w:sz w:val="18"/>
                <w:szCs w:val="18"/>
              </w:rPr>
              <w:t>的全自动路内停</w:t>
            </w:r>
            <w:r>
              <w:rPr>
                <w:rFonts w:ascii="宋体" w:hAnsi="宋体" w:cs="宋体" w:eastAsia="宋体" w:hint="default"/>
                <w:sz w:val="18"/>
                <w:szCs w:val="18"/>
              </w:rPr>
              <w:t> 车收费管理系统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8"/>
              <w:jc w:val="both"/>
              <w:rPr>
                <w:rFonts w:ascii="宋体" w:hAnsi="宋体" w:cs="宋体" w:eastAsia="宋体" w:hint="default"/>
                <w:sz w:val="18"/>
                <w:szCs w:val="18"/>
              </w:rPr>
            </w:pPr>
            <w:r>
              <w:rPr>
                <w:rFonts w:ascii="宋体" w:hAnsi="宋体" w:cs="宋体" w:eastAsia="宋体" w:hint="default"/>
                <w:sz w:val="18"/>
                <w:szCs w:val="18"/>
              </w:rPr>
              <w:t>UWB</w:t>
            </w:r>
            <w:r>
              <w:rPr>
                <w:rFonts w:ascii="宋体" w:hAnsi="宋体" w:cs="宋体" w:eastAsia="宋体" w:hint="default"/>
                <w:spacing w:val="-46"/>
                <w:sz w:val="18"/>
                <w:szCs w:val="18"/>
              </w:rPr>
              <w:t> </w:t>
            </w:r>
            <w:r>
              <w:rPr>
                <w:rFonts w:ascii="宋体" w:hAnsi="宋体" w:cs="宋体" w:eastAsia="宋体" w:hint="default"/>
                <w:sz w:val="18"/>
                <w:szCs w:val="18"/>
              </w:rPr>
              <w:t>路内停车系统通过在路 侧泊位两旁安装定位基站和 视频识别设备，可实现对车 辆位置和泊位状态的实时监 测，通过管理云平台实现停 车时长的计算，并根据车主 绑定的银行账号完成扣费操 作。</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、定位标签</w:t>
            </w:r>
          </w:p>
          <w:p>
            <w:pPr>
              <w:pStyle w:val="TableParagraph"/>
              <w:spacing w:line="240" w:lineRule="auto" w:before="10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、定位基站</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、管理云平台</w:t>
            </w:r>
          </w:p>
          <w:p>
            <w:pPr>
              <w:pStyle w:val="TableParagraph"/>
              <w:spacing w:line="302" w:lineRule="auto" w:before="101"/>
              <w:ind w:left="103"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、视频识别系 统</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1"/>
              <w:jc w:val="left"/>
              <w:rPr>
                <w:rFonts w:ascii="宋体" w:hAnsi="宋体" w:cs="宋体" w:eastAsia="宋体" w:hint="default"/>
                <w:sz w:val="18"/>
                <w:szCs w:val="18"/>
              </w:rPr>
            </w:pPr>
            <w:r>
              <w:rPr>
                <w:rFonts w:ascii="宋体" w:hAnsi="宋体" w:cs="宋体" w:eastAsia="宋体" w:hint="default"/>
                <w:sz w:val="18"/>
                <w:szCs w:val="18"/>
              </w:rPr>
              <w:t>主要应用于城市级的智慧停车市场， </w:t>
            </w:r>
            <w:r>
              <w:rPr>
                <w:rFonts w:ascii="宋体" w:hAnsi="宋体" w:cs="宋体" w:eastAsia="宋体" w:hint="default"/>
                <w:spacing w:val="-6"/>
                <w:sz w:val="18"/>
                <w:szCs w:val="18"/>
              </w:rPr>
              <w:t>实现路内外停车缴费功能、路内停车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稽查等功能，并为车主提供车生活相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关服务，有效解决了城市停车引发的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管理问题，为车主提供更多便利。</w:t>
            </w:r>
          </w:p>
        </w:tc>
      </w:tr>
      <w:tr>
        <w:trPr>
          <w:trHeight w:val="1338"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8" w:right="0"/>
              <w:jc w:val="left"/>
              <w:rPr>
                <w:rFonts w:ascii="宋体" w:hAnsi="宋体" w:cs="宋体" w:eastAsia="宋体" w:hint="default"/>
                <w:sz w:val="18"/>
                <w:szCs w:val="18"/>
              </w:rPr>
            </w:pPr>
            <w:r>
              <w:rPr>
                <w:rFonts w:ascii="宋体" w:hAnsi="宋体" w:cs="宋体" w:eastAsia="宋体" w:hint="default"/>
                <w:spacing w:val="13"/>
                <w:sz w:val="18"/>
                <w:szCs w:val="18"/>
              </w:rPr>
              <w:t>智能车路协同</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V2X</w:t>
            </w:r>
            <w:r>
              <w:rPr>
                <w:rFonts w:ascii="宋体" w:hAnsi="宋体" w:cs="宋体" w:eastAsia="宋体" w:hint="default"/>
                <w:sz w:val="18"/>
                <w:szCs w:val="18"/>
              </w:rPr>
              <w:t>）领域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2" w:right="101"/>
              <w:jc w:val="left"/>
              <w:rPr>
                <w:rFonts w:ascii="宋体" w:hAnsi="宋体" w:cs="宋体" w:eastAsia="宋体" w:hint="default"/>
                <w:sz w:val="18"/>
                <w:szCs w:val="18"/>
              </w:rPr>
            </w:pPr>
            <w:r>
              <w:rPr>
                <w:rFonts w:ascii="宋体" w:hAnsi="宋体" w:cs="宋体" w:eastAsia="宋体" w:hint="default"/>
                <w:spacing w:val="8"/>
                <w:sz w:val="18"/>
                <w:szCs w:val="18"/>
              </w:rPr>
              <w:t>车载通信终端系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终端安装在汽车上，实现车 </w:t>
            </w:r>
            <w:r>
              <w:rPr>
                <w:rFonts w:ascii="宋体" w:hAnsi="宋体" w:cs="宋体" w:eastAsia="宋体" w:hint="default"/>
                <w:spacing w:val="-6"/>
                <w:sz w:val="18"/>
                <w:szCs w:val="18"/>
              </w:rPr>
              <w:t>辆自身信息获取，车辆定位，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车辆与人、车、交通设施、 云之间实时通信。</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10"/>
              <w:ind w:left="103" w:right="4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、车载终端 </w:t>
            </w:r>
            <w:r>
              <w:rPr>
                <w:rFonts w:ascii="Times New Roman" w:hAnsi="Times New Roman" w:cs="Times New Roman" w:eastAsia="Times New Roman" w:hint="default"/>
                <w:sz w:val="18"/>
                <w:szCs w:val="18"/>
              </w:rPr>
              <w:t>WB-L20B</w:t>
            </w:r>
          </w:p>
          <w:p>
            <w:pPr>
              <w:pStyle w:val="TableParagraph"/>
              <w:spacing w:line="240" w:lineRule="auto" w:before="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、人机交互</w:t>
            </w:r>
          </w:p>
          <w:p>
            <w:pPr>
              <w:pStyle w:val="TableParagraph"/>
              <w:spacing w:line="338" w:lineRule="auto" w:before="64"/>
              <w:ind w:left="103" w:right="35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HMI</w:t>
            </w:r>
            <w:r>
              <w:rPr>
                <w:rFonts w:ascii="宋体" w:hAnsi="宋体" w:cs="宋体" w:eastAsia="宋体" w:hint="default"/>
                <w:sz w:val="18"/>
                <w:szCs w:val="18"/>
              </w:rPr>
              <w:t>）终端 </w:t>
            </w:r>
            <w:r>
              <w:rPr>
                <w:rFonts w:ascii="Times New Roman" w:hAnsi="Times New Roman" w:cs="Times New Roman" w:eastAsia="Times New Roman" w:hint="default"/>
                <w:sz w:val="18"/>
                <w:szCs w:val="18"/>
              </w:rPr>
              <w:t>3</w:t>
            </w:r>
            <w:r>
              <w:rPr>
                <w:rFonts w:ascii="宋体" w:hAnsi="宋体" w:cs="宋体" w:eastAsia="宋体" w:hint="default"/>
                <w:sz w:val="18"/>
                <w:szCs w:val="18"/>
              </w:rPr>
              <w:t>、路侧设备 </w:t>
            </w:r>
            <w:r>
              <w:rPr>
                <w:rFonts w:ascii="Times New Roman" w:hAnsi="Times New Roman" w:cs="Times New Roman" w:eastAsia="Times New Roman" w:hint="default"/>
                <w:sz w:val="18"/>
                <w:szCs w:val="18"/>
              </w:rPr>
              <w:t>WB-R30B</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21"/>
              <w:jc w:val="left"/>
              <w:rPr>
                <w:rFonts w:ascii="宋体" w:hAnsi="宋体" w:cs="宋体" w:eastAsia="宋体" w:hint="default"/>
                <w:sz w:val="18"/>
                <w:szCs w:val="18"/>
              </w:rPr>
            </w:pPr>
            <w:r>
              <w:rPr>
                <w:rFonts w:ascii="宋体" w:hAnsi="宋体" w:cs="宋体" w:eastAsia="宋体" w:hint="default"/>
                <w:spacing w:val="-6"/>
                <w:sz w:val="18"/>
                <w:szCs w:val="18"/>
              </w:rPr>
              <w:t>支持智能网联汽车、协同式智能交通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和自动驾驶汽车应用，如盲区检测、 </w:t>
            </w:r>
            <w:r>
              <w:rPr>
                <w:rFonts w:ascii="宋体" w:hAnsi="宋体" w:cs="宋体" w:eastAsia="宋体" w:hint="default"/>
                <w:spacing w:val="-6"/>
                <w:sz w:val="18"/>
                <w:szCs w:val="18"/>
              </w:rPr>
              <w:t>车道变更、前向碰撞、紧急刹车、十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字路口碰撞等的预警。</w:t>
            </w:r>
          </w:p>
        </w:tc>
      </w:tr>
      <w:tr>
        <w:trPr>
          <w:trHeight w:val="1650" w:hRule="exact"/>
        </w:trPr>
        <w:tc>
          <w:tcPr>
            <w:tcW w:w="1378" w:type="dxa"/>
            <w:vMerge/>
            <w:tcBorders>
              <w:left w:val="nil" w:sz="6" w:space="0" w:color="auto"/>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路侧基站系统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具有与车辆实时通信的功 能，具有</w:t>
            </w:r>
            <w:r>
              <w:rPr>
                <w:rFonts w:ascii="宋体" w:hAnsi="宋体" w:cs="宋体" w:eastAsia="宋体" w:hint="default"/>
                <w:spacing w:val="-46"/>
                <w:sz w:val="18"/>
                <w:szCs w:val="18"/>
              </w:rPr>
              <w:t> </w:t>
            </w:r>
            <w:r>
              <w:rPr>
                <w:rFonts w:ascii="宋体" w:hAnsi="宋体" w:cs="宋体" w:eastAsia="宋体" w:hint="default"/>
                <w:sz w:val="18"/>
                <w:szCs w:val="18"/>
              </w:rPr>
              <w:t>4G</w:t>
            </w:r>
            <w:r>
              <w:rPr>
                <w:rFonts w:ascii="宋体" w:hAnsi="宋体" w:cs="宋体" w:eastAsia="宋体" w:hint="default"/>
                <w:spacing w:val="-46"/>
                <w:sz w:val="18"/>
                <w:szCs w:val="18"/>
              </w:rPr>
              <w:t> </w:t>
            </w:r>
            <w:r>
              <w:rPr>
                <w:rFonts w:ascii="宋体" w:hAnsi="宋体" w:cs="宋体" w:eastAsia="宋体" w:hint="default"/>
                <w:sz w:val="18"/>
                <w:szCs w:val="18"/>
              </w:rPr>
              <w:t>通信、</w:t>
            </w:r>
            <w:r>
              <w:rPr>
                <w:rFonts w:ascii="宋体" w:hAnsi="宋体" w:cs="宋体" w:eastAsia="宋体" w:hint="default"/>
                <w:sz w:val="18"/>
                <w:szCs w:val="18"/>
              </w:rPr>
              <w:t>Wi-Fi</w:t>
            </w:r>
            <w:r>
              <w:rPr>
                <w:rFonts w:ascii="宋体" w:hAnsi="宋体" w:cs="宋体" w:eastAsia="宋体" w:hint="default"/>
                <w:sz w:val="18"/>
                <w:szCs w:val="18"/>
              </w:rPr>
              <w:t>、 蓝牙，提供以太网和串口通 信功能，能满足各种通信需 </w:t>
            </w:r>
            <w:r>
              <w:rPr>
                <w:rFonts w:ascii="宋体" w:hAnsi="宋体" w:cs="宋体" w:eastAsia="宋体" w:hint="default"/>
                <w:spacing w:val="-6"/>
                <w:sz w:val="18"/>
                <w:szCs w:val="18"/>
              </w:rPr>
              <w:t>求，用于构建智能交通系统。</w:t>
            </w:r>
          </w:p>
        </w:tc>
        <w:tc>
          <w:tcPr>
            <w:tcW w:w="1537" w:type="dxa"/>
            <w:vMerge/>
            <w:tcBorders>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3" w:right="107"/>
              <w:jc w:val="both"/>
              <w:rPr>
                <w:rFonts w:ascii="宋体" w:hAnsi="宋体" w:cs="宋体" w:eastAsia="宋体" w:hint="default"/>
                <w:sz w:val="18"/>
                <w:szCs w:val="18"/>
              </w:rPr>
            </w:pPr>
            <w:r>
              <w:rPr>
                <w:rFonts w:ascii="宋体" w:hAnsi="宋体" w:cs="宋体" w:eastAsia="宋体" w:hint="default"/>
                <w:spacing w:val="5"/>
                <w:sz w:val="18"/>
                <w:szCs w:val="18"/>
              </w:rPr>
              <w:t>设备安装在路侧龙门架上或者红绿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灯架上，实时获取交通信息并向外广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播，使得车载终端能实时获取到交通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信息，实现车与路、交通设施之间的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实时协同。</w:t>
            </w:r>
          </w:p>
        </w:tc>
      </w:tr>
      <w:tr>
        <w:trPr>
          <w:trHeight w:val="1650" w:hRule="exact"/>
        </w:trPr>
        <w:tc>
          <w:tcPr>
            <w:tcW w:w="1378"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2" w:right="101"/>
              <w:jc w:val="left"/>
              <w:rPr>
                <w:rFonts w:ascii="宋体" w:hAnsi="宋体" w:cs="宋体" w:eastAsia="宋体" w:hint="default"/>
                <w:sz w:val="18"/>
                <w:szCs w:val="18"/>
              </w:rPr>
            </w:pPr>
            <w:r>
              <w:rPr>
                <w:rFonts w:ascii="宋体" w:hAnsi="宋体" w:cs="宋体" w:eastAsia="宋体" w:hint="default"/>
                <w:sz w:val="18"/>
                <w:szCs w:val="18"/>
              </w:rPr>
              <w:t>L3</w:t>
            </w:r>
            <w:r>
              <w:rPr>
                <w:rFonts w:ascii="宋体" w:hAnsi="宋体" w:cs="宋体" w:eastAsia="宋体" w:hint="default"/>
                <w:spacing w:val="-28"/>
                <w:sz w:val="18"/>
                <w:szCs w:val="18"/>
              </w:rPr>
              <w:t> </w:t>
            </w:r>
            <w:r>
              <w:rPr>
                <w:rFonts w:ascii="宋体" w:hAnsi="宋体" w:cs="宋体" w:eastAsia="宋体" w:hint="default"/>
                <w:sz w:val="18"/>
                <w:szCs w:val="18"/>
              </w:rPr>
              <w:t>级智能网联汽 车通信系统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终端前装在汽车内部，鲨鱼 鳍天线安装在汽车顶部。实 现无基站车车直连通信，实 现前向碰撞等</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个典型行 车安全预警场景。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、车载通信终端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Vbox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总成</w:t>
            </w:r>
          </w:p>
          <w:p>
            <w:pPr>
              <w:pStyle w:val="TableParagraph"/>
              <w:spacing w:line="302" w:lineRule="auto" w:before="50"/>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、鲨鱼鳍天线总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7"/>
              <w:jc w:val="left"/>
              <w:rPr>
                <w:rFonts w:ascii="宋体" w:hAnsi="宋体" w:cs="宋体" w:eastAsia="宋体" w:hint="default"/>
                <w:sz w:val="18"/>
                <w:szCs w:val="18"/>
              </w:rPr>
            </w:pPr>
            <w:r>
              <w:rPr>
                <w:rFonts w:ascii="宋体" w:hAnsi="宋体" w:cs="宋体" w:eastAsia="宋体" w:hint="default"/>
                <w:spacing w:val="-6"/>
                <w:sz w:val="18"/>
                <w:szCs w:val="18"/>
              </w:rPr>
              <w:t>适用于构建智能网联汽车系统，安全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辅助驾驶系统，是</w:t>
            </w:r>
            <w:r>
              <w:rPr>
                <w:rFonts w:ascii="宋体" w:hAnsi="宋体" w:cs="宋体" w:eastAsia="宋体" w:hint="default"/>
                <w:spacing w:val="-46"/>
                <w:sz w:val="18"/>
                <w:szCs w:val="18"/>
              </w:rPr>
              <w:t> </w:t>
            </w:r>
            <w:r>
              <w:rPr>
                <w:rFonts w:ascii="宋体" w:hAnsi="宋体" w:cs="宋体" w:eastAsia="宋体" w:hint="default"/>
                <w:sz w:val="18"/>
                <w:szCs w:val="18"/>
              </w:rPr>
              <w:t>ADAS</w:t>
            </w:r>
            <w:r>
              <w:rPr>
                <w:rFonts w:ascii="宋体" w:hAnsi="宋体" w:cs="宋体" w:eastAsia="宋体" w:hint="default"/>
                <w:spacing w:val="-46"/>
                <w:sz w:val="18"/>
                <w:szCs w:val="18"/>
              </w:rPr>
              <w:t> </w:t>
            </w:r>
            <w:r>
              <w:rPr>
                <w:rFonts w:ascii="宋体" w:hAnsi="宋体" w:cs="宋体" w:eastAsia="宋体" w:hint="default"/>
                <w:sz w:val="18"/>
                <w:szCs w:val="18"/>
              </w:rPr>
              <w:t>系统的补充， 是</w:t>
            </w:r>
            <w:r>
              <w:rPr>
                <w:rFonts w:ascii="宋体" w:hAnsi="宋体" w:cs="宋体" w:eastAsia="宋体" w:hint="default"/>
                <w:spacing w:val="-46"/>
                <w:sz w:val="18"/>
                <w:szCs w:val="18"/>
              </w:rPr>
              <w:t> </w:t>
            </w:r>
            <w:r>
              <w:rPr>
                <w:rFonts w:ascii="宋体" w:hAnsi="宋体" w:cs="宋体" w:eastAsia="宋体" w:hint="default"/>
                <w:sz w:val="18"/>
                <w:szCs w:val="18"/>
              </w:rPr>
              <w:t>L3</w:t>
            </w:r>
            <w:r>
              <w:rPr>
                <w:rFonts w:ascii="宋体" w:hAnsi="宋体" w:cs="宋体" w:eastAsia="宋体" w:hint="default"/>
                <w:spacing w:val="-46"/>
                <w:sz w:val="18"/>
                <w:szCs w:val="18"/>
              </w:rPr>
              <w:t> </w:t>
            </w:r>
            <w:r>
              <w:rPr>
                <w:rFonts w:ascii="宋体" w:hAnsi="宋体" w:cs="宋体" w:eastAsia="宋体" w:hint="default"/>
                <w:sz w:val="18"/>
                <w:szCs w:val="18"/>
              </w:rPr>
              <w:t>级别自动驾驶必备要素之一。</w:t>
            </w:r>
          </w:p>
        </w:tc>
      </w:tr>
    </w:tbl>
    <w:p>
      <w:pPr>
        <w:spacing w:after="0" w:line="319"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392"/>
        <w:gridCol w:w="1537"/>
        <w:gridCol w:w="2393"/>
        <w:gridCol w:w="1537"/>
        <w:gridCol w:w="3010"/>
      </w:tblGrid>
      <w:tr>
        <w:trPr>
          <w:trHeight w:val="422" w:hRule="exact"/>
        </w:trPr>
        <w:tc>
          <w:tcPr>
            <w:tcW w:w="139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971" w:hRule="exact"/>
        </w:trPr>
        <w:tc>
          <w:tcPr>
            <w:tcW w:w="1392" w:type="dxa"/>
            <w:tcBorders>
              <w:top w:val="single" w:sz="12" w:space="0" w:color="000000"/>
              <w:left w:val="nil" w:sz="6" w:space="0" w:color="auto"/>
              <w:bottom w:val="single" w:sz="4" w:space="0" w:color="000000"/>
              <w:right w:val="single" w:sz="4" w:space="0" w:color="000000"/>
            </w:tcBorders>
          </w:tcPr>
          <w:p>
            <w:pP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z w:val="18"/>
                <w:szCs w:val="18"/>
              </w:rPr>
              <w:t>具有 </w:t>
            </w:r>
            <w:r>
              <w:rPr>
                <w:rFonts w:ascii="宋体" w:hAnsi="宋体" w:cs="宋体" w:eastAsia="宋体" w:hint="default"/>
                <w:sz w:val="18"/>
                <w:szCs w:val="18"/>
              </w:rPr>
              <w:t>V2X</w:t>
            </w:r>
            <w:r>
              <w:rPr>
                <w:rFonts w:ascii="宋体" w:hAnsi="宋体" w:cs="宋体" w:eastAsia="宋体" w:hint="default"/>
                <w:spacing w:val="-30"/>
                <w:sz w:val="18"/>
                <w:szCs w:val="18"/>
              </w:rPr>
              <w:t> </w:t>
            </w:r>
            <w:r>
              <w:rPr>
                <w:rFonts w:ascii="宋体" w:hAnsi="宋体" w:cs="宋体" w:eastAsia="宋体" w:hint="default"/>
                <w:sz w:val="18"/>
                <w:szCs w:val="18"/>
              </w:rPr>
              <w:t>功能的 </w:t>
            </w:r>
            <w:r>
              <w:rPr>
                <w:rFonts w:ascii="宋体" w:hAnsi="宋体" w:cs="宋体" w:eastAsia="宋体" w:hint="default"/>
                <w:sz w:val="18"/>
                <w:szCs w:val="18"/>
              </w:rPr>
              <w:t>Tbox</w:t>
            </w:r>
            <w:r>
              <w:rPr>
                <w:rFonts w:ascii="宋体" w:hAnsi="宋体" w:cs="宋体" w:eastAsia="宋体" w:hint="default"/>
                <w:spacing w:val="-46"/>
                <w:sz w:val="18"/>
                <w:szCs w:val="18"/>
              </w:rPr>
              <w:t> </w:t>
            </w:r>
            <w:r>
              <w:rPr>
                <w:rFonts w:ascii="宋体" w:hAnsi="宋体" w:cs="宋体" w:eastAsia="宋体" w:hint="default"/>
                <w:sz w:val="18"/>
                <w:szCs w:val="18"/>
              </w:rPr>
              <w:t>终端</w:t>
            </w:r>
          </w:p>
        </w:tc>
        <w:tc>
          <w:tcPr>
            <w:tcW w:w="2393"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终端安装在汽车上，通过 </w:t>
            </w:r>
            <w:r>
              <w:rPr>
                <w:rFonts w:ascii="宋体" w:hAnsi="宋体" w:cs="宋体" w:eastAsia="宋体" w:hint="default"/>
                <w:sz w:val="18"/>
                <w:szCs w:val="18"/>
              </w:rPr>
              <w:t>CAN</w:t>
            </w:r>
            <w:r>
              <w:rPr>
                <w:rFonts w:ascii="宋体" w:hAnsi="宋体" w:cs="宋体" w:eastAsia="宋体" w:hint="default"/>
                <w:spacing w:val="-46"/>
                <w:sz w:val="18"/>
                <w:szCs w:val="18"/>
              </w:rPr>
              <w:t> </w:t>
            </w:r>
            <w:r>
              <w:rPr>
                <w:rFonts w:ascii="宋体" w:hAnsi="宋体" w:cs="宋体" w:eastAsia="宋体" w:hint="default"/>
                <w:sz w:val="18"/>
                <w:szCs w:val="18"/>
              </w:rPr>
              <w:t>总线与汽车连接，获取 </w:t>
            </w:r>
            <w:r>
              <w:rPr>
                <w:rFonts w:ascii="宋体" w:hAnsi="宋体" w:cs="宋体" w:eastAsia="宋体" w:hint="default"/>
                <w:spacing w:val="-10"/>
                <w:sz w:val="18"/>
                <w:szCs w:val="18"/>
              </w:rPr>
              <w:t>汽车的状态。通过</w:t>
            </w:r>
            <w:r>
              <w:rPr>
                <w:rFonts w:ascii="宋体" w:hAnsi="宋体" w:cs="宋体" w:eastAsia="宋体" w:hint="default"/>
                <w:spacing w:val="-44"/>
                <w:sz w:val="18"/>
                <w:szCs w:val="18"/>
              </w:rPr>
              <w:t> </w:t>
            </w:r>
            <w:r>
              <w:rPr>
                <w:rFonts w:ascii="宋体" w:hAnsi="宋体" w:cs="宋体" w:eastAsia="宋体" w:hint="default"/>
                <w:sz w:val="18"/>
                <w:szCs w:val="18"/>
              </w:rPr>
              <w:t>4G</w:t>
            </w:r>
            <w:r>
              <w:rPr>
                <w:rFonts w:ascii="宋体" w:hAnsi="宋体" w:cs="宋体" w:eastAsia="宋体" w:hint="default"/>
                <w:spacing w:val="-44"/>
                <w:sz w:val="18"/>
                <w:szCs w:val="18"/>
              </w:rPr>
              <w:t> </w:t>
            </w:r>
            <w:r>
              <w:rPr>
                <w:rFonts w:ascii="宋体" w:hAnsi="宋体" w:cs="宋体" w:eastAsia="宋体" w:hint="default"/>
                <w:sz w:val="18"/>
                <w:szCs w:val="18"/>
              </w:rPr>
              <w:t>连接到 后台服务器时间联网功能。 同时具有车用无线网络技术 实现</w:t>
            </w:r>
            <w:r>
              <w:rPr>
                <w:rFonts w:ascii="宋体" w:hAnsi="宋体" w:cs="宋体" w:eastAsia="宋体" w:hint="default"/>
                <w:spacing w:val="-46"/>
                <w:sz w:val="18"/>
                <w:szCs w:val="18"/>
              </w:rPr>
              <w:t> </w:t>
            </w:r>
            <w:r>
              <w:rPr>
                <w:rFonts w:ascii="宋体" w:hAnsi="宋体" w:cs="宋体" w:eastAsia="宋体" w:hint="default"/>
                <w:sz w:val="18"/>
                <w:szCs w:val="18"/>
              </w:rPr>
              <w:t>V2X</w:t>
            </w:r>
            <w:r>
              <w:rPr>
                <w:rFonts w:ascii="宋体" w:hAnsi="宋体" w:cs="宋体" w:eastAsia="宋体" w:hint="default"/>
                <w:spacing w:val="-46"/>
                <w:sz w:val="18"/>
                <w:szCs w:val="18"/>
              </w:rPr>
              <w:t> </w:t>
            </w:r>
            <w:r>
              <w:rPr>
                <w:rFonts w:ascii="宋体" w:hAnsi="宋体" w:cs="宋体" w:eastAsia="宋体" w:hint="default"/>
                <w:sz w:val="18"/>
                <w:szCs w:val="18"/>
              </w:rPr>
              <w:t>功能。</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9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车载通信通信终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WB-LN10</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
              <w:jc w:val="left"/>
              <w:rPr>
                <w:rFonts w:ascii="宋体" w:hAnsi="宋体" w:cs="宋体" w:eastAsia="宋体" w:hint="default"/>
                <w:sz w:val="18"/>
                <w:szCs w:val="18"/>
              </w:rPr>
            </w:pPr>
            <w:r>
              <w:rPr>
                <w:rFonts w:ascii="宋体" w:hAnsi="宋体" w:cs="宋体" w:eastAsia="宋体" w:hint="default"/>
                <w:spacing w:val="-6"/>
                <w:sz w:val="18"/>
                <w:szCs w:val="18"/>
              </w:rPr>
              <w:t>用于新一代智能网联汽车应用，不但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实现了传统车联网的功能：车辆信息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获取、车辆远程监控、车辆远程控制。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同时具有车车直连的安全预警功能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和车路协同功能。</w:t>
            </w:r>
          </w:p>
        </w:tc>
      </w:tr>
      <w:tr>
        <w:trPr>
          <w:trHeight w:val="1701" w:hRule="exact"/>
        </w:trPr>
        <w:tc>
          <w:tcPr>
            <w:tcW w:w="1392"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智慧高速领域</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102" w:right="102"/>
              <w:jc w:val="left"/>
              <w:rPr>
                <w:rFonts w:ascii="宋体" w:hAnsi="宋体" w:cs="宋体" w:eastAsia="宋体" w:hint="default"/>
                <w:sz w:val="18"/>
                <w:szCs w:val="18"/>
              </w:rPr>
            </w:pPr>
            <w:r>
              <w:rPr>
                <w:rFonts w:ascii="宋体" w:hAnsi="宋体" w:cs="宋体" w:eastAsia="宋体" w:hint="default"/>
                <w:spacing w:val="8"/>
                <w:sz w:val="18"/>
                <w:szCs w:val="18"/>
              </w:rPr>
              <w:t>综合服务基站系</w:t>
            </w:r>
            <w:r>
              <w:rPr>
                <w:rFonts w:ascii="宋体" w:hAnsi="宋体" w:cs="宋体" w:eastAsia="宋体" w:hint="default"/>
                <w:sz w:val="18"/>
                <w:szCs w:val="18"/>
              </w:rPr>
              <w:t> 统</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357" w:lineRule="auto" w:before="52"/>
              <w:ind w:left="103" w:right="163"/>
              <w:jc w:val="left"/>
              <w:rPr>
                <w:rFonts w:ascii="宋体" w:hAnsi="宋体" w:cs="宋体" w:eastAsia="宋体" w:hint="default"/>
                <w:sz w:val="18"/>
                <w:szCs w:val="18"/>
              </w:rPr>
            </w:pPr>
            <w:r>
              <w:rPr>
                <w:rFonts w:ascii="宋体" w:hAnsi="宋体" w:cs="宋体" w:eastAsia="宋体" w:hint="default"/>
                <w:sz w:val="18"/>
                <w:szCs w:val="18"/>
              </w:rPr>
              <w:t>路侧综合服务基站系统 具有</w:t>
            </w:r>
            <w:r>
              <w:rPr>
                <w:rFonts w:ascii="宋体" w:hAnsi="宋体" w:cs="宋体" w:eastAsia="宋体" w:hint="default"/>
                <w:spacing w:val="-46"/>
                <w:sz w:val="18"/>
                <w:szCs w:val="18"/>
              </w:rPr>
              <w:t> </w:t>
            </w:r>
            <w:r>
              <w:rPr>
                <w:rFonts w:ascii="宋体" w:hAnsi="宋体" w:cs="宋体" w:eastAsia="宋体" w:hint="default"/>
                <w:sz w:val="18"/>
                <w:szCs w:val="18"/>
              </w:rPr>
              <w:t>V2X</w:t>
            </w:r>
            <w:r>
              <w:rPr>
                <w:rFonts w:ascii="宋体" w:hAnsi="宋体" w:cs="宋体" w:eastAsia="宋体" w:hint="default"/>
                <w:spacing w:val="-46"/>
                <w:sz w:val="18"/>
                <w:szCs w:val="18"/>
              </w:rPr>
              <w:t> </w:t>
            </w:r>
            <w:r>
              <w:rPr>
                <w:rFonts w:ascii="宋体" w:hAnsi="宋体" w:cs="宋体" w:eastAsia="宋体" w:hint="default"/>
                <w:sz w:val="18"/>
                <w:szCs w:val="18"/>
              </w:rPr>
              <w:t>功能、</w:t>
            </w:r>
            <w:r>
              <w:rPr>
                <w:rFonts w:ascii="宋体" w:hAnsi="宋体" w:cs="宋体" w:eastAsia="宋体" w:hint="default"/>
                <w:sz w:val="18"/>
                <w:szCs w:val="18"/>
              </w:rPr>
              <w:t>ETC</w:t>
            </w:r>
            <w:r>
              <w:rPr>
                <w:rFonts w:ascii="宋体" w:hAnsi="宋体" w:cs="宋体" w:eastAsia="宋体" w:hint="default"/>
                <w:spacing w:val="-46"/>
                <w:sz w:val="18"/>
                <w:szCs w:val="18"/>
              </w:rPr>
              <w:t> </w:t>
            </w:r>
            <w:r>
              <w:rPr>
                <w:rFonts w:ascii="宋体" w:hAnsi="宋体" w:cs="宋体" w:eastAsia="宋体" w:hint="default"/>
                <w:sz w:val="18"/>
                <w:szCs w:val="18"/>
              </w:rPr>
              <w:t>功能、</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天气感知功能、路面侦测功</w:t>
            </w:r>
          </w:p>
          <w:p>
            <w:pPr>
              <w:pStyle w:val="TableParagraph"/>
              <w:spacing w:line="319" w:lineRule="auto" w:before="76"/>
              <w:ind w:left="103" w:right="119"/>
              <w:jc w:val="left"/>
              <w:rPr>
                <w:rFonts w:ascii="宋体" w:hAnsi="宋体" w:cs="宋体" w:eastAsia="宋体" w:hint="default"/>
                <w:sz w:val="18"/>
                <w:szCs w:val="18"/>
              </w:rPr>
            </w:pPr>
            <w:r>
              <w:rPr>
                <w:rFonts w:ascii="宋体" w:hAnsi="宋体" w:cs="宋体" w:eastAsia="宋体" w:hint="default"/>
                <w:sz w:val="18"/>
                <w:szCs w:val="18"/>
              </w:rPr>
              <w:t>能，是一站式高速公路综合 解决方案</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103" w:right="162"/>
              <w:jc w:val="left"/>
              <w:rPr>
                <w:rFonts w:ascii="宋体" w:hAnsi="宋体" w:cs="宋体" w:eastAsia="宋体" w:hint="default"/>
                <w:sz w:val="18"/>
                <w:szCs w:val="18"/>
              </w:rPr>
            </w:pPr>
            <w:r>
              <w:rPr>
                <w:rFonts w:ascii="宋体" w:hAnsi="宋体" w:cs="宋体" w:eastAsia="宋体" w:hint="default"/>
                <w:sz w:val="18"/>
                <w:szCs w:val="18"/>
              </w:rPr>
              <w:t>路侧综合服务基 站</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9" w:lineRule="auto"/>
              <w:ind w:left="103" w:right="19"/>
              <w:jc w:val="left"/>
              <w:rPr>
                <w:rFonts w:ascii="宋体" w:hAnsi="宋体" w:cs="宋体" w:eastAsia="宋体" w:hint="default"/>
                <w:sz w:val="18"/>
                <w:szCs w:val="18"/>
              </w:rPr>
            </w:pPr>
            <w:r>
              <w:rPr>
                <w:rFonts w:ascii="宋体" w:hAnsi="宋体" w:cs="宋体" w:eastAsia="宋体" w:hint="default"/>
                <w:sz w:val="18"/>
                <w:szCs w:val="18"/>
              </w:rPr>
              <w:t>用于构建新一代智能高速公路系统， </w:t>
            </w:r>
            <w:r>
              <w:rPr>
                <w:rFonts w:ascii="宋体" w:hAnsi="宋体" w:cs="宋体" w:eastAsia="宋体" w:hint="default"/>
                <w:spacing w:val="-6"/>
                <w:sz w:val="18"/>
                <w:szCs w:val="18"/>
              </w:rPr>
              <w:t>具有不停车收费，路况信息广播，天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气状况监测，道路状况监测，车辆状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况监测等功能。</w:t>
            </w:r>
          </w:p>
        </w:tc>
      </w:tr>
    </w:tbl>
    <w:p>
      <w:pPr>
        <w:pStyle w:val="BodyText"/>
        <w:spacing w:line="307" w:lineRule="auto" w:before="51"/>
        <w:ind w:left="253" w:right="1130" w:firstLine="360"/>
        <w:jc w:val="both"/>
      </w:pPr>
      <w:r>
        <w:rPr/>
        <w:t>上述产品中，前装</w:t>
      </w:r>
      <w:r>
        <w:rPr>
          <w:spacing w:val="-62"/>
        </w:rPr>
        <w:t> </w:t>
      </w:r>
      <w:r>
        <w:rPr>
          <w:rFonts w:ascii="Times New Roman" w:hAnsi="Times New Roman" w:cs="Times New Roman" w:eastAsia="Times New Roman" w:hint="default"/>
        </w:rPr>
        <w:t>OBU</w:t>
      </w:r>
      <w:r>
        <w:rPr>
          <w:rFonts w:ascii="Times New Roman" w:hAnsi="Times New Roman" w:cs="Times New Roman" w:eastAsia="Times New Roman" w:hint="default"/>
          <w:spacing w:val="-17"/>
        </w:rPr>
        <w:t> </w:t>
      </w:r>
      <w:r>
        <w:rPr/>
        <w:t>模块、智能后视镜、</w:t>
      </w:r>
      <w:r>
        <w:rPr>
          <w:rFonts w:ascii="Times New Roman" w:hAnsi="Times New Roman" w:cs="Times New Roman" w:eastAsia="Times New Roman" w:hint="default"/>
        </w:rPr>
        <w:t>5.8G</w:t>
      </w:r>
      <w:r>
        <w:rPr>
          <w:rFonts w:ascii="Times New Roman" w:hAnsi="Times New Roman" w:cs="Times New Roman" w:eastAsia="Times New Roman" w:hint="default"/>
          <w:spacing w:val="-17"/>
        </w:rPr>
        <w:t> </w:t>
      </w:r>
      <w:r>
        <w:rPr/>
        <w:t>通行卡、三频读卡器、路内停车运营管理相关产品、智能车路协同领 域的</w:t>
      </w:r>
      <w:r>
        <w:rPr>
          <w:spacing w:val="-45"/>
        </w:rPr>
        <w:t> </w:t>
      </w:r>
      <w:r>
        <w:rPr>
          <w:rFonts w:ascii="Times New Roman" w:hAnsi="Times New Roman" w:cs="Times New Roman" w:eastAsia="Times New Roman" w:hint="default"/>
        </w:rPr>
        <w:t>L3</w:t>
      </w:r>
      <w:r>
        <w:rPr>
          <w:rFonts w:ascii="Times New Roman" w:hAnsi="Times New Roman" w:cs="Times New Roman" w:eastAsia="Times New Roman" w:hint="default"/>
          <w:spacing w:val="1"/>
        </w:rPr>
        <w:t> </w:t>
      </w:r>
      <w:r>
        <w:rPr>
          <w:spacing w:val="-7"/>
        </w:rPr>
        <w:t>级智能网联汽车通信系统、具有</w:t>
      </w:r>
      <w:r>
        <w:rPr>
          <w:spacing w:val="-45"/>
        </w:rPr>
        <w:t> </w:t>
      </w:r>
      <w:r>
        <w:rPr>
          <w:rFonts w:ascii="Times New Roman" w:hAnsi="Times New Roman" w:cs="Times New Roman" w:eastAsia="Times New Roman" w:hint="default"/>
          <w:w w:val="99"/>
        </w:rPr>
        <w:t>V2X </w:t>
      </w:r>
      <w:r>
        <w:rPr/>
        <w:t>功能的</w:t>
      </w:r>
      <w:r>
        <w:rPr>
          <w:spacing w:val="-44"/>
        </w:rPr>
        <w:t> </w:t>
      </w:r>
      <w:r>
        <w:rPr>
          <w:rFonts w:ascii="Times New Roman" w:hAnsi="Times New Roman" w:cs="Times New Roman" w:eastAsia="Times New Roman" w:hint="default"/>
        </w:rPr>
        <w:t>Tbox</w:t>
      </w:r>
      <w:r>
        <w:rPr>
          <w:rFonts w:ascii="Times New Roman" w:hAnsi="Times New Roman" w:cs="Times New Roman" w:eastAsia="Times New Roman" w:hint="default"/>
          <w:spacing w:val="2"/>
        </w:rPr>
        <w:t> </w:t>
      </w:r>
      <w:r>
        <w:rPr>
          <w:spacing w:val="-4"/>
        </w:rPr>
        <w:t>终端、智慧高速领域的综合服务基站系统等产品尚未大规模出货，</w:t>
      </w:r>
      <w:r>
        <w:rPr/>
        <w:t> </w:t>
      </w:r>
      <w:r>
        <w:rPr>
          <w:spacing w:val="-2"/>
        </w:rPr>
        <w:t>公司已建立了相应的技术储备，并持续进行产品升级完善和测试，公司将在未来行业标准、政策出台后取得相应资质，根据</w:t>
      </w:r>
      <w:r>
        <w:rPr>
          <w:spacing w:val="-66"/>
        </w:rPr>
        <w:t> </w:t>
      </w:r>
      <w:r>
        <w:rPr>
          <w:spacing w:val="-66"/>
        </w:rPr>
      </w:r>
      <w:r>
        <w:rPr/>
        <w:t>市场需求情况进行销售。</w:t>
      </w:r>
    </w:p>
    <w:p>
      <w:pPr>
        <w:pStyle w:val="BodyText"/>
        <w:spacing w:line="357" w:lineRule="auto" w:before="65"/>
        <w:ind w:left="613" w:right="0"/>
        <w:jc w:val="left"/>
      </w:pPr>
      <w:r>
        <w:rPr>
          <w:rFonts w:ascii="宋体" w:hAnsi="宋体" w:cs="宋体" w:eastAsia="宋体" w:hint="default"/>
          <w:b/>
          <w:bCs/>
        </w:rPr>
        <w:t>（三）经营模式</w:t>
      </w:r>
      <w:r>
        <w:rPr>
          <w:rFonts w:ascii="宋体" w:hAnsi="宋体" w:cs="宋体" w:eastAsia="宋体" w:hint="default"/>
          <w:b/>
          <w:bCs/>
          <w:w w:val="99"/>
        </w:rPr>
        <w:t> </w:t>
      </w:r>
      <w:r>
        <w:rPr>
          <w:spacing w:val="-2"/>
        </w:rPr>
        <w:t>公司主要以提供</w:t>
      </w:r>
      <w:r>
        <w:rPr>
          <w:rFonts w:ascii="Times New Roman" w:hAnsi="Times New Roman" w:cs="Times New Roman" w:eastAsia="Times New Roman" w:hint="default"/>
          <w:spacing w:val="-2"/>
        </w:rPr>
        <w:t>“</w:t>
      </w:r>
      <w:r>
        <w:rPr>
          <w:spacing w:val="-2"/>
        </w:rPr>
        <w:t>产品＋服务</w:t>
      </w:r>
      <w:r>
        <w:rPr>
          <w:rFonts w:ascii="Times New Roman" w:hAnsi="Times New Roman" w:cs="Times New Roman" w:eastAsia="Times New Roman" w:hint="default"/>
          <w:spacing w:val="-2"/>
        </w:rPr>
        <w:t>”</w:t>
      </w:r>
      <w:r>
        <w:rPr>
          <w:spacing w:val="-2"/>
        </w:rPr>
        <w:t>的方式获取收入及利润，主要销售的产品是智慧交通的路侧设备和车载设备，以及设备配</w:t>
      </w:r>
    </w:p>
    <w:p>
      <w:pPr>
        <w:pStyle w:val="BodyText"/>
        <w:spacing w:line="201" w:lineRule="exact"/>
        <w:ind w:left="254" w:right="0"/>
        <w:jc w:val="left"/>
      </w:pPr>
      <w:r>
        <w:rPr/>
        <w:t>套的软件和系统，并向客户提供产品安装调试，用户培训，售后维保等服务。公司最主要的客户包括高速公路的运营商、系</w:t>
      </w:r>
    </w:p>
    <w:p>
      <w:pPr>
        <w:pStyle w:val="BodyText"/>
        <w:spacing w:line="319" w:lineRule="auto" w:before="76"/>
        <w:ind w:left="254" w:right="1032"/>
        <w:jc w:val="left"/>
      </w:pPr>
      <w:r>
        <w:rPr>
          <w:spacing w:val="-2"/>
        </w:rPr>
        <w:t>统集成商、银行，以及移动通信运营商、物业运营商、汽车厂商等。公司的销售模式可分为直接销售、代理销售和通过招投</w:t>
      </w:r>
      <w:r>
        <w:rPr>
          <w:spacing w:val="-68"/>
        </w:rPr>
        <w:t> </w:t>
      </w:r>
      <w:r>
        <w:rPr>
          <w:spacing w:val="-68"/>
        </w:rPr>
      </w:r>
      <w:r>
        <w:rPr>
          <w:spacing w:val="-2"/>
        </w:rPr>
        <w:t>标方式销售，并通过覆盖全国的售后和服务网络，为客户提供本地化的服务。公司产品拥有完全自主知识产权，通过自研和</w:t>
      </w:r>
      <w:r>
        <w:rPr>
          <w:spacing w:val="-66"/>
        </w:rPr>
        <w:t> </w:t>
      </w:r>
      <w:r>
        <w:rPr>
          <w:spacing w:val="-66"/>
        </w:rPr>
      </w:r>
      <w:r>
        <w:rPr/>
        <w:t>自有工厂生产。公司具备产品生产、销售、服务的必要资质，公司已通过企业管理、质量控制等多方面高标准的体系认证。</w:t>
      </w:r>
      <w:r>
        <w:rPr>
          <w:spacing w:val="-85"/>
        </w:rPr>
        <w:t> </w:t>
      </w:r>
      <w:r>
        <w:rPr>
          <w:spacing w:val="-85"/>
        </w:rPr>
      </w:r>
      <w:r>
        <w:rPr>
          <w:spacing w:val="-2"/>
        </w:rPr>
        <w:t>公司通过领先的产品性能，过硬的产品质量，实惠的产品价格和贴心的售后服务获得用户的认可，并奠定了在行业内的领先</w:t>
      </w:r>
      <w:r>
        <w:rPr>
          <w:spacing w:val="-66"/>
        </w:rPr>
        <w:t> </w:t>
      </w:r>
      <w:r>
        <w:rPr>
          <w:spacing w:val="-66"/>
        </w:rPr>
      </w:r>
      <w:r>
        <w:rPr/>
        <w:t>地位。</w:t>
      </w:r>
    </w:p>
    <w:p>
      <w:pPr>
        <w:pStyle w:val="Heading4"/>
        <w:spacing w:line="240" w:lineRule="auto" w:before="56"/>
        <w:ind w:left="614" w:right="0"/>
        <w:jc w:val="left"/>
        <w:rPr>
          <w:b w:val="0"/>
          <w:bCs w:val="0"/>
        </w:rPr>
      </w:pPr>
      <w:r>
        <w:rPr/>
        <w:t>（四）主要业绩驱动因素</w:t>
      </w:r>
      <w:r>
        <w:rPr>
          <w:b w:val="0"/>
          <w:bCs w:val="0"/>
        </w:rPr>
      </w:r>
    </w:p>
    <w:p>
      <w:pPr>
        <w:pStyle w:val="Heading4"/>
        <w:spacing w:line="240" w:lineRule="auto" w:before="116"/>
        <w:ind w:left="615" w:right="0"/>
        <w:jc w:val="left"/>
        <w:rPr>
          <w:b w:val="0"/>
          <w:bCs w:val="0"/>
        </w:rPr>
      </w:pPr>
      <w:r>
        <w:rPr>
          <w:rFonts w:ascii="Times New Roman" w:hAnsi="Times New Roman" w:cs="Times New Roman" w:eastAsia="Times New Roman" w:hint="default"/>
        </w:rPr>
        <w:t>1</w:t>
      </w:r>
      <w:r>
        <w:rPr/>
        <w:t>、有利因素</w:t>
      </w:r>
      <w:r>
        <w:rPr>
          <w:b w:val="0"/>
          <w:bCs w:val="0"/>
        </w:rPr>
      </w:r>
    </w:p>
    <w:p>
      <w:pPr>
        <w:pStyle w:val="Heading4"/>
        <w:spacing w:line="240" w:lineRule="auto" w:before="103"/>
        <w:ind w:left="615" w:right="0"/>
        <w:jc w:val="left"/>
        <w:rPr>
          <w:b w:val="0"/>
          <w:bCs w:val="0"/>
        </w:rPr>
      </w:pPr>
      <w:r>
        <w:rPr/>
        <w:t>（</w:t>
      </w:r>
      <w:r>
        <w:rPr>
          <w:rFonts w:ascii="Times New Roman" w:hAnsi="Times New Roman" w:cs="Times New Roman" w:eastAsia="Times New Roman" w:hint="default"/>
        </w:rPr>
        <w:t>1</w:t>
      </w:r>
      <w:r>
        <w:rPr/>
        <w:t>）国家产业政策的扶持与重视</w:t>
      </w:r>
      <w:r>
        <w:rPr>
          <w:b w:val="0"/>
          <w:bCs w:val="0"/>
        </w:rPr>
      </w:r>
    </w:p>
    <w:p>
      <w:pPr>
        <w:pStyle w:val="BodyText"/>
        <w:spacing w:line="300" w:lineRule="auto" w:before="101"/>
        <w:ind w:left="253" w:right="1131" w:firstLine="360"/>
        <w:jc w:val="both"/>
      </w:pPr>
      <w:r>
        <w:rPr>
          <w:spacing w:val="-1"/>
        </w:rPr>
        <w:t>《国家中长期科学和技术发展规划纲要（</w:t>
      </w:r>
      <w:r>
        <w:rPr>
          <w:rFonts w:ascii="Times New Roman" w:hAnsi="Times New Roman" w:cs="Times New Roman" w:eastAsia="Times New Roman" w:hint="default"/>
          <w:spacing w:val="-1"/>
        </w:rPr>
        <w:t>2006-2020</w:t>
      </w:r>
      <w:r>
        <w:rPr>
          <w:rFonts w:ascii="Times New Roman" w:hAnsi="Times New Roman" w:cs="Times New Roman" w:eastAsia="Times New Roman" w:hint="default"/>
          <w:spacing w:val="19"/>
        </w:rPr>
        <w:t> </w:t>
      </w:r>
      <w:r>
        <w:rPr>
          <w:spacing w:val="-16"/>
          <w:w w:val="100"/>
        </w:rPr>
        <w:t>年）》、《交通运输信息化</w:t>
      </w:r>
      <w:r>
        <w:rPr>
          <w:rFonts w:ascii="Times New Roman" w:hAnsi="Times New Roman" w:cs="Times New Roman" w:eastAsia="Times New Roman" w:hint="default"/>
          <w:spacing w:val="-16"/>
          <w:w w:val="100"/>
        </w:rPr>
        <w:t>“</w:t>
      </w:r>
      <w:r>
        <w:rPr>
          <w:spacing w:val="-16"/>
          <w:w w:val="100"/>
        </w:rPr>
        <w:t>十三五</w:t>
      </w:r>
      <w:r>
        <w:rPr>
          <w:rFonts w:ascii="Times New Roman" w:hAnsi="Times New Roman" w:cs="Times New Roman" w:eastAsia="Times New Roman" w:hint="default"/>
          <w:spacing w:val="-16"/>
          <w:w w:val="100"/>
        </w:rPr>
        <w:t>”</w:t>
      </w:r>
      <w:r>
        <w:rPr>
          <w:spacing w:val="-16"/>
          <w:w w:val="100"/>
        </w:rPr>
        <w:t>发展规划》、《推进智慧交通发展行</w:t>
      </w:r>
      <w:r>
        <w:rPr/>
        <w:t> 动计划（</w:t>
      </w:r>
      <w:r>
        <w:rPr>
          <w:rFonts w:ascii="Times New Roman" w:hAnsi="Times New Roman" w:cs="Times New Roman" w:eastAsia="Times New Roman" w:hint="default"/>
        </w:rPr>
        <w:t>2017-2020</w:t>
      </w:r>
      <w:r>
        <w:rPr>
          <w:rFonts w:ascii="Times New Roman" w:hAnsi="Times New Roman" w:cs="Times New Roman" w:eastAsia="Times New Roman" w:hint="default"/>
          <w:spacing w:val="31"/>
        </w:rPr>
        <w:t> </w:t>
      </w:r>
      <w:r>
        <w:rPr>
          <w:spacing w:val="-6"/>
        </w:rPr>
        <w:t>年）》、《智慧公路与新一代国家交通控制网》等文件明确指出了智慧交通符合我国未来交通行业的发展</w:t>
      </w:r>
      <w:r>
        <w:rPr>
          <w:spacing w:val="-85"/>
        </w:rPr>
        <w:t> </w:t>
      </w:r>
      <w:r>
        <w:rPr>
          <w:spacing w:val="-85"/>
        </w:rPr>
      </w:r>
      <w:r>
        <w:rPr/>
        <w:t>方向。</w:t>
      </w:r>
    </w:p>
    <w:p>
      <w:pPr>
        <w:pStyle w:val="BodyText"/>
        <w:spacing w:line="300" w:lineRule="auto" w:before="70"/>
        <w:ind w:left="253" w:right="1130" w:firstLine="360"/>
        <w:jc w:val="both"/>
      </w:pPr>
      <w:r>
        <w:rPr/>
        <w:t>在</w:t>
      </w:r>
      <w:r>
        <w:rPr>
          <w:spacing w:val="-50"/>
        </w:rPr>
        <w:t> </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t>领域，国家政策赋予了其在我国交通体系的重要作用及广阔的发展空间，</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月，交通部发布《交通运输 </w:t>
      </w:r>
      <w:r>
        <w:rPr>
          <w:spacing w:val="-4"/>
        </w:rPr>
        <w:t>部关于开展全国高速公路电子不停车收费联网工作的通知》，启动了</w:t>
      </w:r>
      <w:r>
        <w:rPr>
          <w:spacing w:val="-42"/>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spacing w:val="-2"/>
        </w:rPr>
        <w:t>全国联网的工作，截至</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3"/>
        </w:rPr>
        <w:t>年底，全国</w:t>
      </w:r>
      <w:r>
        <w:rPr>
          <w:spacing w:val="-43"/>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用户 总量超过</w:t>
      </w:r>
      <w:r>
        <w:rPr>
          <w:spacing w:val="-4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万，发展速度远超预期。国务院</w:t>
      </w:r>
      <w:r>
        <w:rPr>
          <w:spacing w:val="-1"/>
        </w:rPr>
        <w:t>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现代综合交通运输体系的发展规划中，对</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的发展提出了明确 的要求，一个核心是要求在公路客车的 </w:t>
      </w:r>
      <w:r>
        <w:rPr>
          <w:rFonts w:ascii="Times New Roman" w:hAnsi="Times New Roman" w:cs="Times New Roman" w:eastAsia="Times New Roman" w:hint="default"/>
        </w:rPr>
        <w:t>ETC </w:t>
      </w:r>
      <w:r>
        <w:rPr/>
        <w:t>使用率在 </w:t>
      </w:r>
      <w:r>
        <w:rPr>
          <w:rFonts w:ascii="Times New Roman" w:hAnsi="Times New Roman" w:cs="Times New Roman" w:eastAsia="Times New Roman" w:hint="default"/>
        </w:rPr>
        <w:t>2020 </w:t>
      </w:r>
      <w:r>
        <w:rPr/>
        <w:t>年要达到</w:t>
      </w:r>
      <w:r>
        <w:rPr>
          <w:spacing w:val="-35"/>
        </w:rPr>
        <w:t> </w:t>
      </w:r>
      <w:r>
        <w:rPr>
          <w:rFonts w:ascii="Times New Roman" w:hAnsi="Times New Roman" w:cs="Times New Roman" w:eastAsia="Times New Roman" w:hint="default"/>
        </w:rPr>
        <w:t>50%</w:t>
      </w:r>
      <w:r>
        <w:rPr/>
        <w:t>（一亿辆）以上的水平，并大幅度提升高速公路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spacing w:val="-3"/>
        </w:rPr>
        <w:t>车道的数量，提高</w:t>
      </w:r>
      <w:r>
        <w:rPr>
          <w:spacing w:val="-5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系统的安装缴费的便利性，提高道路客运车辆、出租车等各类运营车辆的使用率，实现</w:t>
      </w:r>
      <w:r>
        <w:rPr>
          <w:spacing w:val="-54"/>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系 统在公路沿线、城市交通、出租车、停车场、客运等领域的广泛应用。另外，交通运输部正积极研究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与移动支付相结 合，在城市环境扩展 </w:t>
      </w:r>
      <w:r>
        <w:rPr>
          <w:rFonts w:ascii="Times New Roman" w:hAnsi="Times New Roman" w:cs="Times New Roman" w:eastAsia="Times New Roman" w:hint="default"/>
        </w:rPr>
        <w:t>ETC </w:t>
      </w:r>
      <w:r>
        <w:rPr/>
        <w:t>的使用范围，并发布了《收费公路移动支付技术规范 第一册</w:t>
      </w:r>
      <w:r>
        <w:rPr>
          <w:spacing w:val="-18"/>
        </w:rPr>
        <w:t> </w:t>
      </w:r>
      <w:r>
        <w:rPr/>
        <w:t>停车移动支付》等国家标准，这对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的拓展应用是一个很好的促进。</w:t>
      </w:r>
    </w:p>
    <w:p>
      <w:pPr>
        <w:pStyle w:val="BodyText"/>
        <w:spacing w:line="300" w:lineRule="auto" w:before="53"/>
        <w:ind w:left="253" w:right="1131" w:firstLine="360"/>
        <w:jc w:val="both"/>
      </w:pPr>
      <w:r>
        <w:rPr>
          <w:spacing w:val="-2"/>
        </w:rPr>
        <w:t>在路径识别领域，</w:t>
      </w:r>
      <w:r>
        <w:rPr>
          <w:rFonts w:ascii="Times New Roman" w:hAnsi="Times New Roman" w:cs="Times New Roman" w:eastAsia="Times New Roman" w:hint="default"/>
          <w:spacing w:val="-2"/>
        </w:rPr>
        <w:t>“</w:t>
      </w:r>
      <w:r>
        <w:rPr>
          <w:spacing w:val="-2"/>
        </w:rPr>
        <w:t>营改增</w:t>
      </w:r>
      <w:r>
        <w:rPr>
          <w:rFonts w:ascii="Times New Roman" w:hAnsi="Times New Roman" w:cs="Times New Roman" w:eastAsia="Times New Roman" w:hint="default"/>
          <w:spacing w:val="-2"/>
        </w:rPr>
        <w:t>”</w:t>
      </w:r>
      <w:r>
        <w:rPr>
          <w:spacing w:val="-2"/>
        </w:rPr>
        <w:t>政策的实施对建设全国高速公路路径识别系统产生了重大推动。高速公路多义性路径识别是</w:t>
      </w:r>
      <w:r>
        <w:rPr/>
        <w:t>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应用领域的拓展，随着高速公路的发展，路网系统日益复杂，路径识别系统的应用能对车辆的行驶路径及距离进行精</w:t>
      </w:r>
      <w:r>
        <w:rPr>
          <w:spacing w:val="-87"/>
        </w:rPr>
        <w:t> </w:t>
      </w:r>
      <w:r>
        <w:rPr>
          <w:spacing w:val="-87"/>
        </w:rPr>
      </w:r>
      <w:r>
        <w:rPr/>
        <w:t>确识别，实现高速公路通行费在不同投资主体间进行精确的拆分。</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月，李克强总理主持召开国务院常务会议，明 </w:t>
      </w:r>
      <w:r>
        <w:rPr>
          <w:spacing w:val="-2"/>
        </w:rPr>
        <w:t>确要求在年内实现统一开具高速公路通行费增值税电子发票。而实现增值税电子发票的统一开据需要以行驶路径的准确识别</w:t>
      </w:r>
    </w:p>
    <w:p>
      <w:pPr>
        <w:spacing w:after="0" w:line="300" w:lineRule="auto"/>
        <w:jc w:val="both"/>
        <w:sectPr>
          <w:pgSz w:w="11910" w:h="16840"/>
          <w:pgMar w:header="877" w:footer="979" w:top="1100" w:bottom="1160" w:left="880" w:right="0"/>
        </w:sectPr>
      </w:pPr>
    </w:p>
    <w:p>
      <w:pPr>
        <w:spacing w:line="240" w:lineRule="auto" w:before="12"/>
        <w:rPr>
          <w:rFonts w:ascii="宋体" w:hAnsi="宋体" w:cs="宋体" w:eastAsia="宋体" w:hint="default"/>
          <w:sz w:val="21"/>
          <w:szCs w:val="21"/>
        </w:rPr>
      </w:pPr>
    </w:p>
    <w:p>
      <w:pPr>
        <w:pStyle w:val="BodyText"/>
        <w:spacing w:line="300" w:lineRule="auto" w:before="44"/>
        <w:ind w:right="1131"/>
        <w:jc w:val="both"/>
      </w:pPr>
      <w:r>
        <w:rPr/>
        <w:t>为基础，</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日，交通部印发了《交通运输部办公厅关于加快推进收费公路通行费增值税发票开具第三、第四阶 </w:t>
      </w:r>
      <w:r>
        <w:rPr>
          <w:spacing w:val="-5"/>
        </w:rPr>
        <w:t>段工作任务落实的通知》，明确路径识别采用</w:t>
      </w:r>
      <w:r>
        <w:rPr>
          <w:spacing w:val="-43"/>
        </w:rPr>
        <w:t> </w:t>
      </w:r>
      <w:r>
        <w:rPr>
          <w:rFonts w:ascii="Times New Roman" w:hAnsi="Times New Roman" w:cs="Times New Roman" w:eastAsia="Times New Roman" w:hint="default"/>
          <w:spacing w:val="-1"/>
          <w:w w:val="99"/>
        </w:rPr>
        <w:t>5.8GHz</w:t>
      </w:r>
      <w:r>
        <w:rPr>
          <w:rFonts w:ascii="Times New Roman" w:hAnsi="Times New Roman" w:cs="Times New Roman" w:eastAsia="Times New Roman" w:hint="default"/>
          <w:spacing w:val="3"/>
          <w:w w:val="99"/>
        </w:rPr>
        <w:t> </w:t>
      </w:r>
      <w:r>
        <w:rPr>
          <w:spacing w:val="-1"/>
        </w:rPr>
        <w:t>技术，要求在</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1"/>
        </w:rPr>
        <w:t>月底前完成全国各省（区、市）内高速公路多</w:t>
      </w:r>
      <w:r>
        <w:rPr/>
        <w:t> 义性路径识别系统建设。路径识别系统建设将为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企业带来非常大的市场需求，公司是国内较早从事路径识别技术和产 品研发应用的企业，具有成熟的产品技术和丰富的行业经验，公司将积极参与系统建设，把握发展机遇。</w:t>
      </w:r>
    </w:p>
    <w:p>
      <w:pPr>
        <w:pStyle w:val="BodyText"/>
        <w:spacing w:line="307" w:lineRule="auto" w:before="70"/>
        <w:ind w:right="1131" w:firstLine="360"/>
        <w:jc w:val="both"/>
      </w:pPr>
      <w:r>
        <w:rPr/>
        <w:t>在汽车电子标识领域，</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GB/T</w:t>
      </w:r>
      <w:r>
        <w:rPr>
          <w:rFonts w:ascii="Times New Roman" w:hAnsi="Times New Roman" w:cs="Times New Roman" w:eastAsia="Times New Roman" w:hint="default"/>
          <w:spacing w:val="-5"/>
        </w:rPr>
        <w:t> </w:t>
      </w:r>
      <w:r>
        <w:rPr>
          <w:rFonts w:ascii="Times New Roman" w:hAnsi="Times New Roman" w:cs="Times New Roman" w:eastAsia="Times New Roman" w:hint="default"/>
        </w:rPr>
        <w:t>35788-2017</w:t>
      </w:r>
      <w:r>
        <w:rPr/>
        <w:t>《机动车电子标识安全技术要求》等一系列汽车电子标识 的国家标准颁布，标志着汽车电子标识领域进入了全新的发展阶段。公司作为该标准编写的成员单位，于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 </w:t>
      </w:r>
      <w:r>
        <w:rPr>
          <w:spacing w:val="-2"/>
        </w:rPr>
        <w:t>参与了深圳、无锡汽车电子标识试点项目，为国家标准顺利颁布提供了技术支撑。可以预见，在未来汽车电子标识领域，国</w:t>
      </w:r>
      <w:r>
        <w:rPr>
          <w:spacing w:val="-66"/>
        </w:rPr>
        <w:t> </w:t>
      </w:r>
      <w:r>
        <w:rPr>
          <w:spacing w:val="-66"/>
        </w:rPr>
      </w:r>
      <w:r>
        <w:rPr/>
        <w:t>家将会有一系列配套产业政策、扶持方案出台，也必将极大推动汽车电子标识行业快速发展。</w:t>
      </w:r>
    </w:p>
    <w:p>
      <w:pPr>
        <w:pStyle w:val="BodyText"/>
        <w:spacing w:line="312" w:lineRule="auto" w:before="65"/>
        <w:ind w:right="1033" w:firstLine="360"/>
        <w:jc w:val="left"/>
      </w:pPr>
      <w:r>
        <w:rPr>
          <w:spacing w:val="-2"/>
        </w:rPr>
        <w:t>在车路协同领域，继北京、上海、重庆等全国多地车路协同示范区相继运营，车路协同与无人驾驶技术的联系也日益紧</w:t>
      </w:r>
      <w:r>
        <w:rPr/>
        <w:t> 密，车路协同作为协同式无人驾驶技术的一个重要实现保障，具有非常重要的地位。为了进一步推动车路协同技术的发展，</w:t>
      </w:r>
      <w:r>
        <w:rPr>
          <w:spacing w:val="-85"/>
        </w:rPr>
        <w:t> </w:t>
      </w:r>
      <w:r>
        <w:rPr>
          <w:spacing w:val="-85"/>
        </w:rPr>
      </w:r>
      <w:r>
        <w:rPr>
          <w:spacing w:val="-2"/>
        </w:rPr>
        <w:t>并加快车路协同与无人驾驶技术的结合，交通运输部组织成立</w:t>
      </w:r>
      <w:r>
        <w:rPr>
          <w:rFonts w:ascii="Times New Roman" w:hAnsi="Times New Roman" w:cs="Times New Roman" w:eastAsia="Times New Roman" w:hint="default"/>
          <w:spacing w:val="-2"/>
        </w:rPr>
        <w:t>“</w:t>
      </w:r>
      <w:r>
        <w:rPr>
          <w:spacing w:val="-2"/>
        </w:rPr>
        <w:t>交通运输部智能车路协同关键技术及装备行业研发中心</w:t>
      </w:r>
      <w:r>
        <w:rPr>
          <w:rFonts w:ascii="Times New Roman" w:hAnsi="Times New Roman" w:cs="Times New Roman" w:eastAsia="Times New Roman" w:hint="default"/>
          <w:spacing w:val="-2"/>
        </w:rPr>
        <w:t>”</w:t>
      </w:r>
      <w:r>
        <w:rPr>
          <w:spacing w:val="-2"/>
        </w:rPr>
        <w:t>，公</w:t>
      </w:r>
      <w:r>
        <w:rPr>
          <w:spacing w:val="-76"/>
        </w:rPr>
        <w:t> </w:t>
      </w:r>
      <w:r>
        <w:rPr/>
        <w:t>司作为主申请单位，成功申报并获批车路协同领域唯一一家部级行业研发中心。</w:t>
      </w:r>
    </w:p>
    <w:p>
      <w:pPr>
        <w:spacing w:line="338" w:lineRule="auto" w:before="62"/>
        <w:ind w:left="514" w:right="1114"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）巨大的市场需求给行业带来广阔的发展空间</w:t>
      </w:r>
      <w:r>
        <w:rPr>
          <w:rFonts w:ascii="宋体" w:hAnsi="宋体" w:cs="宋体" w:eastAsia="宋体" w:hint="default"/>
          <w:b/>
          <w:bCs/>
          <w:w w:val="99"/>
          <w:sz w:val="18"/>
          <w:szCs w:val="18"/>
        </w:rPr>
        <w:t> </w:t>
      </w:r>
      <w:r>
        <w:rPr>
          <w:rFonts w:ascii="宋体" w:hAnsi="宋体" w:cs="宋体" w:eastAsia="宋体" w:hint="default"/>
          <w:sz w:val="18"/>
          <w:szCs w:val="18"/>
        </w:rPr>
        <w:t>智慧交通行业目前在我国正处于快速发展期。在高速公路电子不停车收费领域，由于我国已建成总长度超过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万公</w:t>
      </w:r>
    </w:p>
    <w:p>
      <w:pPr>
        <w:pStyle w:val="BodyText"/>
        <w:spacing w:line="217" w:lineRule="exact"/>
        <w:ind w:left="154" w:right="0"/>
        <w:jc w:val="left"/>
      </w:pPr>
      <w:r>
        <w:rPr/>
        <w:t>里的全球最大的高速公路网络，加上各省、各地区建设的配套连接线，以及对存量高速公路进行改造升级，都将使高速公路</w:t>
      </w:r>
    </w:p>
    <w:p>
      <w:pPr>
        <w:pStyle w:val="BodyText"/>
        <w:spacing w:line="357" w:lineRule="auto" w:before="77"/>
        <w:ind w:left="514" w:right="0" w:hanging="360"/>
        <w:jc w:val="left"/>
      </w:pPr>
      <w:r>
        <w:rPr/>
        <w:t>智慧交通相关设备迎来迅速放大的市场需求。 </w:t>
      </w:r>
      <w:r>
        <w:rPr>
          <w:spacing w:val="-2"/>
        </w:rPr>
        <w:t>其次，随着我国城镇化建设的不断深入和汽车保有量的急速增加，城市拥堵等交通问题越来越突出，汽车尾气排放带来</w:t>
      </w:r>
    </w:p>
    <w:p>
      <w:pPr>
        <w:pStyle w:val="BodyText"/>
        <w:spacing w:line="224" w:lineRule="exact"/>
        <w:ind w:left="154" w:right="0"/>
        <w:jc w:val="left"/>
      </w:pPr>
      <w:r>
        <w:rPr/>
        <w:t>的环境污染也越来越为群众所关注。城市交通管理部门亟需有效的方案和管理工具来改善现状，智慧交通路内停车产品、无</w:t>
      </w:r>
    </w:p>
    <w:p>
      <w:pPr>
        <w:pStyle w:val="BodyText"/>
        <w:spacing w:line="309" w:lineRule="auto" w:before="76"/>
        <w:ind w:right="0"/>
        <w:jc w:val="left"/>
      </w:pPr>
      <w:r>
        <w:rPr/>
        <w:t>人值守停车场产品、汽车电子标识类产品、车路协同类产品、车联网产品可以为解决</w:t>
      </w:r>
      <w:r>
        <w:rPr>
          <w:rFonts w:ascii="Times New Roman" w:hAnsi="Times New Roman" w:cs="Times New Roman" w:eastAsia="Times New Roman" w:hint="default"/>
        </w:rPr>
        <w:t>“</w:t>
      </w:r>
      <w:r>
        <w:rPr/>
        <w:t>城市病</w:t>
      </w:r>
      <w:r>
        <w:rPr>
          <w:rFonts w:ascii="Times New Roman" w:hAnsi="Times New Roman" w:cs="Times New Roman" w:eastAsia="Times New Roman" w:hint="default"/>
        </w:rPr>
        <w:t>”</w:t>
      </w:r>
      <w:r>
        <w:rPr/>
        <w:t>提供有效的解决方案。此外，</w:t>
      </w:r>
      <w:r>
        <w:rPr>
          <w:spacing w:val="-67"/>
        </w:rPr>
        <w:t> </w:t>
      </w:r>
      <w:r>
        <w:rPr>
          <w:spacing w:val="-67"/>
        </w:rPr>
      </w:r>
      <w:r>
        <w:rPr/>
        <w:t>随着城镇化率的持续提升，我国新型城镇化建设将得到大范围开展，智慧交通是新型城镇化建设和</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建设的必然需要，受到政策的大力支持。这在很大程度上拓展了行业的市场空间，为其实现快速发展提供了有利条件。从总</w:t>
      </w:r>
      <w:r>
        <w:rPr>
          <w:spacing w:val="-66"/>
        </w:rPr>
        <w:t> </w:t>
      </w:r>
      <w:r>
        <w:rPr>
          <w:spacing w:val="-66"/>
        </w:rPr>
      </w:r>
      <w:r>
        <w:rPr>
          <w:spacing w:val="-2"/>
        </w:rPr>
        <w:t>体上看，由于汽车使用城市道路以及停车场的频率要高于使用高速公路，其带来的巨大市场需求将为行业带来难得的发展机</w:t>
      </w:r>
      <w:r>
        <w:rPr>
          <w:spacing w:val="-64"/>
        </w:rPr>
        <w:t> </w:t>
      </w:r>
      <w:r>
        <w:rPr>
          <w:spacing w:val="-64"/>
        </w:rPr>
      </w:r>
      <w:r>
        <w:rPr/>
        <w:t>遇和广阔的发展空间。</w:t>
      </w:r>
    </w:p>
    <w:p>
      <w:pPr>
        <w:spacing w:line="338" w:lineRule="auto" w:before="64"/>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）科技进步与创新促进带动产业升级</w:t>
      </w:r>
      <w:r>
        <w:rPr>
          <w:rFonts w:ascii="宋体" w:hAnsi="宋体" w:cs="宋体" w:eastAsia="宋体" w:hint="default"/>
          <w:b/>
          <w:bCs/>
          <w:w w:val="99"/>
          <w:sz w:val="18"/>
          <w:szCs w:val="18"/>
        </w:rPr>
        <w:t> </w:t>
      </w:r>
      <w:r>
        <w:rPr>
          <w:rFonts w:ascii="宋体" w:hAnsi="宋体" w:cs="宋体" w:eastAsia="宋体" w:hint="default"/>
          <w:spacing w:val="-2"/>
          <w:sz w:val="18"/>
          <w:szCs w:val="18"/>
        </w:rPr>
        <w:t>首先，伴随信息技术、通讯技术、交通管理及其他相关等学科知识和技术的积累和应用，智慧交通与各种新技术的结合</w:t>
      </w:r>
    </w:p>
    <w:p>
      <w:pPr>
        <w:pStyle w:val="BodyText"/>
        <w:spacing w:line="319" w:lineRule="auto" w:before="2"/>
        <w:ind w:right="1130"/>
        <w:jc w:val="both"/>
      </w:pPr>
      <w:r>
        <w:rPr>
          <w:spacing w:val="-2"/>
        </w:rPr>
        <w:t>愈加紧密，产生出多项具有显著社会和经济效益的产品。与此同时，科技进步带来相关产品市场价格不断降低，使智慧交通</w:t>
      </w:r>
      <w:r>
        <w:rPr>
          <w:spacing w:val="-66"/>
        </w:rPr>
        <w:t> </w:t>
      </w:r>
      <w:r>
        <w:rPr>
          <w:spacing w:val="-66"/>
        </w:rPr>
      </w:r>
      <w:r>
        <w:rPr>
          <w:spacing w:val="-2"/>
        </w:rPr>
        <w:t>产品的用户使用成本不断下降，更进一步加快了产品的市场普及率，以及行业内产品升级换代的节奏。最后，受益于不断延</w:t>
      </w:r>
      <w:r>
        <w:rPr>
          <w:spacing w:val="-66"/>
        </w:rPr>
        <w:t> </w:t>
      </w:r>
      <w:r>
        <w:rPr>
          <w:spacing w:val="-66"/>
        </w:rPr>
      </w:r>
      <w:r>
        <w:rPr/>
        <w:t>伸和扩展的新技术应用，智慧交通行业将长期处于高速发展阶段。科技进步将促进智慧交通行业产品的应用进一步深化。</w:t>
      </w:r>
    </w:p>
    <w:p>
      <w:pPr>
        <w:pStyle w:val="BodyText"/>
        <w:spacing w:line="304" w:lineRule="auto" w:before="56"/>
        <w:ind w:right="1026" w:firstLine="360"/>
        <w:jc w:val="left"/>
      </w:pPr>
      <w:r>
        <w:rPr/>
        <w:t>例如，近年来，机器视觉及视频</w:t>
      </w:r>
      <w:r>
        <w:rPr>
          <w:spacing w:val="-47"/>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t>技术发展迅速，该技术也被应用于智慧交通领域，如车型检测、车脸识别、车牌识 别、车辆特征提取等。相对于传统射频识别技术，视频</w:t>
      </w:r>
      <w:r>
        <w:rPr>
          <w:spacing w:val="-45"/>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技术的识别成功率较低，受到光照、雾霾、环境的影响更大，但 是其也具有直观、细节丰富、应用场景广阔、无需用户端设备安装等优点。将视频</w:t>
      </w:r>
      <w:r>
        <w:rPr>
          <w:spacing w:val="-57"/>
        </w:rPr>
        <w:t> </w:t>
      </w:r>
      <w:r>
        <w:rPr>
          <w:rFonts w:ascii="Times New Roman" w:hAnsi="Times New Roman" w:cs="Times New Roman" w:eastAsia="Times New Roman" w:hint="default"/>
        </w:rPr>
        <w:t>AI</w:t>
      </w:r>
      <w:r>
        <w:rPr>
          <w:rFonts w:ascii="Times New Roman" w:hAnsi="Times New Roman" w:cs="Times New Roman" w:eastAsia="Times New Roman" w:hint="default"/>
          <w:spacing w:val="-13"/>
        </w:rPr>
        <w:t> </w:t>
      </w:r>
      <w:r>
        <w:rPr/>
        <w:t>与射频识别技术相融合，利用视频</w:t>
      </w:r>
      <w:r>
        <w:rPr>
          <w:spacing w:val="-58"/>
        </w:rPr>
        <w:t> </w:t>
      </w:r>
      <w:r>
        <w:rPr>
          <w:rFonts w:ascii="Times New Roman" w:hAnsi="Times New Roman" w:cs="Times New Roman" w:eastAsia="Times New Roman" w:hint="default"/>
        </w:rPr>
        <w:t>AI</w:t>
      </w:r>
      <w:r>
        <w:rPr>
          <w:rFonts w:ascii="Times New Roman" w:hAnsi="Times New Roman" w:cs="Times New Roman" w:eastAsia="Times New Roman" w:hint="default"/>
          <w:w w:val="99"/>
        </w:rPr>
        <w:t> </w:t>
      </w:r>
      <w:r>
        <w:rPr/>
        <w:t>辅助识别和视频取证的功能，能够大幅度提升车辆识别技术的功能和使用体验。将视频 </w:t>
      </w:r>
      <w:r>
        <w:rPr>
          <w:rFonts w:ascii="Times New Roman" w:hAnsi="Times New Roman" w:cs="Times New Roman" w:eastAsia="Times New Roman" w:hint="default"/>
        </w:rPr>
        <w:t>AI</w:t>
      </w:r>
      <w:r>
        <w:rPr>
          <w:rFonts w:ascii="Times New Roman" w:hAnsi="Times New Roman" w:cs="Times New Roman" w:eastAsia="Times New Roman" w:hint="default"/>
          <w:spacing w:val="42"/>
        </w:rPr>
        <w:t> </w:t>
      </w:r>
      <w:r>
        <w:rPr/>
        <w:t>应用于产品中，将会带动产品、 </w:t>
      </w:r>
      <w:r>
        <w:rPr>
          <w:spacing w:val="-2"/>
        </w:rPr>
        <w:t>解决方案、行业信息化水平和管理模式升级，并为交通管理服务人员，提供更好的应用体验。公司的一些前沿产品已经集成</w:t>
      </w:r>
      <w:r>
        <w:rPr>
          <w:spacing w:val="-66"/>
        </w:rPr>
        <w:t> </w:t>
      </w:r>
      <w:r>
        <w:rPr>
          <w:spacing w:val="-66"/>
        </w:rPr>
      </w:r>
      <w:r>
        <w:rPr/>
        <w:t>了视频</w:t>
      </w:r>
      <w:r>
        <w:rPr>
          <w:spacing w:val="-46"/>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技术，并取得了较好的应用效果，如路内停车系统和第三代人工智能防逃费</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天线等。</w:t>
      </w:r>
    </w:p>
    <w:p>
      <w:pPr>
        <w:spacing w:line="338" w:lineRule="auto" w:before="48"/>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）电动汽车智能化和无人驾驶的历史机遇</w:t>
      </w:r>
      <w:r>
        <w:rPr>
          <w:rFonts w:ascii="宋体" w:hAnsi="宋体" w:cs="宋体" w:eastAsia="宋体" w:hint="default"/>
          <w:b/>
          <w:bCs/>
          <w:w w:val="99"/>
          <w:sz w:val="18"/>
          <w:szCs w:val="18"/>
        </w:rPr>
        <w:t> </w:t>
      </w:r>
      <w:r>
        <w:rPr>
          <w:rFonts w:ascii="宋体" w:hAnsi="宋体" w:cs="宋体" w:eastAsia="宋体" w:hint="default"/>
          <w:spacing w:val="-2"/>
          <w:sz w:val="18"/>
          <w:szCs w:val="18"/>
        </w:rPr>
        <w:t>新能源汽车特别是电动汽车已经成为各国汽车产业发展的重要战略，这是一个全新的领域，也是技术创新和飞速发展的</w:t>
      </w:r>
    </w:p>
    <w:p>
      <w:pPr>
        <w:pStyle w:val="BodyText"/>
        <w:spacing w:line="314" w:lineRule="auto" w:before="2"/>
        <w:ind w:left="154" w:right="1032"/>
        <w:jc w:val="left"/>
      </w:pPr>
      <w:r>
        <w:rPr>
          <w:spacing w:val="-2"/>
        </w:rPr>
        <w:t>领域。随着电动汽车的进一步普及，智能化、互联网化和共享化将成为电动汽车发展的必然趋势。同时，无人驾驶也是近年</w:t>
      </w:r>
      <w:r>
        <w:rPr>
          <w:spacing w:val="-66"/>
        </w:rPr>
        <w:t> </w:t>
      </w:r>
      <w:r>
        <w:rPr>
          <w:spacing w:val="-66"/>
        </w:rPr>
      </w:r>
      <w:r>
        <w:rPr/>
        <w:t>来公司持续关注的领域，而无人驾驶技术又与激光雷达、微波雷达、机器视觉、人工智能算法、增强现实等技术紧密相连。</w:t>
      </w:r>
      <w:r>
        <w:rPr>
          <w:spacing w:val="-85"/>
        </w:rPr>
        <w:t> </w:t>
      </w:r>
      <w:r>
        <w:rPr>
          <w:spacing w:val="-85"/>
        </w:rPr>
      </w:r>
      <w:r>
        <w:rPr/>
        <w:t>公司从数年前就开始布局汽车电子业务，开展相关领域的研究，到现在已经有了一系列成熟的产品，如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前装产品、智 </w:t>
      </w:r>
      <w:r>
        <w:rPr>
          <w:spacing w:val="-2"/>
        </w:rPr>
        <w:t>能网联、车路协同产品等等，并建立了完备的业务渠道。同时，公司在射频领域扎根很深，也在积极布局车载微波雷达核心</w:t>
      </w:r>
      <w:r>
        <w:rPr>
          <w:spacing w:val="-66"/>
        </w:rPr>
        <w:t> </w:t>
      </w:r>
      <w:r>
        <w:rPr>
          <w:spacing w:val="-66"/>
        </w:rPr>
      </w:r>
      <w:r>
        <w:rPr>
          <w:spacing w:val="-2"/>
        </w:rPr>
        <w:t>设备、传感器数据融合算法、基于车路协同的驾驶辅助等方向，为无人驾驶产品国产化，提供更好的选择。公司的汽车电子</w:t>
      </w:r>
      <w:r>
        <w:rPr>
          <w:spacing w:val="-66"/>
        </w:rPr>
        <w:t> </w:t>
      </w:r>
      <w:r>
        <w:rPr>
          <w:spacing w:val="-66"/>
        </w:rPr>
      </w:r>
      <w:r>
        <w:rPr/>
        <w:t>产品，必将跟随电动汽车智能化的浪潮，达到新的发展高度。</w:t>
      </w:r>
    </w:p>
    <w:p>
      <w:pPr>
        <w:pStyle w:val="Heading4"/>
        <w:spacing w:line="240" w:lineRule="auto" w:before="61"/>
        <w:ind w:right="1235"/>
        <w:jc w:val="left"/>
        <w:rPr>
          <w:b w:val="0"/>
          <w:bCs w:val="0"/>
        </w:rPr>
      </w:pPr>
      <w:r>
        <w:rPr>
          <w:rFonts w:ascii="Times New Roman" w:hAnsi="Times New Roman" w:cs="Times New Roman" w:eastAsia="Times New Roman" w:hint="default"/>
        </w:rPr>
        <w:t>2</w:t>
      </w:r>
      <w:r>
        <w:rPr/>
        <w:t>、制约因素</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307" w:lineRule="auto" w:before="44"/>
        <w:ind w:right="1030" w:firstLine="360"/>
        <w:jc w:val="left"/>
      </w:pPr>
      <w:r>
        <w:rPr/>
        <w:t>随着</w:t>
      </w:r>
      <w:r>
        <w:rPr>
          <w:spacing w:val="-53"/>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全国联网，以及</w:t>
      </w:r>
      <w:r>
        <w:rPr>
          <w:spacing w:val="-53"/>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大力拓展在城市车生活场景的使用范围、如停车、加油、消费等等，以车辆识别和移动 电子支付为核心特性的</w:t>
      </w:r>
      <w:r>
        <w:rPr>
          <w:spacing w:val="-43"/>
        </w:rPr>
        <w:t> </w:t>
      </w:r>
      <w:r>
        <w:rPr>
          <w:rFonts w:ascii="Times New Roman" w:hAnsi="Times New Roman" w:cs="Times New Roman" w:eastAsia="Times New Roman" w:hint="default"/>
        </w:rPr>
        <w:t>ETC </w:t>
      </w:r>
      <w:r>
        <w:rPr/>
        <w:t>技术，将结合移动互联、云计算与大数据等，构建一个基于</w:t>
      </w:r>
      <w:r>
        <w:rPr>
          <w:rFonts w:ascii="Times New Roman" w:hAnsi="Times New Roman" w:cs="Times New Roman" w:eastAsia="Times New Roman" w:hint="default"/>
        </w:rPr>
        <w:t>“ETC+</w:t>
      </w:r>
      <w:r>
        <w:rPr/>
        <w:t>互联网</w:t>
      </w:r>
      <w:r>
        <w:rPr>
          <w:rFonts w:ascii="Times New Roman" w:hAnsi="Times New Roman" w:cs="Times New Roman" w:eastAsia="Times New Roman" w:hint="default"/>
        </w:rPr>
        <w:t>”</w:t>
      </w:r>
      <w:r>
        <w:rPr/>
        <w:t>的智慧交通</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创新 应用环境。未来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spacing w:val="-2"/>
        </w:rPr>
        <w:t>的发展方向，包括实现车内支付、</w:t>
      </w:r>
      <w:r>
        <w:rPr>
          <w:rFonts w:ascii="Times New Roman" w:hAnsi="Times New Roman" w:cs="Times New Roman" w:eastAsia="Times New Roman" w:hint="default"/>
          <w:spacing w:val="-2"/>
        </w:rPr>
        <w:t>ETC+</w:t>
      </w:r>
      <w:r>
        <w:rPr>
          <w:spacing w:val="-2"/>
        </w:rPr>
        <w:t>车联网、</w:t>
      </w:r>
      <w:r>
        <w:rPr>
          <w:rFonts w:ascii="Times New Roman" w:hAnsi="Times New Roman" w:cs="Times New Roman" w:eastAsia="Times New Roman" w:hint="default"/>
          <w:spacing w:val="-2"/>
        </w:rPr>
        <w:t>ETC+</w:t>
      </w:r>
      <w:r>
        <w:rPr>
          <w:spacing w:val="-2"/>
        </w:rPr>
        <w:t>移动支付、城市路内停车、无人值守停车场）、</w:t>
      </w:r>
      <w:r>
        <w:rPr/>
        <w:t> </w:t>
      </w:r>
      <w:r>
        <w:rPr>
          <w:spacing w:val="-2"/>
        </w:rPr>
        <w:t>大城市拥堵调节收费、路桥收费、场站管理以及基础交通信息采集和延伸等一系列交通信息服务；在交通管理领域，随着国</w:t>
      </w:r>
      <w:r>
        <w:rPr>
          <w:spacing w:val="-66"/>
        </w:rPr>
        <w:t> </w:t>
      </w:r>
      <w:r>
        <w:rPr>
          <w:spacing w:val="-66"/>
        </w:rPr>
      </w:r>
      <w:r>
        <w:rPr>
          <w:spacing w:val="-2"/>
        </w:rPr>
        <w:t>家标准颁布，汽车电子标识将逐渐走向实际使用；在前沿交通领域，车路协同、智慧公路感知、传输，和控制技术将为行车</w:t>
      </w:r>
      <w:r>
        <w:rPr>
          <w:spacing w:val="-68"/>
        </w:rPr>
        <w:t> </w:t>
      </w:r>
      <w:r>
        <w:rPr>
          <w:spacing w:val="-68"/>
        </w:rPr>
      </w:r>
      <w:r>
        <w:rPr/>
        <w:t>安全、道路效率提升、交通设施智能化提供坚实的技术基础。</w:t>
      </w:r>
    </w:p>
    <w:p>
      <w:pPr>
        <w:pStyle w:val="BodyText"/>
        <w:spacing w:line="314" w:lineRule="auto" w:before="64"/>
        <w:ind w:left="154" w:right="1032" w:firstLine="360"/>
        <w:jc w:val="left"/>
      </w:pPr>
      <w:r>
        <w:rPr/>
        <w:t>虽然智慧交通身份识别与电子支付行业有着广阔的发展前景，但目前城市路内停车、无人值守停车场、拥堵调节收费、 </w:t>
      </w:r>
      <w:r>
        <w:rPr>
          <w:spacing w:val="-2"/>
        </w:rPr>
        <w:t>路桥收费、汽车电子标识、车路协同等产品，尚缺乏典型成功案例。市场对新技术新产品的接受程度不高，商业模式尚未成</w:t>
      </w:r>
      <w:r>
        <w:rPr>
          <w:spacing w:val="-66"/>
        </w:rPr>
        <w:t> </w:t>
      </w:r>
      <w:r>
        <w:rPr>
          <w:spacing w:val="-66"/>
        </w:rPr>
      </w:r>
      <w:r>
        <w:rPr>
          <w:spacing w:val="-2"/>
        </w:rPr>
        <w:t>熟，关键应用场景有待挖掘，同时，有些新技术还需经过大规模验证才能最终推向市场。这些问题是制约上述技术和产品大</w:t>
      </w:r>
      <w:r>
        <w:rPr>
          <w:spacing w:val="-66"/>
        </w:rPr>
        <w:t> </w:t>
      </w:r>
      <w:r>
        <w:rPr>
          <w:spacing w:val="-66"/>
        </w:rPr>
      </w:r>
      <w:r>
        <w:rPr/>
        <w:t>规模推广应用的重要原因。不过，这些问题是绝大多数新产品和新技术推广都必然面对的，我们相信，随着国家</w:t>
      </w:r>
      <w:r>
        <w:rPr>
          <w:rFonts w:ascii="Times New Roman" w:hAnsi="Times New Roman" w:cs="Times New Roman" w:eastAsia="Times New Roman" w:hint="default"/>
        </w:rPr>
        <w:t>“</w:t>
      </w:r>
      <w:r>
        <w:rPr/>
        <w:t>交通强国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战略的持续推进，和智慧交通应用的持续推广，这些制约因素最终都将被克服。</w:t>
      </w:r>
    </w:p>
    <w:p>
      <w:pPr>
        <w:pStyle w:val="Heading4"/>
        <w:spacing w:line="240" w:lineRule="auto" w:before="61"/>
        <w:ind w:left="513" w:right="1235"/>
        <w:jc w:val="left"/>
        <w:rPr>
          <w:b w:val="0"/>
          <w:bCs w:val="0"/>
        </w:rPr>
      </w:pPr>
      <w:r>
        <w:rPr/>
        <w:t>（五）公司所处行业发展阶段、周期性特点以及公司所处的行业地位</w:t>
      </w:r>
      <w:r>
        <w:rPr>
          <w:b w:val="0"/>
          <w:bCs w:val="0"/>
        </w:rPr>
      </w:r>
    </w:p>
    <w:p>
      <w:pPr>
        <w:spacing w:line="338" w:lineRule="auto" w:before="11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、公司所处的行业发展阶段</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智慧交通系统通过信息化的手段有效地对交通参与者进行管理，提高了城市交通管理与交通服务水平。我国目前对智慧</w:t>
      </w:r>
    </w:p>
    <w:p>
      <w:pPr>
        <w:pStyle w:val="BodyText"/>
        <w:spacing w:line="309" w:lineRule="auto" w:before="2"/>
        <w:ind w:right="1033"/>
        <w:jc w:val="left"/>
      </w:pPr>
      <w:r>
        <w:rPr>
          <w:spacing w:val="-2"/>
        </w:rPr>
        <w:t>交通技术的研究尚处于初级阶段，随着社会经济的发展，汽车保有量迅速增加，拥堵、交通事故、以及汽车尾气造成的环境</w:t>
      </w:r>
      <w:r>
        <w:rPr>
          <w:spacing w:val="-66"/>
        </w:rPr>
        <w:t> </w:t>
      </w:r>
      <w:r>
        <w:rPr>
          <w:spacing w:val="-66"/>
        </w:rPr>
      </w:r>
      <w:r>
        <w:rPr/>
        <w:t>污染已经成为了社会、交通管理部门以及道路运营商亟待解决的问题。近年来，国家对交通运输的关注程度也在逐渐升温，</w:t>
      </w:r>
      <w:r>
        <w:rPr>
          <w:spacing w:val="-85"/>
        </w:rPr>
        <w:t> </w:t>
      </w:r>
      <w:r>
        <w:rPr>
          <w:spacing w:val="-85"/>
        </w:rPr>
      </w:r>
      <w:r>
        <w:rPr>
          <w:spacing w:val="-4"/>
        </w:rPr>
        <w:t>如</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交通运输</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新一代国家交通控制网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智慧公路</w:t>
      </w:r>
      <w:r>
        <w:rPr>
          <w:rFonts w:ascii="Times New Roman" w:hAnsi="Times New Roman" w:cs="Times New Roman" w:eastAsia="Times New Roman" w:hint="default"/>
          <w:spacing w:val="-4"/>
        </w:rPr>
        <w:t>”</w:t>
      </w:r>
      <w:r>
        <w:rPr>
          <w:spacing w:val="-4"/>
        </w:rPr>
        <w:t>都已成为行业发展和研究的热词。如何解决公路管理过程中</w:t>
      </w:r>
      <w:r>
        <w:rPr>
          <w:rFonts w:ascii="Times New Roman" w:hAnsi="Times New Roman" w:cs="Times New Roman" w:eastAsia="Times New Roman" w:hint="default"/>
          <w:spacing w:val="-4"/>
        </w:rPr>
        <w:t>“</w:t>
      </w:r>
      <w:r>
        <w:rPr>
          <w:spacing w:val="-4"/>
        </w:rPr>
        <w:t>可</w:t>
      </w:r>
      <w:r>
        <w:rPr>
          <w:spacing w:val="-62"/>
        </w:rPr>
        <w:t> </w:t>
      </w:r>
      <w:r>
        <w:rPr>
          <w:spacing w:val="-3"/>
        </w:rPr>
        <w:t>视、可测、可控、可服务</w:t>
      </w:r>
      <w:r>
        <w:rPr>
          <w:rFonts w:ascii="Times New Roman" w:hAnsi="Times New Roman" w:cs="Times New Roman" w:eastAsia="Times New Roman" w:hint="default"/>
          <w:spacing w:val="-3"/>
        </w:rPr>
        <w:t>”</w:t>
      </w:r>
      <w:r>
        <w:rPr>
          <w:spacing w:val="-3"/>
        </w:rPr>
        <w:t>的难题，并且将公路从</w:t>
      </w:r>
      <w:r>
        <w:rPr>
          <w:rFonts w:ascii="Times New Roman" w:hAnsi="Times New Roman" w:cs="Times New Roman" w:eastAsia="Times New Roman" w:hint="default"/>
          <w:spacing w:val="-3"/>
        </w:rPr>
        <w:t>“</w:t>
      </w:r>
      <w:r>
        <w:rPr>
          <w:spacing w:val="-3"/>
        </w:rPr>
        <w:t>钢筋水泥的基础设施</w:t>
      </w:r>
      <w:r>
        <w:rPr>
          <w:rFonts w:ascii="Times New Roman" w:hAnsi="Times New Roman" w:cs="Times New Roman" w:eastAsia="Times New Roman" w:hint="default"/>
          <w:spacing w:val="-3"/>
        </w:rPr>
        <w:t>”</w:t>
      </w:r>
      <w:r>
        <w:rPr>
          <w:spacing w:val="-3"/>
        </w:rPr>
        <w:t>，变成</w:t>
      </w:r>
      <w:r>
        <w:rPr>
          <w:rFonts w:ascii="Times New Roman" w:hAnsi="Times New Roman" w:cs="Times New Roman" w:eastAsia="Times New Roman" w:hint="default"/>
          <w:spacing w:val="-3"/>
        </w:rPr>
        <w:t>“</w:t>
      </w:r>
      <w:r>
        <w:rPr>
          <w:spacing w:val="-3"/>
        </w:rPr>
        <w:t>有感觉、能思考、会说话</w:t>
      </w:r>
      <w:r>
        <w:rPr>
          <w:rFonts w:ascii="Times New Roman" w:hAnsi="Times New Roman" w:cs="Times New Roman" w:eastAsia="Times New Roman" w:hint="default"/>
          <w:spacing w:val="-3"/>
        </w:rPr>
        <w:t>”</w:t>
      </w:r>
      <w:r>
        <w:rPr>
          <w:spacing w:val="-3"/>
        </w:rPr>
        <w:t>的信息服务载体，</w:t>
      </w:r>
      <w:r>
        <w:rPr>
          <w:spacing w:val="-44"/>
        </w:rPr>
        <w:t> </w:t>
      </w:r>
      <w:r>
        <w:rPr/>
        <w:t>如何为无人驾驶提供智慧的基础设施，都是交通管理服务部门和行业从业公司面临的共同挑战，也是在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期间，需要 </w:t>
      </w:r>
      <w:r>
        <w:rPr>
          <w:spacing w:val="-2"/>
        </w:rPr>
        <w:t>全力解决的问题。目前，全行业正着眼于这个目标，积极开展公路智慧化升级，将行业的发展水平，带到更先进的领域。从</w:t>
      </w:r>
      <w:r>
        <w:rPr>
          <w:spacing w:val="-68"/>
        </w:rPr>
        <w:t> </w:t>
      </w:r>
      <w:r>
        <w:rPr>
          <w:spacing w:val="-68"/>
        </w:rPr>
      </w:r>
      <w:r>
        <w:rPr/>
        <w:t>长远来看，中国的智慧交通系统具有广阔的发展前景，将在交通运输的各个行业和环节得到广泛应用。</w:t>
      </w:r>
    </w:p>
    <w:p>
      <w:pPr>
        <w:pStyle w:val="BodyText"/>
        <w:spacing w:line="319" w:lineRule="auto" w:before="64"/>
        <w:ind w:right="0" w:firstLine="360"/>
        <w:jc w:val="left"/>
      </w:pPr>
      <w:r>
        <w:rPr>
          <w:spacing w:val="-4"/>
        </w:rPr>
        <w:t>车辆身份识别与电子支付行业是智慧交通的细分行业，车辆身份识别与电子支付类产品在缓解交通拥堵、减少交通事故、</w:t>
      </w:r>
      <w:r>
        <w:rPr/>
        <w:t> 降低环境污染的过程中发挥着重要的作用，具有顽强的生命力和广阔的市场发展空间。</w:t>
      </w:r>
    </w:p>
    <w:p>
      <w:pPr>
        <w:pStyle w:val="BodyText"/>
        <w:spacing w:line="300" w:lineRule="auto" w:before="55"/>
        <w:ind w:right="1129" w:firstLine="360"/>
        <w:jc w:val="both"/>
      </w:pPr>
      <w:r>
        <w:rPr>
          <w:spacing w:val="-4"/>
        </w:rPr>
        <w:t>其中，电子支付行业的发展，已经完成</w:t>
      </w:r>
      <w:r>
        <w:rPr>
          <w:spacing w:val="-44"/>
        </w:rPr>
        <w:t> </w:t>
      </w:r>
      <w:r>
        <w:rPr>
          <w:rFonts w:ascii="Times New Roman" w:hAnsi="Times New Roman" w:cs="Times New Roman" w:eastAsia="Times New Roman" w:hint="default"/>
        </w:rPr>
        <w:t>ETC1.0</w:t>
      </w:r>
      <w:r>
        <w:rPr>
          <w:rFonts w:ascii="Times New Roman" w:hAnsi="Times New Roman" w:cs="Times New Roman" w:eastAsia="Times New Roman" w:hint="default"/>
          <w:spacing w:val="2"/>
        </w:rPr>
        <w:t> </w:t>
      </w:r>
      <w:r>
        <w:rPr/>
        <w:t>到</w:t>
      </w:r>
      <w:r>
        <w:rPr>
          <w:spacing w:val="-44"/>
        </w:rPr>
        <w:t> </w:t>
      </w:r>
      <w:r>
        <w:rPr>
          <w:rFonts w:ascii="Times New Roman" w:hAnsi="Times New Roman" w:cs="Times New Roman" w:eastAsia="Times New Roman" w:hint="default"/>
          <w:spacing w:val="-3"/>
        </w:rPr>
        <w:t>ETC+</w:t>
      </w:r>
      <w:r>
        <w:rPr>
          <w:spacing w:val="-3"/>
        </w:rPr>
        <w:t>阶段的演变。通过</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3"/>
        </w:rPr>
        <w:t>年全国联网，</w:t>
      </w:r>
      <w:r>
        <w:rPr>
          <w:rFonts w:ascii="Times New Roman" w:hAnsi="Times New Roman" w:cs="Times New Roman" w:eastAsia="Times New Roman" w:hint="default"/>
          <w:spacing w:val="-3"/>
        </w:rPr>
        <w:t>ETC1.0</w:t>
      </w:r>
      <w:r>
        <w:rPr>
          <w:rFonts w:ascii="Times New Roman" w:hAnsi="Times New Roman" w:cs="Times New Roman" w:eastAsia="Times New Roman" w:hint="default"/>
          <w:spacing w:val="1"/>
        </w:rPr>
        <w:t> </w:t>
      </w:r>
      <w:r>
        <w:rPr/>
        <w:t>的目标已经实现。 目前，</w:t>
      </w:r>
      <w:r>
        <w:rPr>
          <w:rFonts w:ascii="Times New Roman" w:hAnsi="Times New Roman" w:cs="Times New Roman" w:eastAsia="Times New Roman" w:hint="default"/>
        </w:rPr>
        <w:t>ETC </w:t>
      </w:r>
      <w:r>
        <w:rPr/>
        <w:t>正处于 </w:t>
      </w:r>
      <w:r>
        <w:rPr>
          <w:rFonts w:ascii="Times New Roman" w:hAnsi="Times New Roman" w:cs="Times New Roman" w:eastAsia="Times New Roman" w:hint="default"/>
        </w:rPr>
        <w:t>ETC+</w:t>
      </w:r>
      <w:r>
        <w:rPr/>
        <w:t>阶段。在这个时期，</w:t>
      </w:r>
      <w:r>
        <w:rPr>
          <w:rFonts w:ascii="Times New Roman" w:hAnsi="Times New Roman" w:cs="Times New Roman" w:eastAsia="Times New Roman" w:hint="default"/>
        </w:rPr>
        <w:t>ETC+</w:t>
      </w:r>
      <w:r>
        <w:rPr/>
        <w:t>功能、</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服务是工作的重点。其中，公司为应对</w:t>
      </w:r>
      <w:r>
        <w:rPr>
          <w:spacing w:val="-22"/>
        </w:rPr>
        <w:t> </w:t>
      </w:r>
      <w:r>
        <w:rPr>
          <w:rFonts w:ascii="Times New Roman" w:hAnsi="Times New Roman" w:cs="Times New Roman" w:eastAsia="Times New Roman" w:hint="default"/>
        </w:rPr>
        <w:t>ETC+</w:t>
      </w:r>
      <w:r>
        <w:rPr/>
        <w:t>功能，成 功在市场推出 </w:t>
      </w:r>
      <w:r>
        <w:rPr>
          <w:rFonts w:ascii="Times New Roman" w:hAnsi="Times New Roman" w:cs="Times New Roman" w:eastAsia="Times New Roman" w:hint="default"/>
        </w:rPr>
        <w:t>4G </w:t>
      </w:r>
      <w:r>
        <w:rPr/>
        <w:t>智能</w:t>
      </w:r>
      <w:r>
        <w:rPr>
          <w:spacing w:val="-71"/>
        </w:rPr>
        <w:t> </w:t>
      </w:r>
      <w:r>
        <w:rPr>
          <w:rFonts w:ascii="Times New Roman" w:hAnsi="Times New Roman" w:cs="Times New Roman" w:eastAsia="Times New Roman" w:hint="default"/>
        </w:rPr>
        <w:t>ETC+</w:t>
      </w:r>
      <w:r>
        <w:rPr/>
        <w:t>行车记录仪的集成产品，通过功能集成和运营用户，并通过引入银行和移动运营商进行用户补 </w:t>
      </w:r>
      <w:r>
        <w:rPr>
          <w:spacing w:val="-3"/>
        </w:rPr>
        <w:t>贴，创造了全新的商业模式，取得了极好的市场反响；为应对</w:t>
      </w:r>
      <w:r>
        <w:rPr>
          <w:spacing w:val="-34"/>
        </w:rPr>
        <w:t> </w:t>
      </w:r>
      <w:r>
        <w:rPr>
          <w:rFonts w:ascii="Times New Roman" w:hAnsi="Times New Roman" w:cs="Times New Roman" w:eastAsia="Times New Roman" w:hint="default"/>
          <w:spacing w:val="-3"/>
        </w:rPr>
        <w:t>ETC+</w:t>
      </w:r>
      <w:r>
        <w:rPr>
          <w:spacing w:val="-3"/>
        </w:rPr>
        <w:t>应用，公司配合国家政策，积极推广</w:t>
      </w:r>
      <w:r>
        <w:rPr>
          <w:spacing w:val="-3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无人停车场、</w:t>
      </w:r>
      <w:r>
        <w:rPr>
          <w:spacing w:val="-86"/>
        </w:rPr>
        <w:t> </w:t>
      </w:r>
      <w:r>
        <w:rPr>
          <w:rFonts w:ascii="Times New Roman" w:hAnsi="Times New Roman" w:cs="Times New Roman" w:eastAsia="Times New Roman" w:hint="default"/>
        </w:rPr>
        <w:t>ETC</w:t>
      </w:r>
      <w:r>
        <w:rPr>
          <w:rFonts w:ascii="Times New Roman" w:hAnsi="Times New Roman" w:cs="Times New Roman" w:eastAsia="Times New Roman" w:hint="default"/>
          <w:spacing w:val="-20"/>
        </w:rPr>
        <w:t> </w:t>
      </w:r>
      <w:r>
        <w:rPr>
          <w:spacing w:val="-3"/>
        </w:rPr>
        <w:t>路内停车方案、</w:t>
      </w:r>
      <w:r>
        <w:rPr>
          <w:rFonts w:ascii="Times New Roman" w:hAnsi="Times New Roman" w:cs="Times New Roman" w:eastAsia="Times New Roman" w:hint="default"/>
          <w:spacing w:val="-3"/>
        </w:rPr>
        <w:t>ETC</w:t>
      </w:r>
      <w:r>
        <w:rPr>
          <w:rFonts w:ascii="Times New Roman" w:hAnsi="Times New Roman" w:cs="Times New Roman" w:eastAsia="Times New Roman" w:hint="default"/>
          <w:spacing w:val="-20"/>
        </w:rPr>
        <w:t> </w:t>
      </w:r>
      <w:r>
        <w:rPr/>
        <w:t>加油方案等产品；为应对</w:t>
      </w:r>
      <w:r>
        <w:rPr>
          <w:spacing w:val="-65"/>
        </w:rPr>
        <w:t> </w:t>
      </w:r>
      <w:r>
        <w:rPr>
          <w:rFonts w:ascii="Times New Roman" w:hAnsi="Times New Roman" w:cs="Times New Roman" w:eastAsia="Times New Roman" w:hint="default"/>
        </w:rPr>
        <w:t>ETC+</w:t>
      </w:r>
      <w:r>
        <w:rPr/>
        <w:t>服务，公司配合各地交通管理部门，试点</w:t>
      </w:r>
      <w:r>
        <w:rPr>
          <w:spacing w:val="-65"/>
        </w:rPr>
        <w:t> </w:t>
      </w:r>
      <w:r>
        <w:rPr>
          <w:rFonts w:ascii="Times New Roman" w:hAnsi="Times New Roman" w:cs="Times New Roman" w:eastAsia="Times New Roman" w:hint="default"/>
        </w:rPr>
        <w:t>ETC+</w:t>
      </w:r>
      <w:r>
        <w:rPr/>
        <w:t>微信云充值，</w:t>
      </w:r>
      <w:r>
        <w:rPr>
          <w:rFonts w:ascii="Times New Roman" w:hAnsi="Times New Roman" w:cs="Times New Roman" w:eastAsia="Times New Roman" w:hint="default"/>
        </w:rPr>
        <w:t>ETC+ </w:t>
      </w:r>
      <w:r>
        <w:rPr/>
        <w:t>电子支付，</w:t>
      </w:r>
      <w:r>
        <w:rPr>
          <w:rFonts w:ascii="Times New Roman" w:hAnsi="Times New Roman" w:cs="Times New Roman" w:eastAsia="Times New Roman" w:hint="default"/>
        </w:rPr>
        <w:t>ETC+</w:t>
      </w:r>
      <w:r>
        <w:rPr/>
        <w:t>电子发票，通过服务方式升级，为用户提供更方便的体验。</w:t>
      </w:r>
    </w:p>
    <w:p>
      <w:pPr>
        <w:pStyle w:val="BodyText"/>
        <w:spacing w:line="302" w:lineRule="auto" w:before="51"/>
        <w:ind w:right="1027" w:firstLine="360"/>
        <w:jc w:val="left"/>
      </w:pPr>
      <w:r>
        <w:rPr>
          <w:rFonts w:ascii="Times New Roman" w:hAnsi="Times New Roman" w:cs="Times New Roman" w:eastAsia="Times New Roman" w:hint="default"/>
        </w:rPr>
        <w:t>ETC </w:t>
      </w:r>
      <w:r>
        <w:rPr/>
        <w:t>电子支付，从某种程度上可以看作一种最初形态的车路协同。</w:t>
      </w:r>
      <w:r>
        <w:rPr>
          <w:rFonts w:ascii="Times New Roman" w:hAnsi="Times New Roman" w:cs="Times New Roman" w:eastAsia="Times New Roman" w:hint="default"/>
        </w:rPr>
        <w:t>ETC </w:t>
      </w:r>
      <w:r>
        <w:rPr/>
        <w:t>的交互功能进一步演进，就是 </w:t>
      </w:r>
      <w:r>
        <w:rPr>
          <w:rFonts w:ascii="Times New Roman" w:hAnsi="Times New Roman" w:cs="Times New Roman" w:eastAsia="Times New Roman" w:hint="default"/>
        </w:rPr>
        <w:t>V2X</w:t>
      </w:r>
      <w:r>
        <w:rPr>
          <w:rFonts w:ascii="Times New Roman" w:hAnsi="Times New Roman" w:cs="Times New Roman" w:eastAsia="Times New Roman" w:hint="default"/>
          <w:spacing w:val="11"/>
        </w:rPr>
        <w:t> </w:t>
      </w:r>
      <w:r>
        <w:rPr/>
        <w:t>车路协同。 </w:t>
      </w:r>
      <w:r>
        <w:rPr>
          <w:spacing w:val="2"/>
        </w:rPr>
        <w:t>目前，车路协同的概念在中国方兴未艾，被认为是实现未来协作式无人驾驶的重要支撑技术。其底层通信技术（如</w:t>
      </w:r>
      <w:r>
        <w:rPr>
          <w:spacing w:val="20"/>
        </w:rPr>
        <w:t> </w:t>
      </w:r>
      <w:r>
        <w:rPr>
          <w:rFonts w:ascii="Arial" w:hAnsi="Arial" w:cs="Arial" w:eastAsia="Arial" w:hint="default"/>
        </w:rPr>
        <w:t>IEEE</w:t>
      </w:r>
      <w:r>
        <w:rPr>
          <w:rFonts w:ascii="Arial" w:hAnsi="Arial" w:cs="Arial" w:eastAsia="Arial" w:hint="default"/>
          <w:spacing w:val="-44"/>
        </w:rPr>
        <w:t> </w:t>
      </w:r>
      <w:r>
        <w:rPr>
          <w:rFonts w:ascii="Times New Roman" w:hAnsi="Times New Roman" w:cs="Times New Roman" w:eastAsia="Times New Roman" w:hint="default"/>
        </w:rPr>
        <w:t>802.11p</w:t>
      </w:r>
      <w:r>
        <w:rPr/>
        <w:t>（又称 </w:t>
      </w:r>
      <w:r>
        <w:rPr>
          <w:rFonts w:ascii="Times New Roman" w:hAnsi="Times New Roman" w:cs="Times New Roman" w:eastAsia="Times New Roman" w:hint="default"/>
          <w:spacing w:val="-5"/>
        </w:rPr>
        <w:t>WAVE,Wireless </w:t>
      </w:r>
      <w:r>
        <w:rPr>
          <w:rFonts w:ascii="Times New Roman" w:hAnsi="Times New Roman" w:cs="Times New Roman" w:eastAsia="Times New Roman" w:hint="default"/>
        </w:rPr>
        <w:t>Access in the </w:t>
      </w:r>
      <w:r>
        <w:rPr>
          <w:rFonts w:ascii="Times New Roman" w:hAnsi="Times New Roman" w:cs="Times New Roman" w:eastAsia="Times New Roman" w:hint="default"/>
          <w:spacing w:val="-3"/>
        </w:rPr>
        <w:t>Vehicular </w:t>
      </w:r>
      <w:r>
        <w:rPr>
          <w:rFonts w:ascii="Times New Roman" w:hAnsi="Times New Roman" w:cs="Times New Roman" w:eastAsia="Times New Roman" w:hint="default"/>
        </w:rPr>
        <w:t>Environment</w:t>
      </w:r>
      <w:r>
        <w:rPr/>
        <w:t>）和</w:t>
      </w:r>
      <w:r>
        <w:rPr>
          <w:spacing w:val="-58"/>
        </w:rPr>
        <w:t> </w:t>
      </w:r>
      <w:r>
        <w:rPr>
          <w:rFonts w:ascii="Times New Roman" w:hAnsi="Times New Roman" w:cs="Times New Roman" w:eastAsia="Times New Roman" w:hint="default"/>
        </w:rPr>
        <w:t>LTE-V2X</w:t>
      </w:r>
      <w:r>
        <w:rPr/>
        <w:t>）已经成熟，上层应用正在广泛探讨和验证 中，商业化推广应用正在开始。</w:t>
      </w:r>
    </w:p>
    <w:p>
      <w:pPr>
        <w:pStyle w:val="BodyText"/>
        <w:spacing w:line="319" w:lineRule="auto" w:before="69"/>
        <w:ind w:right="0" w:firstLine="360"/>
        <w:jc w:val="left"/>
      </w:pPr>
      <w:r>
        <w:rPr>
          <w:spacing w:val="-2"/>
        </w:rPr>
        <w:t>综上所述，无论是大的智慧交通产业，还是小的电子支付细分行业，目前都还处于蓬勃发展时期，未来将有广阔的市场</w:t>
      </w:r>
      <w:r>
        <w:rPr/>
        <w:t> 空间和用户需求。</w:t>
      </w:r>
    </w:p>
    <w:p>
      <w:pPr>
        <w:spacing w:line="338" w:lineRule="auto" w:before="5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、行业的周期性、季节性特征</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智慧交通身份识别与电子支付行业属于技术密集型产业，行业受地方政府对交通基础设施建设的影响，随宏观经济周期</w:t>
      </w:r>
    </w:p>
    <w:p>
      <w:pPr>
        <w:pStyle w:val="BodyText"/>
        <w:spacing w:line="319" w:lineRule="auto" w:before="2"/>
        <w:ind w:right="0"/>
        <w:jc w:val="left"/>
      </w:pPr>
      <w:r>
        <w:rPr>
          <w:spacing w:val="-2"/>
        </w:rPr>
        <w:t>波动而呈现一定的周期性变化。我国城市智慧交通行业正处于成长期，政府正加大投资力度建设城市交通基础设施，其市场</w:t>
      </w:r>
      <w:r>
        <w:rPr>
          <w:spacing w:val="-66"/>
        </w:rPr>
        <w:t> </w:t>
      </w:r>
      <w:r>
        <w:rPr>
          <w:spacing w:val="-66"/>
        </w:rPr>
      </w:r>
      <w:r>
        <w:rPr/>
        <w:t>规模正呈现高速增长趋势，行业将处于较长的景气周期中。</w:t>
      </w:r>
    </w:p>
    <w:p>
      <w:pPr>
        <w:pStyle w:val="BodyText"/>
        <w:spacing w:line="319" w:lineRule="auto" w:before="57"/>
        <w:ind w:left="154" w:right="1032" w:firstLine="360"/>
        <w:jc w:val="left"/>
      </w:pPr>
      <w:r>
        <w:rPr>
          <w:spacing w:val="-2"/>
        </w:rPr>
        <w:t>目前行业的主要客户为交通部门、高速公路管理局等类政府机构，这些用户通常有着严格的投资计划、资金安排、工期</w:t>
      </w:r>
      <w:r>
        <w:rPr/>
        <w:t> 安排等严格的管理流程，因此本行业存在一定的季节性特征。一般情况下，政府相关部门在上半年确定全年的规划、预算，</w:t>
      </w:r>
      <w:r>
        <w:rPr>
          <w:spacing w:val="-85"/>
        </w:rPr>
        <w:t> </w:t>
      </w:r>
      <w:r>
        <w:rPr>
          <w:spacing w:val="-85"/>
        </w:rPr>
      </w:r>
      <w:r>
        <w:rPr/>
        <w:t>并对项目进行建设规划和招投标工作，因而企业的产品生产、收入确认主要集中在下半年，尤其是第四季度。</w:t>
      </w:r>
    </w:p>
    <w:p>
      <w:pPr>
        <w:pStyle w:val="Heading4"/>
        <w:spacing w:line="240" w:lineRule="auto" w:before="56"/>
        <w:ind w:left="513" w:right="1235"/>
        <w:jc w:val="left"/>
        <w:rPr>
          <w:b w:val="0"/>
          <w:bCs w:val="0"/>
        </w:rPr>
      </w:pPr>
      <w:r>
        <w:rPr>
          <w:rFonts w:ascii="Times New Roman" w:hAnsi="Times New Roman" w:cs="Times New Roman" w:eastAsia="Times New Roman" w:hint="default"/>
        </w:rPr>
        <w:t>3</w:t>
      </w:r>
      <w:r>
        <w:rPr/>
        <w:t>、公司的行业地位</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1"/>
          <w:szCs w:val="21"/>
        </w:rPr>
      </w:pPr>
    </w:p>
    <w:p>
      <w:pPr>
        <w:pStyle w:val="BodyText"/>
        <w:spacing w:line="307" w:lineRule="auto" w:before="44"/>
        <w:ind w:right="1130" w:firstLine="360"/>
        <w:jc w:val="both"/>
      </w:pPr>
      <w:r>
        <w:rPr>
          <w:spacing w:val="-2"/>
        </w:rPr>
        <w:t>目前国内智慧交通行业的竞争格局主要呈现出</w:t>
      </w:r>
      <w:r>
        <w:rPr>
          <w:rFonts w:ascii="Times New Roman" w:hAnsi="Times New Roman" w:cs="Times New Roman" w:eastAsia="Times New Roman" w:hint="default"/>
          <w:spacing w:val="-2"/>
        </w:rPr>
        <w:t>“</w:t>
      </w:r>
      <w:r>
        <w:rPr>
          <w:spacing w:val="-2"/>
        </w:rPr>
        <w:t>市场集中度较高，少数几家优势企业占据行业内绝大部分市场份额</w:t>
      </w:r>
      <w:r>
        <w:rPr>
          <w:rFonts w:ascii="Times New Roman" w:hAnsi="Times New Roman" w:cs="Times New Roman" w:eastAsia="Times New Roman" w:hint="default"/>
          <w:spacing w:val="-2"/>
        </w:rPr>
        <w:t>”</w:t>
      </w:r>
      <w:r>
        <w:rPr>
          <w:spacing w:val="-2"/>
        </w:rPr>
        <w:t>的特</w:t>
      </w:r>
      <w:r>
        <w:rPr/>
        <w:t> 点。以高速公路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设备为例，由于该细分市场实行产品资质准入制，企业的产品只有通过交通运输部授权的交通部交通 工程监理检测中心检测后，才能参加各省市高速公路</w:t>
      </w:r>
      <w:r>
        <w:rPr>
          <w:spacing w:val="-54"/>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建设的招投标。在高速公路</w:t>
      </w:r>
      <w:r>
        <w:rPr>
          <w:spacing w:val="-5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spacing w:val="-3"/>
        </w:rPr>
        <w:t>应用领域，</w:t>
      </w:r>
      <w:r>
        <w:rPr>
          <w:rFonts w:ascii="Times New Roman" w:hAnsi="Times New Roman" w:cs="Times New Roman" w:eastAsia="Times New Roman" w:hint="default"/>
          <w:spacing w:val="-3"/>
        </w:rPr>
        <w:t>ETC</w:t>
      </w:r>
      <w:r>
        <w:rPr>
          <w:rFonts w:ascii="Times New Roman" w:hAnsi="Times New Roman" w:cs="Times New Roman" w:eastAsia="Times New Roman" w:hint="default"/>
          <w:spacing w:val="-10"/>
        </w:rPr>
        <w:t> </w:t>
      </w:r>
      <w:r>
        <w:rPr/>
        <w:t>产品一般由交通 </w:t>
      </w:r>
      <w:r>
        <w:rPr>
          <w:spacing w:val="-2"/>
        </w:rPr>
        <w:t>管理部门、各高速公路业主、系统集成商或银行等采购。因此，广泛的营销服务网络是项目拓展前期获取招标信息、维护客</w:t>
      </w:r>
      <w:r>
        <w:rPr>
          <w:spacing w:val="-65"/>
        </w:rPr>
        <w:t> </w:t>
      </w:r>
      <w:r>
        <w:rPr>
          <w:spacing w:val="-65"/>
        </w:rPr>
      </w:r>
      <w:r>
        <w:rPr/>
        <w:t>户关系并最终获得客户订单的关键要素之一。</w:t>
      </w:r>
      <w:r>
        <w:rPr>
          <w:rFonts w:ascii="Times New Roman" w:hAnsi="Times New Roman" w:cs="Times New Roman" w:eastAsia="Times New Roman" w:hint="default"/>
        </w:rPr>
        <w:t>ETC</w:t>
      </w:r>
      <w:r>
        <w:rPr>
          <w:rFonts w:ascii="Times New Roman" w:hAnsi="Times New Roman" w:cs="Times New Roman" w:eastAsia="Times New Roman" w:hint="default"/>
          <w:spacing w:val="19"/>
        </w:rPr>
        <w:t> </w:t>
      </w:r>
      <w:r>
        <w:rPr/>
        <w:t>产品需要持续维护、保养。营销服务网络中网点的技术服务也是实现售</w:t>
      </w:r>
      <w:r>
        <w:rPr>
          <w:spacing w:val="-87"/>
        </w:rPr>
        <w:t> </w:t>
      </w:r>
      <w:r>
        <w:rPr>
          <w:spacing w:val="-87"/>
        </w:rPr>
      </w:r>
      <w:r>
        <w:rPr>
          <w:spacing w:val="-2"/>
        </w:rPr>
        <w:t>后服务本地化的基础，保证为用户提供及时的优质服务，通过优质的售后服务最终可以帮助企业提升品牌知名度。在招投标</w:t>
      </w:r>
      <w:r>
        <w:rPr>
          <w:spacing w:val="-66"/>
        </w:rPr>
        <w:t> </w:t>
      </w:r>
      <w:r>
        <w:rPr>
          <w:spacing w:val="-66"/>
        </w:rPr>
      </w:r>
      <w:r>
        <w:rPr/>
        <w:t>竞争中，品牌工程对于赢得客户订单往往发挥着较为关键作用。</w:t>
      </w:r>
    </w:p>
    <w:p>
      <w:pPr>
        <w:pStyle w:val="BodyText"/>
        <w:spacing w:line="309" w:lineRule="auto" w:before="64"/>
        <w:ind w:right="1033" w:firstLine="360"/>
        <w:jc w:val="left"/>
      </w:pPr>
      <w:r>
        <w:rPr/>
        <w:t>公司在高速公路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产品市场具有优势。目前在细分市场的占有率较高，业务遍布全国。公司依托自身的品牌优势、 技术优势与营销服务优势，已经走在了细分行业的前列。未来，随着新建高速公路的需求以及原有设备陆续进行升级改造，</w:t>
      </w:r>
      <w:r>
        <w:rPr>
          <w:spacing w:val="-85"/>
        </w:rPr>
        <w:t> </w:t>
      </w:r>
      <w:r>
        <w:rPr>
          <w:spacing w:val="-85"/>
        </w:rPr>
      </w:r>
      <w:r>
        <w:rPr/>
        <w:t>公司将保持持续发展。</w:t>
      </w:r>
    </w:p>
    <w:p>
      <w:pPr>
        <w:pStyle w:val="BodyText"/>
        <w:spacing w:line="302" w:lineRule="auto" w:before="64"/>
        <w:ind w:right="1136" w:firstLine="360"/>
        <w:jc w:val="left"/>
      </w:pPr>
      <w:r>
        <w:rPr/>
        <w:t>在智慧公路和车路协同领域，公司于</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spacing w:val="-4"/>
        </w:rPr>
        <w:t>年，成功申报</w:t>
      </w:r>
      <w:r>
        <w:rPr>
          <w:spacing w:val="-29"/>
        </w:rPr>
        <w:t> </w:t>
      </w:r>
      <w:r>
        <w:rPr>
          <w:rFonts w:ascii="Times New Roman" w:hAnsi="Times New Roman" w:cs="Times New Roman" w:eastAsia="Times New Roman" w:hint="default"/>
        </w:rPr>
        <w:t>“</w:t>
      </w:r>
      <w:r>
        <w:rPr/>
        <w:t>交通运输部智能车路协同关键技术及装备行业研发中心</w:t>
      </w:r>
      <w:r>
        <w:rPr>
          <w:rFonts w:ascii="Times New Roman" w:hAnsi="Times New Roman" w:cs="Times New Roman" w:eastAsia="Times New Roman" w:hint="default"/>
        </w:rPr>
        <w:t>”</w:t>
      </w:r>
      <w:r>
        <w:rPr/>
        <w:t>，成</w:t>
      </w:r>
      <w:r>
        <w:rPr>
          <w:spacing w:val="-21"/>
        </w:rPr>
        <w:t> </w:t>
      </w:r>
      <w:r>
        <w:rPr/>
        <w:t>为交通运输部车路协同领域唯一的一支的</w:t>
      </w:r>
      <w:r>
        <w:rPr>
          <w:rFonts w:ascii="Times New Roman" w:hAnsi="Times New Roman" w:cs="Times New Roman" w:eastAsia="Times New Roman" w:hint="default"/>
        </w:rPr>
        <w:t>“</w:t>
      </w:r>
      <w:r>
        <w:rPr/>
        <w:t>国家队</w:t>
      </w:r>
      <w:r>
        <w:rPr>
          <w:rFonts w:ascii="Times New Roman" w:hAnsi="Times New Roman" w:cs="Times New Roman" w:eastAsia="Times New Roman" w:hint="default"/>
        </w:rPr>
        <w:t>”</w:t>
      </w:r>
      <w:r>
        <w:rPr/>
        <w:t>，彰显了公司实力。</w:t>
      </w:r>
    </w:p>
    <w:p>
      <w:pPr>
        <w:spacing w:line="338" w:lineRule="auto" w:before="5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、公司所处行业的产业链分析</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智慧交通身份识别与电子支付行业的上游行业主要为电子元器件、集成电路、电池、塑胶、五金压铸件等行业；下游行</w:t>
      </w:r>
    </w:p>
    <w:p>
      <w:pPr>
        <w:pStyle w:val="BodyText"/>
        <w:spacing w:line="240" w:lineRule="auto" w:before="4"/>
        <w:ind w:right="1235"/>
        <w:jc w:val="left"/>
      </w:pPr>
      <w:r>
        <w:rPr/>
        <w:t>业为道路投资商、交通管理部门、金融机构、汽车厂商及物业运营商等。</w:t>
      </w:r>
    </w:p>
    <w:p>
      <w:pPr>
        <w:spacing w:line="338" w:lineRule="auto" w:before="117"/>
        <w:ind w:left="51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）上游行业的发展状况及对本行业的影响</w:t>
      </w:r>
      <w:r>
        <w:rPr>
          <w:rFonts w:ascii="宋体" w:hAnsi="宋体" w:cs="宋体" w:eastAsia="宋体" w:hint="default"/>
          <w:b/>
          <w:bCs/>
          <w:w w:val="99"/>
          <w:sz w:val="18"/>
          <w:szCs w:val="18"/>
        </w:rPr>
        <w:t> </w:t>
      </w:r>
      <w:r>
        <w:rPr>
          <w:rFonts w:ascii="宋体" w:hAnsi="宋体" w:cs="宋体" w:eastAsia="宋体" w:hint="default"/>
          <w:spacing w:val="-2"/>
          <w:sz w:val="18"/>
          <w:szCs w:val="18"/>
        </w:rPr>
        <w:t>电子元器件、集成电路以及电池等电子设备制造行业由于厂商众多，竞争激烈，产品总体上供大于求，大部分产品价格</w:t>
      </w:r>
    </w:p>
    <w:p>
      <w:pPr>
        <w:pStyle w:val="BodyText"/>
        <w:spacing w:line="309" w:lineRule="auto" w:before="2"/>
        <w:ind w:left="154" w:right="1130"/>
        <w:jc w:val="both"/>
      </w:pPr>
      <w:r>
        <w:rPr>
          <w:spacing w:val="-2"/>
        </w:rPr>
        <w:t>呈现稳中有降的趋势；同时，具有行业优势地位的企业可以利用自身采购的规模优势与上游企业进行谈判，进而获得低于同</w:t>
      </w:r>
      <w:r>
        <w:rPr>
          <w:spacing w:val="-66"/>
        </w:rPr>
        <w:t> </w:t>
      </w:r>
      <w:r>
        <w:rPr>
          <w:spacing w:val="-66"/>
        </w:rPr>
      </w:r>
      <w:r>
        <w:rPr/>
        <w:t>行业的产品价格、稳定的货源和可靠的产品质量。</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年，由于新能源汽车、人工智能及手机等行业对部分半导体、电池 需求旺盛，导致相应半导体和电池的供应紧张，产能出现不足，价格上涨，但总体对成本影响不大。</w:t>
      </w:r>
    </w:p>
    <w:p>
      <w:pPr>
        <w:pStyle w:val="BodyText"/>
        <w:spacing w:line="319" w:lineRule="auto" w:before="62"/>
        <w:ind w:right="0" w:firstLine="360"/>
        <w:jc w:val="left"/>
      </w:pPr>
      <w:r>
        <w:rPr>
          <w:spacing w:val="-2"/>
        </w:rPr>
        <w:t>塑胶、五金压铸件等原材料会受到原材料价格波动的影响，行业产品毛利率水平会有一定的波动。智慧交通身份识别与</w:t>
      </w:r>
      <w:r>
        <w:rPr/>
        <w:t> 电子支付产品中塑胶、五金压铸件等原材料所占设备成本的比例较小。</w:t>
      </w:r>
    </w:p>
    <w:p>
      <w:pPr>
        <w:spacing w:line="338" w:lineRule="auto" w:before="58"/>
        <w:ind w:left="51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）下游行业的发展状况及对本行业的影响</w:t>
      </w:r>
      <w:r>
        <w:rPr>
          <w:rFonts w:ascii="宋体" w:hAnsi="宋体" w:cs="宋体" w:eastAsia="宋体" w:hint="default"/>
          <w:b/>
          <w:bCs/>
          <w:w w:val="99"/>
          <w:sz w:val="18"/>
          <w:szCs w:val="18"/>
        </w:rPr>
        <w:t> </w:t>
      </w:r>
      <w:r>
        <w:rPr>
          <w:rFonts w:ascii="宋体" w:hAnsi="宋体" w:cs="宋体" w:eastAsia="宋体" w:hint="default"/>
          <w:spacing w:val="-2"/>
          <w:sz w:val="18"/>
          <w:szCs w:val="18"/>
        </w:rPr>
        <w:t>道路运营商、交通管理部门、系统集成商、金融机构、汽车厂商以及物业运营商对智慧交通身份识别与电子支付产品的</w:t>
      </w:r>
    </w:p>
    <w:p>
      <w:pPr>
        <w:pStyle w:val="BodyText"/>
        <w:spacing w:line="319" w:lineRule="auto" w:before="2"/>
        <w:ind w:left="154" w:right="0"/>
        <w:jc w:val="left"/>
      </w:pPr>
      <w:r>
        <w:rPr>
          <w:spacing w:val="-4"/>
        </w:rPr>
        <w:t>需求主要受到交通固定资产投资额、汽车保有量以及物业管理行业发展等因素的影响。随着本细分行业技术水平的不断进步，</w:t>
      </w:r>
      <w:r>
        <w:rPr>
          <w:spacing w:val="-44"/>
        </w:rPr>
        <w:t> </w:t>
      </w:r>
      <w:r>
        <w:rPr>
          <w:spacing w:val="-44"/>
        </w:rPr>
      </w:r>
      <w:r>
        <w:rPr>
          <w:spacing w:val="-2"/>
        </w:rPr>
        <w:t>智慧交通身份识别与电子支付行业的应用领域也在不断的拓展当中（如停车场智能化、治理交通拥堵、车路协同无人驾驶等</w:t>
      </w:r>
      <w:r>
        <w:rPr>
          <w:spacing w:val="-66"/>
        </w:rPr>
        <w:t> </w:t>
      </w:r>
      <w:r>
        <w:rPr>
          <w:spacing w:val="-66"/>
        </w:rPr>
      </w:r>
      <w:r>
        <w:rPr>
          <w:spacing w:val="-2"/>
        </w:rPr>
        <w:t>领域），其下游行业的数量将随着智慧交通身份识别与电子支付产品新的应用领域的拓展而不断的增加。</w:t>
      </w:r>
    </w:p>
    <w:p>
      <w:pPr>
        <w:spacing w:line="240" w:lineRule="auto" w:before="6"/>
        <w:rPr>
          <w:rFonts w:ascii="宋体" w:hAnsi="宋体" w:cs="宋体" w:eastAsia="宋体" w:hint="default"/>
          <w:sz w:val="20"/>
          <w:szCs w:val="20"/>
        </w:rPr>
      </w:pPr>
    </w:p>
    <w:p>
      <w:pPr>
        <w:pStyle w:val="Heading2"/>
        <w:spacing w:line="240" w:lineRule="auto"/>
        <w:ind w:right="1235"/>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主要资产重大变化情况" w:id="21"/>
      <w:bookmarkEnd w:id="21"/>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报告期内货币资金同比增加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84.61%</w:t>
            </w:r>
            <w:r>
              <w:rPr>
                <w:rFonts w:ascii="宋体" w:hAnsi="宋体" w:cs="宋体" w:eastAsia="宋体" w:hint="default"/>
                <w:sz w:val="18"/>
                <w:szCs w:val="18"/>
              </w:rPr>
              <w:t>，主要因首发上市募集资金到位所致。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238.16%</w:t>
            </w:r>
            <w:r>
              <w:rPr>
                <w:rFonts w:ascii="宋体" w:hAnsi="宋体" w:cs="宋体" w:eastAsia="宋体" w:hint="default"/>
                <w:sz w:val="18"/>
                <w:szCs w:val="18"/>
              </w:rPr>
              <w:t>，主要因采购预付款所致。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应收到期存款利息增加所致。</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79.94%</w:t>
            </w:r>
            <w:r>
              <w:rPr>
                <w:rFonts w:ascii="宋体" w:hAnsi="宋体" w:cs="宋体" w:eastAsia="宋体" w:hint="default"/>
                <w:sz w:val="18"/>
                <w:szCs w:val="18"/>
              </w:rPr>
              <w:t>，主要因应收软件退税款增加所致。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主要因公司购买银行理财产品未到期所致。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主要因公司预付购买写字楼款项所致。</w:t>
            </w:r>
          </w:p>
        </w:tc>
      </w:tr>
    </w:tbl>
    <w:p>
      <w:pPr>
        <w:spacing w:line="240" w:lineRule="auto" w:before="3"/>
        <w:rPr>
          <w:rFonts w:ascii="宋体" w:hAnsi="宋体" w:cs="宋体" w:eastAsia="宋体" w:hint="default"/>
          <w:b/>
          <w:bCs/>
          <w:sz w:val="19"/>
          <w:szCs w:val="19"/>
        </w:rPr>
      </w:pPr>
    </w:p>
    <w:p>
      <w:pPr>
        <w:pStyle w:val="Heading3"/>
        <w:spacing w:line="240" w:lineRule="auto" w:before="35"/>
        <w:ind w:right="1235"/>
        <w:jc w:val="left"/>
        <w:rPr>
          <w:b w:val="0"/>
          <w:bCs w:val="0"/>
        </w:rPr>
      </w:pPr>
      <w:bookmarkStart w:name="2、主要境外资产情况" w:id="22"/>
      <w:bookmarkEnd w:id="22"/>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35"/>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4"/>
        <w:spacing w:line="240" w:lineRule="auto" w:before="26"/>
        <w:ind w:right="1235"/>
        <w:jc w:val="left"/>
        <w:rPr>
          <w:b w:val="0"/>
          <w:bCs w:val="0"/>
        </w:rPr>
      </w:pPr>
      <w:r>
        <w:rPr>
          <w:rFonts w:ascii="Times New Roman" w:hAnsi="Times New Roman" w:cs="Times New Roman" w:eastAsia="Times New Roman" w:hint="default"/>
        </w:rPr>
        <w:t>1</w:t>
      </w:r>
      <w:r>
        <w:rPr/>
        <w:t>、研发和自主创新形成的技术优势</w:t>
      </w:r>
      <w:r>
        <w:rPr>
          <w:b w:val="0"/>
          <w:bCs w:val="0"/>
        </w:rPr>
      </w:r>
    </w:p>
    <w:p>
      <w:pPr>
        <w:pStyle w:val="BodyText"/>
        <w:spacing w:line="302" w:lineRule="auto" w:before="101"/>
        <w:ind w:right="1118" w:firstLine="360"/>
        <w:jc w:val="left"/>
      </w:pPr>
      <w:r>
        <w:rPr/>
        <w:t>公司重视创新，凭借自主创新能力和研发实力，基于对</w:t>
      </w:r>
      <w:r>
        <w:rPr>
          <w:spacing w:val="-46"/>
        </w:rPr>
        <w:t> </w:t>
      </w:r>
      <w:r>
        <w:rPr>
          <w:rFonts w:ascii="Times New Roman" w:hAnsi="Times New Roman" w:cs="Times New Roman" w:eastAsia="Times New Roman" w:hint="default"/>
        </w:rPr>
        <w:t>5.8GHz</w:t>
      </w:r>
      <w:r>
        <w:rPr>
          <w:rFonts w:ascii="Times New Roman" w:hAnsi="Times New Roman" w:cs="Times New Roman" w:eastAsia="Times New Roman" w:hint="default"/>
          <w:spacing w:val="8"/>
        </w:rPr>
        <w:t> </w:t>
      </w:r>
      <w:r>
        <w:rPr>
          <w:rFonts w:ascii="Times New Roman" w:hAnsi="Times New Roman" w:cs="Times New Roman" w:eastAsia="Times New Roman" w:hint="default"/>
        </w:rPr>
        <w:t>DSRC</w:t>
      </w:r>
      <w:r>
        <w:rPr>
          <w:rFonts w:ascii="Times New Roman" w:hAnsi="Times New Roman" w:cs="Times New Roman" w:eastAsia="Times New Roman" w:hint="default"/>
          <w:spacing w:val="-2"/>
        </w:rPr>
        <w:t> </w:t>
      </w:r>
      <w:r>
        <w:rPr/>
        <w:t>技术的理解，公司承担了《电子收费专用短程通 信》和《机动车电子标识安全技术要求》系列国家标准的编写，并不断推出其创新产品。</w:t>
      </w:r>
    </w:p>
    <w:p>
      <w:pPr>
        <w:pStyle w:val="BodyText"/>
        <w:spacing w:line="240" w:lineRule="auto" w:before="69"/>
        <w:ind w:left="513" w:right="0"/>
        <w:jc w:val="left"/>
        <w:rPr>
          <w:rFonts w:ascii="Times New Roman" w:hAnsi="Times New Roman" w:cs="Times New Roman" w:eastAsia="Times New Roman" w:hint="default"/>
        </w:rPr>
      </w:pPr>
      <w:r>
        <w:rPr>
          <w:spacing w:val="-3"/>
        </w:rPr>
        <w:t>公司作为国家级高新技术企业，具备较强的技术研发实力，近年来每年研发投入占销售收入总额的 </w:t>
      </w:r>
      <w:r>
        <w:rPr>
          <w:rFonts w:ascii="Times New Roman" w:hAnsi="Times New Roman" w:cs="Times New Roman" w:eastAsia="Times New Roman" w:hint="default"/>
          <w:spacing w:val="-6"/>
        </w:rPr>
        <w:t>10%</w:t>
      </w:r>
      <w:r>
        <w:rPr>
          <w:spacing w:val="-6"/>
        </w:rPr>
        <w:t>以上，截至</w:t>
      </w:r>
      <w:r>
        <w:rPr>
          <w:spacing w:val="-53"/>
        </w:rPr>
        <w:t> </w:t>
      </w:r>
      <w:r>
        <w:rPr>
          <w:rFonts w:ascii="Times New Roman" w:hAnsi="Times New Roman" w:cs="Times New Roman" w:eastAsia="Times New Roman" w:hint="default"/>
        </w:rPr>
        <w:t>2017</w:t>
      </w:r>
    </w:p>
    <w:p>
      <w:pPr>
        <w:pStyle w:val="BodyText"/>
        <w:spacing w:line="300" w:lineRule="auto" w:before="63"/>
        <w:ind w:right="0"/>
        <w:jc w:val="left"/>
      </w:pPr>
      <w:r>
        <w:rPr/>
        <w:t>年末，公司拥有</w:t>
      </w:r>
      <w:r>
        <w:rPr>
          <w:spacing w:val="-50"/>
        </w:rPr>
        <w:t> </w:t>
      </w:r>
      <w:r>
        <w:rPr>
          <w:rFonts w:ascii="Times New Roman" w:hAnsi="Times New Roman" w:cs="Times New Roman" w:eastAsia="Times New Roman" w:hint="default"/>
        </w:rPr>
        <w:t>381</w:t>
      </w:r>
      <w:r>
        <w:rPr>
          <w:rFonts w:ascii="Times New Roman" w:hAnsi="Times New Roman" w:cs="Times New Roman" w:eastAsia="Times New Roman" w:hint="default"/>
          <w:spacing w:val="-5"/>
        </w:rPr>
        <w:t> </w:t>
      </w:r>
      <w:r>
        <w:rPr/>
        <w:t>项专利权，其中发明专利</w:t>
      </w:r>
      <w:r>
        <w:rPr>
          <w:spacing w:val="-50"/>
        </w:rPr>
        <w:t> </w:t>
      </w:r>
      <w:r>
        <w:rPr>
          <w:rFonts w:ascii="Times New Roman" w:hAnsi="Times New Roman" w:cs="Times New Roman" w:eastAsia="Times New Roman" w:hint="default"/>
        </w:rPr>
        <w:t>105</w:t>
      </w:r>
      <w:r>
        <w:rPr>
          <w:rFonts w:ascii="Times New Roman" w:hAnsi="Times New Roman" w:cs="Times New Roman" w:eastAsia="Times New Roman" w:hint="default"/>
          <w:spacing w:val="-5"/>
        </w:rPr>
        <w:t> </w:t>
      </w:r>
      <w:r>
        <w:rPr/>
        <w:t>项，</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年度，公司新增授权发明专利</w:t>
      </w:r>
      <w:r>
        <w:rPr>
          <w:spacing w:val="-50"/>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t>项。公司拥有射频、微波、天 线、数字电路、嵌入式系统和软件等多专业领域的技术人才，其中包括国家</w:t>
      </w:r>
      <w:r>
        <w:rPr>
          <w:rFonts w:ascii="Times New Roman" w:hAnsi="Times New Roman" w:cs="Times New Roman" w:eastAsia="Times New Roman" w:hint="default"/>
        </w:rPr>
        <w:t>“</w:t>
      </w:r>
      <w:r>
        <w:rPr/>
        <w:t>千人计划</w:t>
      </w:r>
      <w:r>
        <w:rPr>
          <w:rFonts w:ascii="Times New Roman" w:hAnsi="Times New Roman" w:cs="Times New Roman" w:eastAsia="Times New Roman" w:hint="default"/>
        </w:rPr>
        <w:t>”</w:t>
      </w:r>
      <w:r>
        <w:rPr/>
        <w:t>一名，深圳市地方级领军人才三名，</w:t>
      </w:r>
      <w:r>
        <w:rPr>
          <w:spacing w:val="-67"/>
        </w:rPr>
        <w:t> </w:t>
      </w:r>
      <w:r>
        <w:rPr>
          <w:spacing w:val="-67"/>
        </w:rPr>
      </w:r>
      <w:r>
        <w:rPr/>
        <w:t>掌握了从基础芯片到终端产品的全面技术。公司推行项目管理模式，倡导</w:t>
      </w:r>
      <w:r>
        <w:rPr>
          <w:rFonts w:ascii="Times New Roman" w:hAnsi="Times New Roman" w:cs="Times New Roman" w:eastAsia="Times New Roman" w:hint="default"/>
        </w:rPr>
        <w:t>“</w:t>
      </w:r>
      <w:r>
        <w:rPr/>
        <w:t>大研发</w:t>
      </w:r>
      <w:r>
        <w:rPr>
          <w:rFonts w:ascii="Times New Roman" w:hAnsi="Times New Roman" w:cs="Times New Roman" w:eastAsia="Times New Roman" w:hint="default"/>
        </w:rPr>
        <w:t>”</w:t>
      </w:r>
      <w:r>
        <w:rPr/>
        <w:t>理念，建立了完善的管理流程，对产品的 策划、立项、开发、测试、文档、客户反馈等各个环节进行全面的质量控制。</w:t>
      </w:r>
    </w:p>
    <w:p>
      <w:pPr>
        <w:pStyle w:val="Heading4"/>
        <w:spacing w:line="240" w:lineRule="auto" w:before="71"/>
        <w:ind w:right="1235"/>
        <w:jc w:val="left"/>
        <w:rPr>
          <w:b w:val="0"/>
          <w:bCs w:val="0"/>
        </w:rPr>
      </w:pPr>
      <w:r>
        <w:rPr>
          <w:rFonts w:ascii="Times New Roman" w:hAnsi="Times New Roman" w:cs="Times New Roman" w:eastAsia="Times New Roman" w:hint="default"/>
        </w:rPr>
        <w:t>2</w:t>
      </w:r>
      <w:r>
        <w:rPr/>
        <w:t>、专业的产品制造生产基地</w:t>
      </w:r>
      <w:r>
        <w:rPr>
          <w:b w:val="0"/>
          <w:bCs w:val="0"/>
        </w:rPr>
      </w:r>
    </w:p>
    <w:p>
      <w:pPr>
        <w:pStyle w:val="BodyText"/>
        <w:spacing w:line="302" w:lineRule="auto" w:before="101"/>
        <w:ind w:left="154" w:right="1115" w:firstLine="360"/>
        <w:jc w:val="left"/>
      </w:pPr>
      <w:r>
        <w:rPr/>
        <w:t>公司拥有专业的产品制造生产基地，生产基地配备</w:t>
      </w:r>
      <w:r>
        <w:rPr>
          <w:spacing w:val="-3"/>
        </w:rPr>
        <w:t> </w:t>
      </w:r>
      <w:r>
        <w:rPr>
          <w:rFonts w:ascii="Times New Roman" w:hAnsi="Times New Roman" w:cs="Times New Roman" w:eastAsia="Times New Roman" w:hint="default"/>
        </w:rPr>
        <w:t>SMT</w:t>
      </w:r>
      <w:r>
        <w:rPr/>
        <w:t>（表面贴装技术）生产线和装配生产线，拥有一批熟练的生产 </w:t>
      </w:r>
      <w:r>
        <w:rPr>
          <w:spacing w:val="-5"/>
        </w:rPr>
        <w:t>技工，具有批量生产能力。公司自动化生产线的引入降低了人工失误率，为进一步提升公司产品的质量提供了强有力的保障。</w:t>
      </w:r>
    </w:p>
    <w:p>
      <w:pPr>
        <w:pStyle w:val="BodyText"/>
        <w:spacing w:line="338" w:lineRule="auto" w:before="70"/>
        <w:ind w:left="513" w:right="1118" w:firstLine="1"/>
        <w:jc w:val="left"/>
      </w:pPr>
      <w:r>
        <w:rPr>
          <w:rFonts w:ascii="Times New Roman" w:hAnsi="Times New Roman" w:cs="Times New Roman" w:eastAsia="Times New Roman" w:hint="default"/>
          <w:b/>
          <w:bCs/>
        </w:rPr>
        <w:t>3</w:t>
      </w:r>
      <w:r>
        <w:rPr>
          <w:rFonts w:ascii="宋体" w:hAnsi="宋体" w:cs="宋体" w:eastAsia="宋体" w:hint="default"/>
          <w:b/>
          <w:bCs/>
        </w:rPr>
        <w:t>、严格的质量控制体系</w:t>
      </w:r>
      <w:r>
        <w:rPr>
          <w:rFonts w:ascii="宋体" w:hAnsi="宋体" w:cs="宋体" w:eastAsia="宋体" w:hint="default"/>
          <w:b/>
          <w:bCs/>
          <w:w w:val="99"/>
        </w:rPr>
        <w:t> </w:t>
      </w:r>
      <w:r>
        <w:rPr>
          <w:spacing w:val="-2"/>
        </w:rPr>
        <w:t>为确保向客户提供稳定可靠的产品，公司投资建成研发自动化测试平台，建设了多个研发实验室，并通过了</w:t>
      </w:r>
      <w:r>
        <w:rPr>
          <w:spacing w:val="-3"/>
        </w:rPr>
        <w:t> </w:t>
      </w:r>
      <w:r>
        <w:rPr>
          <w:rFonts w:ascii="Times New Roman" w:hAnsi="Times New Roman" w:cs="Times New Roman" w:eastAsia="Times New Roman" w:hint="default"/>
          <w:spacing w:val="-3"/>
        </w:rPr>
        <w:t>CNAS</w:t>
      </w:r>
      <w:r>
        <w:rPr>
          <w:spacing w:val="-3"/>
        </w:rPr>
        <w:t>（中</w:t>
      </w:r>
    </w:p>
    <w:p>
      <w:pPr>
        <w:pStyle w:val="BodyText"/>
        <w:spacing w:line="217" w:lineRule="exact"/>
        <w:ind w:right="0"/>
        <w:jc w:val="left"/>
      </w:pPr>
      <w:r>
        <w:rPr>
          <w:spacing w:val="-5"/>
        </w:rPr>
        <w:t>国合格评定国家认可委员会）的实验室认证，可完成机械可靠性、模拟应用环境、电磁兼容可靠性、环境可靠性、射频电路、</w:t>
      </w:r>
    </w:p>
    <w:p>
      <w:pPr>
        <w:pStyle w:val="BodyText"/>
        <w:spacing w:line="240" w:lineRule="auto" w:before="77"/>
        <w:ind w:right="1235"/>
        <w:jc w:val="left"/>
      </w:pPr>
      <w:r>
        <w:rPr/>
        <w:t>跑车交易等多项工艺测试。</w:t>
      </w:r>
    </w:p>
    <w:p>
      <w:pPr>
        <w:pStyle w:val="BodyText"/>
        <w:spacing w:line="300" w:lineRule="auto" w:before="115"/>
        <w:ind w:right="1029" w:firstLine="360"/>
        <w:jc w:val="left"/>
      </w:pPr>
      <w:r>
        <w:rPr/>
        <w:t>公司基于 </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标准建立质量管理体系，用于规范和提升设计、研发、生产、采购、服务等各个业务环节的 管理工作，有效保障产品与服务的质量。同时，公司还导入</w:t>
      </w:r>
      <w:r>
        <w:rPr>
          <w:spacing w:val="-46"/>
        </w:rPr>
        <w:t> </w:t>
      </w:r>
      <w:r>
        <w:rPr>
          <w:rFonts w:ascii="Times New Roman" w:hAnsi="Times New Roman" w:cs="Times New Roman" w:eastAsia="Times New Roman" w:hint="default"/>
        </w:rPr>
        <w:t>ISO/TS16949:2009</w:t>
      </w:r>
      <w:r>
        <w:rPr>
          <w:rFonts w:ascii="Times New Roman" w:hAnsi="Times New Roman" w:cs="Times New Roman" w:eastAsia="Times New Roman" w:hint="default"/>
          <w:spacing w:val="-1"/>
        </w:rPr>
        <w:t> </w:t>
      </w:r>
      <w:r>
        <w:rPr/>
        <w:t>汽车行业质量管理体系、</w:t>
      </w:r>
      <w:r>
        <w:rPr>
          <w:rFonts w:ascii="Times New Roman" w:hAnsi="Times New Roman" w:cs="Times New Roman" w:eastAsia="Times New Roman" w:hint="default"/>
        </w:rPr>
        <w:t>IECQ</w:t>
      </w:r>
      <w:r>
        <w:rPr>
          <w:rFonts w:ascii="Times New Roman" w:hAnsi="Times New Roman" w:cs="Times New Roman" w:eastAsia="Times New Roman" w:hint="default"/>
          <w:spacing w:val="-1"/>
        </w:rPr>
        <w:t> </w:t>
      </w:r>
      <w:r>
        <w:rPr>
          <w:rFonts w:ascii="Times New Roman" w:hAnsi="Times New Roman" w:cs="Times New Roman" w:eastAsia="Times New Roman" w:hint="default"/>
        </w:rPr>
        <w:t>QC080000</w:t>
      </w:r>
      <w:r>
        <w:rPr>
          <w:rFonts w:ascii="Times New Roman" w:hAnsi="Times New Roman" w:cs="Times New Roman" w:eastAsia="Times New Roman" w:hint="default"/>
          <w:spacing w:val="-2"/>
        </w:rPr>
        <w:t> </w:t>
      </w:r>
      <w:r>
        <w:rPr/>
        <w:t>电 气电子元器件和产品有害物质过程管理体系、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 </w:t>
      </w:r>
      <w:r>
        <w:rPr/>
        <w:t>环境管理体系和 </w:t>
      </w:r>
      <w:r>
        <w:rPr>
          <w:rFonts w:ascii="Times New Roman" w:hAnsi="Times New Roman" w:cs="Times New Roman" w:eastAsia="Times New Roman" w:hint="default"/>
        </w:rPr>
        <w:t>OHSAS18001:2007</w:t>
      </w:r>
      <w:r>
        <w:rPr>
          <w:rFonts w:ascii="Times New Roman" w:hAnsi="Times New Roman" w:cs="Times New Roman" w:eastAsia="Times New Roman" w:hint="default"/>
          <w:spacing w:val="-26"/>
        </w:rPr>
        <w:t> </w:t>
      </w:r>
      <w:r>
        <w:rPr/>
        <w:t>职业健康安全管理体系， 从而以多层面，多方位的质量控制体系生产产品。</w:t>
      </w:r>
    </w:p>
    <w:p>
      <w:pPr>
        <w:pStyle w:val="BodyText"/>
        <w:spacing w:line="338" w:lineRule="auto" w:before="72"/>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、产学研合作优势</w:t>
      </w:r>
      <w:r>
        <w:rPr>
          <w:rFonts w:ascii="宋体" w:hAnsi="宋体" w:cs="宋体" w:eastAsia="宋体" w:hint="default"/>
          <w:b/>
          <w:bCs/>
          <w:w w:val="99"/>
        </w:rPr>
        <w:t> </w:t>
      </w:r>
      <w:r>
        <w:rPr>
          <w:spacing w:val="-2"/>
        </w:rPr>
        <w:t>公司与北京航空航天大学、电子科技大学、华中师范大学、华南理工大学、北京邮电大学、同济大学、清华大学深圳研</w:t>
      </w:r>
    </w:p>
    <w:p>
      <w:pPr>
        <w:pStyle w:val="BodyText"/>
        <w:spacing w:line="319" w:lineRule="auto" w:before="2"/>
        <w:ind w:left="154" w:right="1131"/>
        <w:jc w:val="both"/>
      </w:pPr>
      <w:r>
        <w:rPr>
          <w:spacing w:val="-2"/>
        </w:rPr>
        <w:t>究院、交通部公路科学研究院等著名科研院校所建立了良好的互信机制和长期的合作关系，在前沿探索、科技攻关、产品研</w:t>
      </w:r>
      <w:r>
        <w:rPr>
          <w:spacing w:val="-66"/>
        </w:rPr>
        <w:t> </w:t>
      </w:r>
      <w:r>
        <w:rPr>
          <w:spacing w:val="-66"/>
        </w:rPr>
      </w:r>
      <w:r>
        <w:rPr>
          <w:spacing w:val="-2"/>
        </w:rPr>
        <w:t>究、工程试验和应用示范等方面开展了广泛的产学研合作。公司通过与科研院校的强强联合，形成优势互补，相互促进和共</w:t>
      </w:r>
      <w:r>
        <w:rPr>
          <w:spacing w:val="-66"/>
        </w:rPr>
        <w:t> </w:t>
      </w:r>
      <w:r>
        <w:rPr>
          <w:spacing w:val="-66"/>
        </w:rPr>
      </w:r>
      <w:r>
        <w:rPr/>
        <w:t>同发展的良好局面。</w:t>
      </w:r>
    </w:p>
    <w:p>
      <w:pPr>
        <w:pStyle w:val="BodyText"/>
        <w:spacing w:line="307" w:lineRule="auto" w:before="55"/>
        <w:ind w:right="1129" w:firstLine="360"/>
        <w:jc w:val="both"/>
      </w:pPr>
      <w:r>
        <w:rPr/>
        <w:t>公司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年获批了</w:t>
      </w:r>
      <w:r>
        <w:rPr>
          <w:rFonts w:ascii="Times New Roman" w:hAnsi="Times New Roman" w:cs="Times New Roman" w:eastAsia="Times New Roman" w:hint="default"/>
        </w:rPr>
        <w:t>“</w:t>
      </w:r>
      <w:r>
        <w:rPr/>
        <w:t>交通运输部智能车路协同关键技术及装备行业研发中心</w:t>
      </w:r>
      <w:r>
        <w:rPr>
          <w:rFonts w:ascii="Times New Roman" w:hAnsi="Times New Roman" w:cs="Times New Roman" w:eastAsia="Times New Roman" w:hint="default"/>
        </w:rPr>
        <w:t>”</w:t>
      </w:r>
      <w:r>
        <w:rPr/>
        <w:t>。该中心集合了交通部公路科学研究院、 </w:t>
      </w:r>
      <w:r>
        <w:rPr>
          <w:spacing w:val="-2"/>
        </w:rPr>
        <w:t>广东省交通集团、同济大学、清华大学深圳研究院、北汽研究总院等五家一流科研机构和企业。公司将充分发挥在这一平台</w:t>
      </w:r>
      <w:r>
        <w:rPr>
          <w:spacing w:val="-66"/>
        </w:rPr>
        <w:t> </w:t>
      </w:r>
      <w:r>
        <w:rPr>
          <w:spacing w:val="-66"/>
        </w:rPr>
      </w:r>
      <w:r>
        <w:rPr>
          <w:spacing w:val="-2"/>
        </w:rPr>
        <w:t>的主导作用，与其他五家联合单位一起，共同打造</w:t>
      </w:r>
      <w:r>
        <w:rPr>
          <w:rFonts w:ascii="Times New Roman" w:hAnsi="Times New Roman" w:cs="Times New Roman" w:eastAsia="Times New Roman" w:hint="default"/>
          <w:spacing w:val="-2"/>
        </w:rPr>
        <w:t>“</w:t>
      </w:r>
      <w:r>
        <w:rPr>
          <w:spacing w:val="-2"/>
        </w:rPr>
        <w:t>政产学研用</w:t>
      </w:r>
      <w:r>
        <w:rPr>
          <w:rFonts w:ascii="Times New Roman" w:hAnsi="Times New Roman" w:cs="Times New Roman" w:eastAsia="Times New Roman" w:hint="default"/>
          <w:spacing w:val="-2"/>
        </w:rPr>
        <w:t>”</w:t>
      </w:r>
      <w:r>
        <w:rPr>
          <w:spacing w:val="-2"/>
        </w:rPr>
        <w:t>合作创新平台，推进我国车路协同领域的技术进展和创新应</w:t>
      </w:r>
      <w:r>
        <w:rPr>
          <w:spacing w:val="-43"/>
        </w:rPr>
        <w:t> </w:t>
      </w:r>
      <w:r>
        <w:rPr>
          <w:spacing w:val="-43"/>
        </w:rPr>
      </w:r>
      <w:r>
        <w:rPr/>
        <w:t>用。</w:t>
      </w:r>
    </w:p>
    <w:p>
      <w:pPr>
        <w:pStyle w:val="BodyText"/>
        <w:spacing w:line="338" w:lineRule="auto" w:before="67"/>
        <w:ind w:left="514" w:right="1118" w:firstLine="1"/>
        <w:jc w:val="left"/>
      </w:pPr>
      <w:r>
        <w:rPr>
          <w:rFonts w:ascii="Times New Roman" w:hAnsi="Times New Roman" w:cs="Times New Roman" w:eastAsia="Times New Roman" w:hint="default"/>
          <w:b/>
          <w:bCs/>
        </w:rPr>
        <w:t>5</w:t>
      </w:r>
      <w:r>
        <w:rPr>
          <w:rFonts w:ascii="宋体" w:hAnsi="宋体" w:cs="宋体" w:eastAsia="宋体" w:hint="default"/>
          <w:b/>
          <w:bCs/>
        </w:rPr>
        <w:t>、服务优势</w:t>
      </w:r>
      <w:r>
        <w:rPr>
          <w:rFonts w:ascii="宋体" w:hAnsi="宋体" w:cs="宋体" w:eastAsia="宋体" w:hint="default"/>
          <w:b/>
          <w:bCs/>
          <w:w w:val="99"/>
        </w:rPr>
        <w:t> </w:t>
      </w:r>
      <w:r>
        <w:rPr>
          <w:spacing w:val="-2"/>
        </w:rPr>
        <w:t>公司秉承</w:t>
      </w:r>
      <w:r>
        <w:rPr>
          <w:rFonts w:ascii="Times New Roman" w:hAnsi="Times New Roman" w:cs="Times New Roman" w:eastAsia="Times New Roman" w:hint="default"/>
          <w:spacing w:val="-2"/>
        </w:rPr>
        <w:t>“</w:t>
      </w:r>
      <w:r>
        <w:rPr>
          <w:spacing w:val="-2"/>
        </w:rPr>
        <w:t>聚焦客户、追求卓越</w:t>
      </w:r>
      <w:r>
        <w:rPr>
          <w:rFonts w:ascii="Times New Roman" w:hAnsi="Times New Roman" w:cs="Times New Roman" w:eastAsia="Times New Roman" w:hint="default"/>
          <w:spacing w:val="-2"/>
        </w:rPr>
        <w:t>”</w:t>
      </w:r>
      <w:r>
        <w:rPr>
          <w:spacing w:val="-2"/>
        </w:rPr>
        <w:t>的服务理念，通过多种方式为客户提供全面、高品质的售后服务。同时，公司的服务网</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3"/>
        <w:jc w:val="both"/>
      </w:pPr>
      <w:r>
        <w:rPr>
          <w:spacing w:val="-2"/>
        </w:rPr>
        <w:t>络在深圳、广州、北京、杭州、无锡、成都、武汉、青岛等多个城市设有本土化的服务队伍，能够快速响应客户需求，在较</w:t>
      </w:r>
      <w:r>
        <w:rPr>
          <w:spacing w:val="-69"/>
        </w:rPr>
        <w:t> </w:t>
      </w:r>
      <w:r>
        <w:rPr>
          <w:spacing w:val="-69"/>
        </w:rPr>
      </w:r>
      <w:r>
        <w:rPr>
          <w:spacing w:val="-2"/>
        </w:rPr>
        <w:t>短时间内为客户提供服务支持。公司的服务包含从产品交付、设备安装、培训管理、售后维护、客户投诉管理以及产品使用</w:t>
      </w:r>
      <w:r>
        <w:rPr>
          <w:spacing w:val="-66"/>
        </w:rPr>
        <w:t> </w:t>
      </w:r>
      <w:r>
        <w:rPr>
          <w:spacing w:val="-66"/>
        </w:rPr>
      </w:r>
      <w:r>
        <w:rPr/>
        <w:t>跟踪管理的完整过程。</w:t>
      </w:r>
    </w:p>
    <w:p>
      <w:pPr>
        <w:pStyle w:val="Heading4"/>
        <w:spacing w:line="240" w:lineRule="auto" w:before="56"/>
        <w:ind w:right="1235"/>
        <w:jc w:val="left"/>
        <w:rPr>
          <w:b w:val="0"/>
          <w:bCs w:val="0"/>
        </w:rPr>
      </w:pPr>
      <w:r>
        <w:rPr>
          <w:rFonts w:ascii="Times New Roman" w:hAnsi="Times New Roman" w:cs="Times New Roman" w:eastAsia="Times New Roman" w:hint="default"/>
        </w:rPr>
        <w:t>6</w:t>
      </w:r>
      <w:r>
        <w:rPr/>
        <w:t>、丰富的项目经验</w:t>
      </w:r>
      <w:r>
        <w:rPr>
          <w:b w:val="0"/>
          <w:bCs w:val="0"/>
        </w:rPr>
      </w:r>
    </w:p>
    <w:p>
      <w:pPr>
        <w:pStyle w:val="BodyText"/>
        <w:spacing w:line="307" w:lineRule="auto" w:before="103"/>
        <w:ind w:right="1131" w:firstLine="360"/>
        <w:jc w:val="both"/>
      </w:pPr>
      <w:r>
        <w:rPr/>
        <w:t>公司开发了以车辆身份识别和电子支付为核心技术的系列产品，公司高速公路</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3"/>
        </w:rPr>
        <w:t> </w:t>
      </w:r>
      <w:r>
        <w:rPr>
          <w:spacing w:val="-8"/>
        </w:rPr>
        <w:t>产品已在北京、广东、江苏、江西、</w:t>
      </w:r>
      <w:r>
        <w:rPr/>
        <w:t> </w:t>
      </w:r>
      <w:r>
        <w:rPr>
          <w:spacing w:val="-4"/>
        </w:rPr>
        <w:t>四川、辽宁等全国</w:t>
      </w:r>
      <w:r>
        <w:rPr>
          <w:spacing w:val="-26"/>
        </w:rPr>
        <w:t> </w:t>
      </w:r>
      <w:r>
        <w:rPr>
          <w:rFonts w:ascii="Times New Roman" w:hAnsi="Times New Roman" w:cs="Times New Roman" w:eastAsia="Times New Roman" w:hint="default"/>
        </w:rPr>
        <w:t>28</w:t>
      </w:r>
      <w:r>
        <w:rPr>
          <w:rFonts w:ascii="Times New Roman" w:hAnsi="Times New Roman" w:cs="Times New Roman" w:eastAsia="Times New Roman" w:hint="default"/>
          <w:spacing w:val="19"/>
        </w:rPr>
        <w:t> </w:t>
      </w:r>
      <w:r>
        <w:rPr>
          <w:spacing w:val="-8"/>
        </w:rPr>
        <w:t>个省市广泛应用，熟悉各个地区的差异化需求。在十年的发展历程中，公司还承接了包括“鸟巢”、“水</w:t>
      </w:r>
      <w:r>
        <w:rPr>
          <w:spacing w:val="-85"/>
        </w:rPr>
        <w:t> </w:t>
      </w:r>
      <w:r>
        <w:rPr>
          <w:spacing w:val="-85"/>
        </w:rPr>
      </w:r>
      <w:r>
        <w:rPr>
          <w:spacing w:val="-2"/>
        </w:rPr>
        <w:t>立方”停车场管理系统项目、浙江大学车辆管理系统项目、浙江省高速公路多义性路径识别系统项目、武汉市路桥多车道自</w:t>
      </w:r>
      <w:r>
        <w:rPr>
          <w:spacing w:val="-66"/>
        </w:rPr>
        <w:t> </w:t>
      </w:r>
      <w:r>
        <w:rPr>
          <w:spacing w:val="-66"/>
        </w:rPr>
      </w:r>
      <w:r>
        <w:rPr/>
        <w:t>由流电子不停车收费系统在内的多个项目，在行业内树立了良好的品牌形象。</w:t>
      </w:r>
    </w:p>
    <w:p>
      <w:pPr>
        <w:spacing w:after="0" w:line="30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1235"/>
        <w:jc w:val="left"/>
        <w:rPr>
          <w:b w:val="0"/>
          <w:bCs w:val="0"/>
        </w:rPr>
      </w:pPr>
      <w:bookmarkStart w:name="第四节 经营情况讨论与分析" w:id="24"/>
      <w:bookmarkEnd w:id="24"/>
      <w:r>
        <w:rPr>
          <w:b w:val="0"/>
          <w:bCs w:val="0"/>
        </w:rPr>
      </w:r>
      <w:bookmarkStart w:name="_bookmark3" w:id="25"/>
      <w:bookmarkEnd w:id="25"/>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35"/>
        <w:jc w:val="left"/>
        <w:rPr>
          <w:b w:val="0"/>
          <w:bCs w:val="0"/>
        </w:rPr>
      </w:pPr>
      <w:bookmarkStart w:name="一、概述" w:id="26"/>
      <w:bookmarkEnd w:id="26"/>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36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年，公司秉承</w:t>
      </w:r>
      <w:r>
        <w:rPr>
          <w:rFonts w:ascii="Times New Roman" w:hAnsi="Times New Roman" w:cs="Times New Roman" w:eastAsia="Times New Roman" w:hint="default"/>
        </w:rPr>
        <w:t>“</w:t>
      </w:r>
      <w:r>
        <w:rPr/>
        <w:t>让交通更智慧，让生活更简单</w:t>
      </w:r>
      <w:r>
        <w:rPr>
          <w:rFonts w:ascii="Times New Roman" w:hAnsi="Times New Roman" w:cs="Times New Roman" w:eastAsia="Times New Roman" w:hint="default"/>
        </w:rPr>
        <w:t>”</w:t>
      </w:r>
      <w:r>
        <w:rPr/>
        <w:t>的使命，大力实施推进金溢</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t>发展规划，年度的各项经营目标基本 实现。</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行业的放缓对公司的收入和利润构成了压力，但公司保持了</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业务在行业的领先地位。同时，公司 加大投入推进</w:t>
      </w:r>
      <w:r>
        <w:rPr>
          <w:spacing w:val="-43"/>
        </w:rPr>
        <w:t> </w:t>
      </w:r>
      <w:r>
        <w:rPr>
          <w:rFonts w:ascii="Times New Roman" w:hAnsi="Times New Roman" w:cs="Times New Roman" w:eastAsia="Times New Roman" w:hint="default"/>
          <w:spacing w:val="-5"/>
        </w:rPr>
        <w:t>ETC+</w:t>
      </w:r>
      <w:r>
        <w:rPr>
          <w:spacing w:val="-5"/>
        </w:rPr>
        <w:t>、</w:t>
      </w:r>
      <w:r>
        <w:rPr>
          <w:rFonts w:ascii="Times New Roman" w:hAnsi="Times New Roman" w:cs="Times New Roman" w:eastAsia="Times New Roman" w:hint="default"/>
          <w:spacing w:val="-5"/>
        </w:rPr>
        <w:t>V2X</w:t>
      </w:r>
      <w:r>
        <w:rPr>
          <w:rFonts w:ascii="Times New Roman" w:hAnsi="Times New Roman" w:cs="Times New Roman" w:eastAsia="Times New Roman" w:hint="default"/>
          <w:spacing w:val="1"/>
        </w:rPr>
        <w:t> </w:t>
      </w:r>
      <w:r>
        <w:rPr>
          <w:spacing w:val="-3"/>
        </w:rPr>
        <w:t>和其他新业务的发展；</w:t>
      </w:r>
      <w:r>
        <w:rPr>
          <w:rFonts w:ascii="Times New Roman" w:hAnsi="Times New Roman" w:cs="Times New Roman" w:eastAsia="Times New Roman" w:hint="default"/>
          <w:spacing w:val="-3"/>
        </w:rPr>
        <w:t>ETC+</w:t>
      </w:r>
      <w:r>
        <w:rPr>
          <w:spacing w:val="-3"/>
        </w:rPr>
        <w:t>业务取得跨越式发展，实现销售收入</w:t>
      </w:r>
      <w:r>
        <w:rPr>
          <w:spacing w:val="-43"/>
        </w:rPr>
        <w:t> </w:t>
      </w:r>
      <w:r>
        <w:rPr>
          <w:rFonts w:ascii="Times New Roman" w:hAnsi="Times New Roman" w:cs="Times New Roman" w:eastAsia="Times New Roman" w:hint="default"/>
        </w:rPr>
        <w:t>1800</w:t>
      </w:r>
      <w:r>
        <w:rPr>
          <w:rFonts w:ascii="Times New Roman" w:hAnsi="Times New Roman" w:cs="Times New Roman" w:eastAsia="Times New Roman" w:hint="default"/>
          <w:spacing w:val="2"/>
        </w:rPr>
        <w:t> </w:t>
      </w:r>
      <w:r>
        <w:rPr>
          <w:spacing w:val="-8"/>
        </w:rPr>
        <w:t>万；停车场业务、城市</w:t>
      </w:r>
      <w:r>
        <w:rPr>
          <w:spacing w:val="-43"/>
        </w:rPr>
        <w:t> </w:t>
      </w:r>
      <w:r>
        <w:rPr>
          <w:rFonts w:ascii="Times New Roman" w:hAnsi="Times New Roman" w:cs="Times New Roman" w:eastAsia="Times New Roman" w:hint="default"/>
        </w:rPr>
        <w:t>ITS</w:t>
      </w:r>
    </w:p>
    <w:p>
      <w:pPr>
        <w:pStyle w:val="BodyText"/>
        <w:spacing w:line="240" w:lineRule="auto" w:before="14"/>
        <w:ind w:right="1235"/>
        <w:jc w:val="left"/>
      </w:pPr>
      <w:r>
        <w:rPr/>
        <w:t>（智能交通系统）业务、物联网业务、</w:t>
      </w:r>
      <w:r>
        <w:rPr>
          <w:rFonts w:ascii="Times New Roman" w:hAnsi="Times New Roman" w:cs="Times New Roman" w:eastAsia="Times New Roman" w:hint="default"/>
        </w:rPr>
        <w:t>RFID</w:t>
      </w:r>
      <w:r>
        <w:rPr>
          <w:rFonts w:ascii="Times New Roman" w:hAnsi="Times New Roman" w:cs="Times New Roman" w:eastAsia="Times New Roman" w:hint="default"/>
          <w:spacing w:val="-2"/>
        </w:rPr>
        <w:t> </w:t>
      </w:r>
      <w:r>
        <w:rPr/>
        <w:t>业务、汽车电子业务、国际业务等新业务也取得一定成果。</w:t>
      </w:r>
    </w:p>
    <w:p>
      <w:pPr>
        <w:pStyle w:val="BodyText"/>
        <w:spacing w:line="302" w:lineRule="auto" w:before="102"/>
        <w:ind w:right="1130"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年，公司实现营业收入</w:t>
      </w:r>
      <w:r>
        <w:rPr>
          <w:spacing w:val="-40"/>
        </w:rPr>
        <w:t> </w:t>
      </w:r>
      <w:r>
        <w:rPr>
          <w:rFonts w:ascii="Times New Roman" w:hAnsi="Times New Roman" w:cs="Times New Roman" w:eastAsia="Times New Roman" w:hint="default"/>
        </w:rPr>
        <w:t>6.23</w:t>
      </w:r>
      <w:r>
        <w:rPr>
          <w:rFonts w:ascii="Times New Roman" w:hAnsi="Times New Roman" w:cs="Times New Roman" w:eastAsia="Times New Roman" w:hint="default"/>
          <w:spacing w:val="5"/>
        </w:rPr>
        <w:t> </w:t>
      </w:r>
      <w:r>
        <w:rPr/>
        <w:t>亿元，比上年同期下降</w:t>
      </w:r>
      <w:r>
        <w:rPr>
          <w:spacing w:val="-39"/>
        </w:rPr>
        <w:t> </w:t>
      </w:r>
      <w:r>
        <w:rPr>
          <w:rFonts w:ascii="Times New Roman" w:hAnsi="Times New Roman" w:cs="Times New Roman" w:eastAsia="Times New Roman" w:hint="default"/>
        </w:rPr>
        <w:t>6.89%</w:t>
      </w:r>
      <w:r>
        <w:rPr/>
        <w:t>，实现归属于上市公司股东的净利润</w:t>
      </w:r>
      <w:r>
        <w:rPr>
          <w:spacing w:val="-39"/>
        </w:rPr>
        <w:t> </w:t>
      </w:r>
      <w:r>
        <w:rPr>
          <w:rFonts w:ascii="宋体" w:hAnsi="宋体" w:cs="宋体" w:eastAsia="宋体" w:hint="default"/>
        </w:rPr>
        <w:t>8941.79</w:t>
      </w:r>
      <w:r>
        <w:rPr>
          <w:rFonts w:ascii="宋体" w:hAnsi="宋体" w:cs="宋体" w:eastAsia="宋体" w:hint="default"/>
          <w:spacing w:val="-40"/>
        </w:rPr>
        <w:t> </w:t>
      </w:r>
      <w:r>
        <w:rPr/>
        <w:t>万元，比 上年同期下降</w:t>
      </w:r>
      <w:r>
        <w:rPr>
          <w:spacing w:val="-46"/>
        </w:rPr>
        <w:t> </w:t>
      </w:r>
      <w:r>
        <w:rPr>
          <w:rFonts w:ascii="Times New Roman" w:hAnsi="Times New Roman" w:cs="Times New Roman" w:eastAsia="Times New Roman" w:hint="default"/>
        </w:rPr>
        <w:t>26.49%</w:t>
      </w:r>
      <w:r>
        <w:rPr/>
        <w:t>。</w:t>
      </w:r>
    </w:p>
    <w:p>
      <w:pPr>
        <w:pStyle w:val="Heading4"/>
        <w:spacing w:line="240" w:lineRule="auto" w:before="50"/>
        <w:ind w:right="1235"/>
        <w:jc w:val="left"/>
        <w:rPr>
          <w:b w:val="0"/>
          <w:bCs w:val="0"/>
        </w:rPr>
      </w:pPr>
      <w:r>
        <w:rPr/>
        <w:t>（一）</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年行业和市场总结</w:t>
      </w:r>
      <w:r>
        <w:rPr>
          <w:b w:val="0"/>
          <w:bCs w:val="0"/>
        </w:rPr>
      </w:r>
    </w:p>
    <w:p>
      <w:pPr>
        <w:pStyle w:val="Heading4"/>
        <w:spacing w:line="240" w:lineRule="auto" w:before="102"/>
        <w:ind w:right="1235"/>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年的外部经营环境</w:t>
      </w:r>
      <w:r>
        <w:rPr>
          <w:b w:val="0"/>
          <w:bCs w:val="0"/>
        </w:rPr>
      </w:r>
    </w:p>
    <w:p>
      <w:pPr>
        <w:pStyle w:val="BodyText"/>
        <w:spacing w:line="300" w:lineRule="auto" w:before="102"/>
        <w:ind w:right="1131" w:firstLine="360"/>
        <w:jc w:val="both"/>
      </w:pPr>
      <w:r>
        <w:rPr>
          <w:rFonts w:ascii="Times New Roman" w:hAnsi="Times New Roman" w:cs="Times New Roman" w:eastAsia="Times New Roman" w:hint="default"/>
        </w:rPr>
        <w:t>2017 </w:t>
      </w:r>
      <w:r>
        <w:rPr/>
        <w:t>年，公司外部政策环境较为积极，十九大确定了建设</w:t>
      </w:r>
      <w:r>
        <w:rPr>
          <w:rFonts w:ascii="Times New Roman" w:hAnsi="Times New Roman" w:cs="Times New Roman" w:eastAsia="Times New Roman" w:hint="default"/>
        </w:rPr>
        <w:t>“</w:t>
      </w:r>
      <w:r>
        <w:rPr/>
        <w:t>交通强国</w:t>
      </w:r>
      <w:r>
        <w:rPr>
          <w:rFonts w:ascii="Times New Roman" w:hAnsi="Times New Roman" w:cs="Times New Roman" w:eastAsia="Times New Roman" w:hint="default"/>
        </w:rPr>
        <w:t>”</w:t>
      </w:r>
      <w:r>
        <w:rPr/>
        <w:t>的战略，国家出台了多项支持智能交通和</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行 业发展的政策。</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月国务院出台《</w:t>
      </w:r>
      <w:r>
        <w:rPr>
          <w:spacing w:val="3"/>
        </w:rPr>
        <w:t> </w:t>
      </w:r>
      <w:r>
        <w:rPr>
          <w:rFonts w:ascii="Times New Roman" w:hAnsi="Times New Roman" w:cs="Times New Roman" w:eastAsia="Times New Roman" w:hint="default"/>
          <w:spacing w:val="-4"/>
          <w:w w:val="100"/>
        </w:rPr>
        <w:t>“</w:t>
      </w:r>
      <w:r>
        <w:rPr>
          <w:spacing w:val="-4"/>
          <w:w w:val="100"/>
        </w:rPr>
        <w:t>十三五</w:t>
      </w:r>
      <w:r>
        <w:rPr>
          <w:rFonts w:ascii="Times New Roman" w:hAnsi="Times New Roman" w:cs="Times New Roman" w:eastAsia="Times New Roman" w:hint="default"/>
          <w:spacing w:val="-4"/>
          <w:w w:val="100"/>
        </w:rPr>
        <w:t>”</w:t>
      </w:r>
      <w:r>
        <w:rPr>
          <w:spacing w:val="-4"/>
          <w:w w:val="100"/>
        </w:rPr>
        <w:t>现代综合交通运输体系的发展规划》，</w:t>
      </w:r>
      <w:r>
        <w:rPr>
          <w:rFonts w:ascii="Times New Roman" w:hAnsi="Times New Roman" w:cs="Times New Roman" w:eastAsia="Times New Roman" w:hint="default"/>
          <w:spacing w:val="-4"/>
          <w:w w:val="100"/>
        </w:rPr>
        <w:t>2017</w:t>
      </w:r>
      <w:r>
        <w:rPr>
          <w:rFonts w:ascii="Times New Roman" w:hAnsi="Times New Roman" w:cs="Times New Roman" w:eastAsia="Times New Roman" w:hint="default"/>
          <w:spacing w:val="5"/>
          <w:w w:val="100"/>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月交通运输部出台《推 </w:t>
      </w:r>
      <w:r>
        <w:rPr>
          <w:spacing w:val="-1"/>
        </w:rPr>
        <w:t>进智慧交通发展行动计划（</w:t>
      </w:r>
      <w:r>
        <w:rPr>
          <w:rFonts w:ascii="Times New Roman" w:hAnsi="Times New Roman" w:cs="Times New Roman" w:eastAsia="Times New Roman" w:hint="default"/>
          <w:spacing w:val="-1"/>
        </w:rPr>
        <w:t>2017-2020</w:t>
      </w:r>
      <w:r>
        <w:rPr>
          <w:rFonts w:ascii="Times New Roman" w:hAnsi="Times New Roman" w:cs="Times New Roman" w:eastAsia="Times New Roman" w:hint="default"/>
          <w:spacing w:val="2"/>
        </w:rPr>
        <w:t> </w:t>
      </w:r>
      <w:r>
        <w:rPr>
          <w:spacing w:val="-25"/>
        </w:rPr>
        <w:t>年）》、</w:t>
      </w:r>
      <w:r>
        <w:rPr>
          <w:rFonts w:ascii="Times New Roman" w:hAnsi="Times New Roman" w:cs="Times New Roman" w:eastAsia="Times New Roman" w:hint="default"/>
          <w:spacing w:val="-25"/>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1"/>
        </w:rPr>
        <w:t>月交通运输部连同财政部、国税总局出台了《完善收费公路通行费增</w:t>
      </w:r>
      <w:r>
        <w:rPr/>
        <w:t> </w:t>
      </w:r>
      <w:r>
        <w:rPr>
          <w:spacing w:val="-6"/>
        </w:rPr>
        <w:t>值税发票开具工作实施方案》、</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1"/>
        </w:rPr>
        <w:t>月交通运输部确定智慧公路与新一代国家交通控制网试点承担省份，上述国家政策</w:t>
      </w:r>
      <w:r>
        <w:rPr/>
        <w:t> 及工作部署为智能交通及</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行业的发展提供了大力支持，也提出了更高的目标。</w:t>
      </w:r>
    </w:p>
    <w:p>
      <w:pPr>
        <w:pStyle w:val="BodyText"/>
        <w:spacing w:line="302" w:lineRule="auto" w:before="51"/>
        <w:ind w:right="1131" w:firstLine="360"/>
        <w:jc w:val="both"/>
      </w:pPr>
      <w:r>
        <w:rPr/>
        <w:t>因政策出台时间不久，</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年度属于政策的宣贯及建设酝酿期，未能带来新增的大规模市场需求，政策对市场的刺激 效应未能体现。</w:t>
      </w:r>
    </w:p>
    <w:p>
      <w:pPr>
        <w:pStyle w:val="BodyText"/>
        <w:spacing w:line="302" w:lineRule="auto" w:before="68"/>
        <w:ind w:right="1129" w:firstLine="360"/>
        <w:jc w:val="both"/>
      </w:pPr>
      <w:r>
        <w:rPr/>
        <w:t>在高速公路电子不停车收费领域，</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年出台的全国高速公路电子不停车收费联网的政策刺激已经被市场消化，而新 一轮政策的刺激效应尚未显现，</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年度行业呈现放缓格局，市场竞争加剧，售价下跌。</w:t>
      </w:r>
    </w:p>
    <w:p>
      <w:pPr>
        <w:pStyle w:val="BodyText"/>
        <w:spacing w:line="300" w:lineRule="auto" w:before="50"/>
        <w:ind w:right="1131" w:firstLine="360"/>
        <w:jc w:val="both"/>
      </w:pPr>
      <w:r>
        <w:rPr/>
        <w:t>在汽车电子标识领域，</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GB/T</w:t>
      </w:r>
      <w:r>
        <w:rPr>
          <w:rFonts w:ascii="Times New Roman" w:hAnsi="Times New Roman" w:cs="Times New Roman" w:eastAsia="Times New Roman" w:hint="default"/>
          <w:spacing w:val="-5"/>
        </w:rPr>
        <w:t> </w:t>
      </w:r>
      <w:r>
        <w:rPr>
          <w:rFonts w:ascii="Times New Roman" w:hAnsi="Times New Roman" w:cs="Times New Roman" w:eastAsia="Times New Roman" w:hint="default"/>
        </w:rPr>
        <w:t>35788-2017</w:t>
      </w:r>
      <w:r>
        <w:rPr/>
        <w:t>《机动车电子标识安全技术要求》等一系列汽车电子标识 的国家标准颁布，标志着汽车电子标识领域进入了全新的发展阶段，但正式实施时间在</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 </w:t>
      </w:r>
      <w:r>
        <w:rPr/>
        <w:t>日后，要形成大规模 的市场应用还有待时日。</w:t>
      </w:r>
    </w:p>
    <w:p>
      <w:pPr>
        <w:pStyle w:val="BodyText"/>
        <w:spacing w:line="302" w:lineRule="auto" w:before="70"/>
        <w:ind w:left="154" w:right="1131" w:firstLine="360"/>
        <w:jc w:val="both"/>
      </w:pPr>
      <w:r>
        <w:rPr/>
        <w:t>在车路协同领域，中国的首选通信技术</w:t>
      </w:r>
      <w:r>
        <w:rPr>
          <w:spacing w:val="-41"/>
        </w:rPr>
        <w:t> </w:t>
      </w:r>
      <w:r>
        <w:rPr>
          <w:rFonts w:ascii="Times New Roman" w:hAnsi="Times New Roman" w:cs="Times New Roman" w:eastAsia="Times New Roman" w:hint="default"/>
          <w:spacing w:val="-3"/>
        </w:rPr>
        <w:t>LTE-V2X</w:t>
      </w:r>
      <w:r>
        <w:rPr>
          <w:rFonts w:ascii="Times New Roman" w:hAnsi="Times New Roman" w:cs="Times New Roman" w:eastAsia="Times New Roman" w:hint="default"/>
          <w:spacing w:val="3"/>
        </w:rPr>
        <w:t> </w:t>
      </w:r>
      <w:r>
        <w:rPr/>
        <w:t>日臻成熟。车路协同正从封闭试验场走进开放路段测试甚至高速试点 阶段，但仍属技术探索和标准完善阶段，市场处于萌芽期。</w:t>
      </w:r>
    </w:p>
    <w:p>
      <w:pPr>
        <w:pStyle w:val="BodyText"/>
        <w:spacing w:line="240" w:lineRule="auto" w:before="68"/>
        <w:ind w:left="514" w:right="0"/>
        <w:jc w:val="left"/>
      </w:pPr>
      <w:r>
        <w:rPr/>
        <w:t>随着新一代国家交通控制网、智慧公路、多义性路径识别系统、汽车电子标识等新一轮政策和标准在</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年下半年至</w:t>
      </w:r>
    </w:p>
    <w:p>
      <w:pPr>
        <w:pStyle w:val="BodyText"/>
        <w:spacing w:line="302" w:lineRule="auto" w:before="63"/>
        <w:ind w:right="111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年初的集中出台，预计增量市场需求将在</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年逐渐释放，对公司</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年的业绩带来积极影响，公司早已在上述几 个新业务领域提前布局，将积极把握市场机会。</w:t>
      </w:r>
    </w:p>
    <w:p>
      <w:pPr>
        <w:pStyle w:val="Heading4"/>
        <w:spacing w:line="240" w:lineRule="auto" w:before="70"/>
        <w:ind w:right="1235"/>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年的市场格局</w:t>
      </w:r>
      <w:r>
        <w:rPr>
          <w:b w:val="0"/>
          <w:bCs w:val="0"/>
        </w:rPr>
      </w:r>
    </w:p>
    <w:p>
      <w:pPr>
        <w:pStyle w:val="BodyText"/>
        <w:spacing w:line="300" w:lineRule="auto" w:before="101"/>
        <w:ind w:right="1129"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年，公司的主营业务集中在高速公路</w:t>
      </w:r>
      <w:r>
        <w:rPr>
          <w:spacing w:val="-42"/>
        </w:rPr>
        <w:t> </w:t>
      </w:r>
      <w:r>
        <w:rPr>
          <w:rFonts w:ascii="Times New Roman" w:hAnsi="Times New Roman" w:cs="Times New Roman" w:eastAsia="Times New Roman" w:hint="default"/>
        </w:rPr>
        <w:t>ETC</w:t>
      </w:r>
      <w:r>
        <w:rPr/>
        <w:t>。至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月，高速公路</w:t>
      </w:r>
      <w:r>
        <w:rPr>
          <w:spacing w:val="-41"/>
        </w:rPr>
        <w:t> </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用户数量已达到</w:t>
      </w:r>
      <w:r>
        <w:rPr>
          <w:spacing w:val="-4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万，但用户增 长趋势较</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年有所减缓。全国高速公路</w:t>
      </w:r>
      <w:r>
        <w:rPr>
          <w:spacing w:val="-41"/>
        </w:rPr>
        <w:t> </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平均使用率约为</w:t>
      </w:r>
      <w:r>
        <w:rPr>
          <w:spacing w:val="-41"/>
        </w:rPr>
        <w:t> </w:t>
      </w:r>
      <w:r>
        <w:rPr>
          <w:rFonts w:ascii="Times New Roman" w:hAnsi="Times New Roman" w:cs="Times New Roman" w:eastAsia="Times New Roman" w:hint="default"/>
        </w:rPr>
        <w:t>35%</w:t>
      </w:r>
      <w:r>
        <w:rPr/>
        <w:t>，在一线城市，</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车载设备的普及率超过 </w:t>
      </w:r>
      <w:r>
        <w:rPr>
          <w:rFonts w:ascii="Times New Roman" w:hAnsi="Times New Roman" w:cs="Times New Roman" w:eastAsia="Times New Roman" w:hint="default"/>
          <w:spacing w:val="-9"/>
        </w:rPr>
        <w:t>70%</w:t>
      </w:r>
      <w:r>
        <w:rPr>
          <w:spacing w:val="-9"/>
        </w:rPr>
        <w:t>。</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1"/>
        </w:rPr>
        <w:t> </w:t>
      </w:r>
      <w:r>
        <w:rPr>
          <w:spacing w:val="-9"/>
        </w:rPr>
        <w:t>年，全国高速公路</w:t>
      </w:r>
      <w:r>
        <w:rPr>
          <w:spacing w:val="-44"/>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设备主线覆盖率达到</w:t>
      </w:r>
      <w:r>
        <w:rPr>
          <w:spacing w:val="-44"/>
        </w:rPr>
        <w:t> </w:t>
      </w:r>
      <w:r>
        <w:rPr>
          <w:rFonts w:ascii="Times New Roman" w:hAnsi="Times New Roman" w:cs="Times New Roman" w:eastAsia="Times New Roman" w:hint="default"/>
          <w:spacing w:val="-5"/>
        </w:rPr>
        <w:t>99%</w:t>
      </w:r>
      <w:r>
        <w:rPr>
          <w:spacing w:val="-5"/>
        </w:rPr>
        <w:t>，匝道收费站覆盖率达到</w:t>
      </w:r>
      <w:r>
        <w:rPr>
          <w:spacing w:val="-44"/>
        </w:rPr>
        <w:t> </w:t>
      </w:r>
      <w:r>
        <w:rPr>
          <w:rFonts w:ascii="Times New Roman" w:hAnsi="Times New Roman" w:cs="Times New Roman" w:eastAsia="Times New Roman" w:hint="default"/>
          <w:spacing w:val="-10"/>
        </w:rPr>
        <w:t>95%</w:t>
      </w:r>
      <w:r>
        <w:rPr>
          <w:spacing w:val="-10"/>
        </w:rPr>
        <w:t>，</w:t>
      </w:r>
      <w:r>
        <w:rPr>
          <w:rFonts w:ascii="Times New Roman" w:hAnsi="Times New Roman" w:cs="Times New Roman" w:eastAsia="Times New Roman" w:hint="default"/>
          <w:spacing w:val="-10"/>
        </w:rPr>
        <w:t>ETC</w:t>
      </w:r>
      <w:r>
        <w:rPr>
          <w:rFonts w:ascii="Times New Roman" w:hAnsi="Times New Roman" w:cs="Times New Roman" w:eastAsia="Times New Roman" w:hint="default"/>
          <w:spacing w:val="1"/>
        </w:rPr>
        <w:t> </w:t>
      </w:r>
      <w:r>
        <w:rPr/>
        <w:t>车道的建设增长趋势较</w:t>
      </w:r>
      <w:r>
        <w:rPr>
          <w:spacing w:val="-44"/>
        </w:rPr>
        <w:t>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年有所放缓。随着产品和技术的成熟，市场竞争更加激烈，产品售价持续降低。在</w:t>
      </w:r>
      <w:r>
        <w:rPr>
          <w:spacing w:val="-52"/>
        </w:rPr>
        <w:t> </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t>行业放缓的形势下，公司 </w:t>
      </w:r>
      <w:r>
        <w:rPr>
          <w:rFonts w:ascii="Times New Roman" w:hAnsi="Times New Roman" w:cs="Times New Roman" w:eastAsia="Times New Roman" w:hint="default"/>
        </w:rPr>
        <w:t>ETC </w:t>
      </w:r>
      <w:r>
        <w:rPr/>
        <w:t>业务保持了行业领先地位，</w:t>
      </w:r>
      <w:r>
        <w:rPr>
          <w:rFonts w:ascii="Times New Roman" w:hAnsi="Times New Roman" w:cs="Times New Roman" w:eastAsia="Times New Roman" w:hint="default"/>
        </w:rPr>
        <w:t>OBU </w:t>
      </w:r>
      <w:r>
        <w:rPr/>
        <w:t>销量超过</w:t>
      </w:r>
      <w:r>
        <w:rPr>
          <w:spacing w:val="-44"/>
        </w:rPr>
        <w:t> </w:t>
      </w:r>
      <w:r>
        <w:rPr>
          <w:rFonts w:ascii="Times New Roman" w:hAnsi="Times New Roman" w:cs="Times New Roman" w:eastAsia="Times New Roman" w:hint="default"/>
        </w:rPr>
        <w:t>500 </w:t>
      </w:r>
      <w:r>
        <w:rPr/>
        <w:t>万台，同比保持增长，但由于价格下跌幅度较大，公司销售收入略有下 降。</w:t>
      </w:r>
    </w:p>
    <w:p>
      <w:pPr>
        <w:pStyle w:val="BodyText"/>
        <w:spacing w:line="240" w:lineRule="auto" w:before="71"/>
        <w:ind w:left="514" w:right="1235"/>
        <w:jc w:val="left"/>
      </w:pPr>
      <w:r>
        <w:rPr/>
        <w:t>由于政策出台晚于预期，</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路径识别、货车</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市场需求没有大规模形成。</w:t>
      </w:r>
    </w:p>
    <w:p>
      <w:pPr>
        <w:pStyle w:val="BodyText"/>
        <w:spacing w:line="300" w:lineRule="auto" w:before="101"/>
        <w:ind w:right="1131" w:firstLine="360"/>
        <w:jc w:val="both"/>
      </w:pPr>
      <w:r>
        <w:rPr>
          <w:rFonts w:ascii="Times New Roman" w:hAnsi="Times New Roman" w:cs="Times New Roman" w:eastAsia="Times New Roman" w:hint="default"/>
        </w:rPr>
        <w:t>ETC+</w:t>
      </w:r>
      <w:r>
        <w:rPr/>
        <w:t>互联网、</w:t>
      </w:r>
      <w:r>
        <w:rPr>
          <w:rFonts w:ascii="Times New Roman" w:hAnsi="Times New Roman" w:cs="Times New Roman" w:eastAsia="Times New Roman" w:hint="default"/>
        </w:rPr>
        <w:t>ETC+4G</w:t>
      </w:r>
      <w:r>
        <w:rPr>
          <w:rFonts w:ascii="Times New Roman" w:hAnsi="Times New Roman" w:cs="Times New Roman" w:eastAsia="Times New Roman" w:hint="default"/>
          <w:spacing w:val="26"/>
        </w:rPr>
        <w:t> </w:t>
      </w:r>
      <w:r>
        <w:rPr/>
        <w:t>的新产品市场刚刚兴起，移动通信运营商成为新的设备采购方，但因为商业模式较新，市场发 展刚刚起步，行业市场规模仍偏小，</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年公司</w:t>
      </w:r>
      <w:r>
        <w:rPr>
          <w:spacing w:val="-56"/>
        </w:rPr>
        <w:t> </w:t>
      </w:r>
      <w:r>
        <w:rPr>
          <w:rFonts w:ascii="Times New Roman" w:hAnsi="Times New Roman" w:cs="Times New Roman" w:eastAsia="Times New Roman" w:hint="default"/>
        </w:rPr>
        <w:t>ETC+</w:t>
      </w:r>
      <w:r>
        <w:rPr/>
        <w:t>业务取得跨越式发展，推出业内第一款量产</w:t>
      </w:r>
      <w:r>
        <w:rPr>
          <w:spacing w:val="-56"/>
        </w:rPr>
        <w:t> </w:t>
      </w:r>
      <w:r>
        <w:rPr>
          <w:rFonts w:ascii="Times New Roman" w:hAnsi="Times New Roman" w:cs="Times New Roman" w:eastAsia="Times New Roman" w:hint="default"/>
        </w:rPr>
        <w:t>4G</w:t>
      </w:r>
      <w:r>
        <w:rPr>
          <w:rFonts w:ascii="Times New Roman" w:hAnsi="Times New Roman" w:cs="Times New Roman" w:eastAsia="Times New Roman" w:hint="default"/>
          <w:spacing w:val="-10"/>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产品，实现销售 收入</w:t>
      </w:r>
      <w:r>
        <w:rPr>
          <w:spacing w:val="-46"/>
        </w:rPr>
        <w:t> </w:t>
      </w:r>
      <w:r>
        <w:rPr>
          <w:rFonts w:ascii="Times New Roman" w:hAnsi="Times New Roman" w:cs="Times New Roman" w:eastAsia="Times New Roman" w:hint="default"/>
        </w:rPr>
        <w:t>1800</w:t>
      </w:r>
      <w:r>
        <w:rPr>
          <w:rFonts w:ascii="Times New Roman" w:hAnsi="Times New Roman" w:cs="Times New Roman" w:eastAsia="Times New Roman" w:hint="default"/>
          <w:spacing w:val="-1"/>
        </w:rPr>
        <w:t> </w:t>
      </w:r>
      <w:r>
        <w:rPr/>
        <w:t>万元。</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2" w:lineRule="auto" w:before="44"/>
        <w:ind w:right="0" w:firstLine="360"/>
        <w:jc w:val="left"/>
      </w:pPr>
      <w:r>
        <w:rPr/>
        <w:t>目前，</w:t>
      </w:r>
      <w:r>
        <w:rPr>
          <w:rFonts w:ascii="Times New Roman" w:hAnsi="Times New Roman" w:cs="Times New Roman" w:eastAsia="Times New Roman" w:hint="default"/>
        </w:rPr>
        <w:t>ETC</w:t>
      </w:r>
      <w:r>
        <w:rPr>
          <w:rFonts w:ascii="Times New Roman" w:hAnsi="Times New Roman" w:cs="Times New Roman" w:eastAsia="Times New Roman" w:hint="default"/>
          <w:spacing w:val="20"/>
        </w:rPr>
        <w:t> </w:t>
      </w:r>
      <w:r>
        <w:rPr/>
        <w:t>行业维持以三家公司为主的竞争格局。公司持续保持国内行业技术领先和市场份额领先的地位，并更加大 力度将自主技术、产品和解决方案推向国际市场。</w:t>
      </w:r>
    </w:p>
    <w:p>
      <w:pPr>
        <w:pStyle w:val="Heading4"/>
        <w:spacing w:line="240" w:lineRule="auto" w:before="69"/>
        <w:ind w:right="1235"/>
        <w:jc w:val="left"/>
        <w:rPr>
          <w:b w:val="0"/>
          <w:bCs w:val="0"/>
        </w:rPr>
      </w:pPr>
      <w:r>
        <w:rPr/>
        <w:t>（二）</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年经营情况总结</w:t>
      </w:r>
      <w:r>
        <w:rPr>
          <w:b w:val="0"/>
          <w:bCs w:val="0"/>
        </w:rPr>
      </w:r>
    </w:p>
    <w:p>
      <w:pPr>
        <w:pStyle w:val="BodyText"/>
        <w:spacing w:line="240" w:lineRule="auto" w:before="103"/>
        <w:ind w:left="513" w:right="123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年度，公司实施推进了有关业务开拓、研发创新、组织变革、人才发展、文化建设等各项具体工作计划。</w:t>
      </w:r>
    </w:p>
    <w:p>
      <w:pPr>
        <w:pStyle w:val="Heading4"/>
        <w:spacing w:line="240" w:lineRule="auto" w:before="103"/>
        <w:ind w:right="1235"/>
        <w:jc w:val="left"/>
        <w:rPr>
          <w:b w:val="0"/>
          <w:bCs w:val="0"/>
        </w:rPr>
      </w:pPr>
      <w:r>
        <w:rPr>
          <w:rFonts w:ascii="Times New Roman" w:hAnsi="Times New Roman" w:cs="Times New Roman" w:eastAsia="Times New Roman" w:hint="default"/>
        </w:rPr>
        <w:t>1</w:t>
      </w:r>
      <w:r>
        <w:rPr/>
        <w:t>、夯实智慧交通产业领军者形象，扩大公司品牌影响力</w:t>
      </w:r>
      <w:r>
        <w:rPr>
          <w:b w:val="0"/>
          <w:bCs w:val="0"/>
        </w:rPr>
      </w:r>
    </w:p>
    <w:p>
      <w:pPr>
        <w:pStyle w:val="BodyText"/>
        <w:spacing w:line="300" w:lineRule="auto" w:before="101"/>
        <w:ind w:right="1035"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年，公司加大品牌宣传力度，冠名赞助交通部</w:t>
      </w:r>
      <w:r>
        <w:rPr>
          <w:rFonts w:ascii="Times New Roman" w:hAnsi="Times New Roman" w:cs="Times New Roman" w:eastAsia="Times New Roman" w:hint="default"/>
        </w:rPr>
        <w:t>“</w:t>
      </w:r>
      <w:r>
        <w:rPr/>
        <w:t>小谷围互联网</w:t>
      </w:r>
      <w:r>
        <w:rPr>
          <w:rFonts w:ascii="Times New Roman" w:hAnsi="Times New Roman" w:cs="Times New Roman" w:eastAsia="Times New Roman" w:hint="default"/>
        </w:rPr>
        <w:t>+</w:t>
      </w:r>
      <w:r>
        <w:rPr/>
        <w:t>交通运输创新创业大赛</w:t>
      </w:r>
      <w:r>
        <w:rPr>
          <w:rFonts w:ascii="Times New Roman" w:hAnsi="Times New Roman" w:cs="Times New Roman" w:eastAsia="Times New Roman" w:hint="default"/>
        </w:rPr>
        <w:t>”</w:t>
      </w:r>
      <w:r>
        <w:rPr/>
        <w:t>，牵头成立中国互联网交通 运输产业创新联盟并担任理事长单位。同时，成功获得中国智能交通行业</w:t>
      </w:r>
      <w:r>
        <w:rPr>
          <w:rFonts w:ascii="Times New Roman" w:hAnsi="Times New Roman" w:cs="Times New Roman" w:eastAsia="Times New Roman" w:hint="default"/>
        </w:rPr>
        <w:t>“</w:t>
      </w:r>
      <w:r>
        <w:rPr/>
        <w:t>品牌榜样奖</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领军企业奖</w:t>
      </w:r>
      <w:r>
        <w:rPr>
          <w:rFonts w:ascii="Times New Roman" w:hAnsi="Times New Roman" w:cs="Times New Roman" w:eastAsia="Times New Roman" w:hint="default"/>
        </w:rPr>
        <w:t>”</w:t>
      </w:r>
      <w:r>
        <w:rPr/>
        <w:t>，</w:t>
      </w:r>
      <w:r>
        <w:rPr>
          <w:rFonts w:ascii="Times New Roman" w:hAnsi="Times New Roman" w:cs="Times New Roman" w:eastAsia="Times New Roman" w:hint="default"/>
        </w:rPr>
        <w:t>4G</w:t>
      </w:r>
      <w:r>
        <w:rPr>
          <w:rFonts w:ascii="Times New Roman" w:hAnsi="Times New Roman" w:cs="Times New Roman" w:eastAsia="Times New Roman" w:hint="default"/>
          <w:spacing w:val="-5"/>
        </w:rPr>
        <w:t> </w:t>
      </w:r>
      <w:r>
        <w:rPr/>
        <w:t>智能</w:t>
      </w:r>
      <w:r>
        <w:rPr>
          <w:spacing w:val="-50"/>
        </w:rPr>
        <w:t> </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t>产品 </w:t>
      </w:r>
      <w:r>
        <w:rPr>
          <w:spacing w:val="-6"/>
          <w:w w:val="100"/>
        </w:rPr>
        <w:t>荣获</w:t>
      </w:r>
      <w:r>
        <w:rPr>
          <w:rFonts w:ascii="Times New Roman" w:hAnsi="Times New Roman" w:cs="Times New Roman" w:eastAsia="Times New Roman" w:hint="default"/>
          <w:spacing w:val="-6"/>
          <w:w w:val="100"/>
        </w:rPr>
        <w:t>“</w:t>
      </w:r>
      <w:r>
        <w:rPr>
          <w:spacing w:val="-6"/>
          <w:w w:val="100"/>
        </w:rPr>
        <w:t>最佳产品奖</w:t>
      </w:r>
      <w:r>
        <w:rPr>
          <w:rFonts w:ascii="Times New Roman" w:hAnsi="Times New Roman" w:cs="Times New Roman" w:eastAsia="Times New Roman" w:hint="default"/>
          <w:spacing w:val="-6"/>
          <w:w w:val="100"/>
        </w:rPr>
        <w:t>”</w:t>
      </w:r>
      <w:r>
        <w:rPr>
          <w:spacing w:val="-6"/>
          <w:w w:val="100"/>
        </w:rPr>
        <w:t>；获评为</w:t>
      </w:r>
      <w:r>
        <w:rPr>
          <w:rFonts w:ascii="Times New Roman" w:hAnsi="Times New Roman" w:cs="Times New Roman" w:eastAsia="Times New Roman" w:hint="default"/>
          <w:spacing w:val="-6"/>
          <w:w w:val="100"/>
        </w:rPr>
        <w:t>“2017</w:t>
      </w:r>
      <w:r>
        <w:rPr>
          <w:rFonts w:ascii="Times New Roman" w:hAnsi="Times New Roman" w:cs="Times New Roman" w:eastAsia="Times New Roman" w:hint="default"/>
          <w:spacing w:val="24"/>
          <w:w w:val="100"/>
        </w:rPr>
        <w:t> </w:t>
      </w:r>
      <w:r>
        <w:rPr>
          <w:spacing w:val="-1"/>
          <w:w w:val="100"/>
        </w:rPr>
        <w:t>年度创新成长型企业</w:t>
      </w:r>
      <w:r>
        <w:rPr>
          <w:rFonts w:ascii="Times New Roman" w:hAnsi="Times New Roman" w:cs="Times New Roman" w:eastAsia="Times New Roman" w:hint="default"/>
          <w:spacing w:val="-1"/>
          <w:w w:val="100"/>
        </w:rPr>
        <w:t>”</w:t>
      </w:r>
      <w:r>
        <w:rPr>
          <w:spacing w:val="-1"/>
          <w:w w:val="100"/>
        </w:rPr>
        <w:t>和</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4"/>
          <w:w w:val="100"/>
        </w:rPr>
        <w:t> </w:t>
      </w:r>
      <w:r>
        <w:rPr>
          <w:spacing w:val="-4"/>
          <w:w w:val="100"/>
        </w:rPr>
        <w:t>中国智能交通三十强</w:t>
      </w:r>
      <w:r>
        <w:rPr>
          <w:rFonts w:ascii="Times New Roman" w:hAnsi="Times New Roman" w:cs="Times New Roman" w:eastAsia="Times New Roman" w:hint="default"/>
          <w:spacing w:val="-4"/>
          <w:w w:val="100"/>
        </w:rPr>
        <w:t>”</w:t>
      </w:r>
      <w:r>
        <w:rPr>
          <w:spacing w:val="-4"/>
          <w:w w:val="100"/>
        </w:rPr>
        <w:t>，获得中国停车行业权威奖项</w:t>
      </w:r>
      <w:r>
        <w:rPr>
          <w:rFonts w:ascii="Times New Roman" w:hAnsi="Times New Roman" w:cs="Times New Roman" w:eastAsia="Times New Roman" w:hint="default"/>
          <w:spacing w:val="-4"/>
          <w:w w:val="100"/>
        </w:rPr>
        <w:t>“</w:t>
      </w:r>
      <w:r>
        <w:rPr>
          <w:spacing w:val="-4"/>
          <w:w w:val="100"/>
        </w:rPr>
        <w:t>金泊奖</w:t>
      </w:r>
      <w:r>
        <w:rPr>
          <w:rFonts w:ascii="Times New Roman" w:hAnsi="Times New Roman" w:cs="Times New Roman" w:eastAsia="Times New Roman" w:hint="default"/>
          <w:spacing w:val="-4"/>
          <w:w w:val="100"/>
        </w:rPr>
        <w:t>”</w:t>
      </w:r>
      <w:r>
        <w:rPr>
          <w:spacing w:val="-4"/>
          <w:w w:val="100"/>
        </w:rPr>
        <w:t>；</w:t>
      </w:r>
      <w:r>
        <w:rPr>
          <w:spacing w:val="-83"/>
          <w:w w:val="100"/>
        </w:rPr>
        <w:t> </w:t>
      </w:r>
      <w:r>
        <w:rPr/>
        <w:t>罗瑞发董事长荣获</w:t>
      </w:r>
      <w:r>
        <w:rPr>
          <w:rFonts w:ascii="Times New Roman" w:hAnsi="Times New Roman" w:cs="Times New Roman" w:eastAsia="Times New Roman" w:hint="default"/>
        </w:rPr>
        <w:t>“</w:t>
      </w:r>
      <w:r>
        <w:rPr/>
        <w:t>企业家精神奖</w:t>
      </w:r>
      <w:r>
        <w:rPr>
          <w:rFonts w:ascii="Times New Roman" w:hAnsi="Times New Roman" w:cs="Times New Roman" w:eastAsia="Times New Roman" w:hint="default"/>
        </w:rPr>
        <w:t>”</w:t>
      </w:r>
      <w:r>
        <w:rPr/>
        <w:t>等多个奖项。通过一系列宣传活动与荣誉获取，公司的行业影响力迅速扩大，产品服务具 有更为广泛的公众认知度。</w:t>
      </w:r>
    </w:p>
    <w:p>
      <w:pPr>
        <w:pStyle w:val="Heading4"/>
        <w:spacing w:line="240" w:lineRule="auto"/>
        <w:ind w:right="1235"/>
        <w:jc w:val="left"/>
        <w:rPr>
          <w:b w:val="0"/>
          <w:bCs w:val="0"/>
        </w:rPr>
      </w:pPr>
      <w:r>
        <w:rPr>
          <w:rFonts w:ascii="Times New Roman" w:hAnsi="Times New Roman" w:cs="Times New Roman" w:eastAsia="Times New Roman" w:hint="default"/>
        </w:rPr>
        <w:t>2</w:t>
      </w:r>
      <w:r>
        <w:rPr/>
        <w:t>、通过人才升级提升研发实力，以技术创新占据行业制高点</w:t>
      </w:r>
      <w:r>
        <w:rPr>
          <w:b w:val="0"/>
          <w:bCs w:val="0"/>
        </w:rPr>
      </w:r>
    </w:p>
    <w:p>
      <w:pPr>
        <w:pStyle w:val="BodyText"/>
        <w:spacing w:line="307" w:lineRule="auto" w:before="101"/>
        <w:ind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年，公司引进国家</w:t>
      </w:r>
      <w:r>
        <w:rPr>
          <w:rFonts w:ascii="Times New Roman" w:hAnsi="Times New Roman" w:cs="Times New Roman" w:eastAsia="Times New Roman" w:hint="default"/>
        </w:rPr>
        <w:t>“</w:t>
      </w:r>
      <w:r>
        <w:rPr/>
        <w:t>千人计划</w:t>
      </w:r>
      <w:r>
        <w:rPr>
          <w:rFonts w:ascii="Times New Roman" w:hAnsi="Times New Roman" w:cs="Times New Roman" w:eastAsia="Times New Roman" w:hint="default"/>
        </w:rPr>
        <w:t>”</w:t>
      </w:r>
      <w:r>
        <w:rPr/>
        <w:t>专家担任首席技术官，主导公司技术战略制定与研究院建设工作，完善相关技术布 </w:t>
      </w:r>
      <w:r>
        <w:rPr>
          <w:spacing w:val="-2"/>
        </w:rPr>
        <w:t>局。同时引进了资深的信号专家、人工智能专家、软件架构专家等高端技术人才，提升了技术攻关能力，实现了从设备到系</w:t>
      </w:r>
      <w:r>
        <w:rPr>
          <w:spacing w:val="-66"/>
        </w:rPr>
        <w:t> </w:t>
      </w:r>
      <w:r>
        <w:rPr>
          <w:spacing w:val="-66"/>
        </w:rPr>
      </w:r>
      <w:r>
        <w:rPr/>
        <w:t>统、到解决方案、到智慧交通整体规划的能力升级。年底时，公司成功申报交通部</w:t>
      </w:r>
      <w:r>
        <w:rPr>
          <w:rFonts w:ascii="Times New Roman" w:hAnsi="Times New Roman" w:cs="Times New Roman" w:eastAsia="Times New Roman" w:hint="default"/>
        </w:rPr>
        <w:t>“</w:t>
      </w:r>
      <w:r>
        <w:rPr/>
        <w:t>智能车路协同关键技术及装备行业研发</w:t>
      </w:r>
      <w:r>
        <w:rPr>
          <w:spacing w:val="-75"/>
        </w:rPr>
        <w:t> </w:t>
      </w:r>
      <w:r>
        <w:rPr>
          <w:spacing w:val="-75"/>
        </w:rPr>
      </w:r>
      <w:r>
        <w:rPr/>
        <w:t>中心</w:t>
      </w:r>
      <w:r>
        <w:rPr>
          <w:rFonts w:ascii="Times New Roman" w:hAnsi="Times New Roman" w:cs="Times New Roman" w:eastAsia="Times New Roman" w:hint="default"/>
        </w:rPr>
        <w:t>”</w:t>
      </w:r>
      <w:r>
        <w:rPr/>
        <w:t>，以全国</w:t>
      </w:r>
      <w:r>
        <w:rPr>
          <w:spacing w:val="-3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9"/>
        </w:rPr>
        <w:t> </w:t>
      </w:r>
      <w:r>
        <w:rPr/>
        <w:t>万</w:t>
      </w:r>
      <w:r>
        <w:rPr>
          <w:spacing w:val="-36"/>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用户为基础，以智慧高速试点为契机，着力搭建基于车路协同的营运车辆主动安全控制和道路 </w:t>
      </w:r>
      <w:r>
        <w:rPr>
          <w:spacing w:val="-2"/>
        </w:rPr>
        <w:t>协同管理平台，助力我国智能车路协同领域弯道超车，并成功获批博士后创新实践基地，通过产学研的深入合作，进一步强</w:t>
      </w:r>
      <w:r>
        <w:rPr>
          <w:spacing w:val="-66"/>
        </w:rPr>
        <w:t> </w:t>
      </w:r>
      <w:r>
        <w:rPr>
          <w:spacing w:val="-66"/>
        </w:rPr>
      </w:r>
      <w:r>
        <w:rPr/>
        <w:t>化公司科技实力。</w:t>
      </w:r>
    </w:p>
    <w:p>
      <w:pPr>
        <w:pStyle w:val="BodyText"/>
        <w:spacing w:line="307" w:lineRule="auto" w:before="64"/>
        <w:ind w:right="1130" w:firstLine="360"/>
        <w:jc w:val="both"/>
      </w:pPr>
      <w:r>
        <w:rPr/>
        <w:t>在新产品研发方面，公司成功推出新型路侧天线、自由流相控阵天线、新型蓝牙盒子、结合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功能的行车记录仪和 后视镜产品、</w:t>
      </w:r>
      <w:r>
        <w:rPr>
          <w:rFonts w:ascii="Times New Roman" w:hAnsi="Times New Roman" w:cs="Times New Roman" w:eastAsia="Times New Roman" w:hint="default"/>
        </w:rPr>
        <w:t>M700</w:t>
      </w:r>
      <w:r>
        <w:rPr>
          <w:rFonts w:ascii="Times New Roman" w:hAnsi="Times New Roman" w:cs="Times New Roman" w:eastAsia="Times New Roman" w:hint="default"/>
          <w:spacing w:val="-17"/>
        </w:rPr>
        <w:t> </w:t>
      </w:r>
      <w:r>
        <w:rPr/>
        <w:t>多功能手持机等多款新产品。同时在人工智能、深度学习方面进行规划布局和相关研究，例如开发适合 </w:t>
      </w:r>
      <w:r>
        <w:rPr>
          <w:spacing w:val="-2"/>
        </w:rPr>
        <w:t>用于停车场景的人工智能模型、新一代的人工智能天线、通用的人工智能处理加速硬件平台等。通过快速跟踪最新的技术潮</w:t>
      </w:r>
      <w:r>
        <w:rPr>
          <w:spacing w:val="-66"/>
        </w:rPr>
        <w:t> </w:t>
      </w:r>
      <w:r>
        <w:rPr>
          <w:spacing w:val="-66"/>
        </w:rPr>
      </w:r>
      <w:r>
        <w:rPr/>
        <w:t>流和关键技术发展，实现技术积累和沉淀，保持产品竞争优势。</w:t>
      </w:r>
    </w:p>
    <w:p>
      <w:pPr>
        <w:pStyle w:val="BodyText"/>
        <w:spacing w:line="240" w:lineRule="auto" w:before="66"/>
        <w:ind w:left="513" w:right="0"/>
        <w:jc w:val="left"/>
      </w:pPr>
      <w:r>
        <w:rPr/>
        <w:t>公司近年来每年研发投入占销售收入总额的</w:t>
      </w:r>
      <w:r>
        <w:rPr>
          <w:spacing w:val="-45"/>
        </w:rPr>
        <w:t> </w:t>
      </w:r>
      <w:r>
        <w:rPr>
          <w:rFonts w:ascii="Times New Roman" w:hAnsi="Times New Roman" w:cs="Times New Roman" w:eastAsia="Times New Roman" w:hint="default"/>
          <w:spacing w:val="-8"/>
        </w:rPr>
        <w:t>10%</w:t>
      </w:r>
      <w:r>
        <w:rPr>
          <w:spacing w:val="-8"/>
        </w:rPr>
        <w:t>以上，截至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9"/>
        </w:rPr>
        <w:t>年末，公司拥有</w:t>
      </w:r>
      <w:r>
        <w:rPr>
          <w:spacing w:val="-46"/>
        </w:rPr>
        <w:t> </w:t>
      </w:r>
      <w:r>
        <w:rPr>
          <w:rFonts w:ascii="Times New Roman" w:hAnsi="Times New Roman" w:cs="Times New Roman" w:eastAsia="Times New Roman" w:hint="default"/>
        </w:rPr>
        <w:t>381</w:t>
      </w:r>
      <w:r>
        <w:rPr>
          <w:rFonts w:ascii="Times New Roman" w:hAnsi="Times New Roman" w:cs="Times New Roman" w:eastAsia="Times New Roman" w:hint="default"/>
          <w:spacing w:val="1"/>
        </w:rPr>
        <w:t> </w:t>
      </w:r>
      <w:r>
        <w:rPr>
          <w:spacing w:val="-6"/>
        </w:rPr>
        <w:t>项专利权，其中发明专利</w:t>
      </w:r>
      <w:r>
        <w:rPr>
          <w:spacing w:val="-46"/>
        </w:rPr>
        <w:t> </w:t>
      </w:r>
      <w:r>
        <w:rPr>
          <w:rFonts w:ascii="Times New Roman" w:hAnsi="Times New Roman" w:cs="Times New Roman" w:eastAsia="Times New Roman" w:hint="default"/>
        </w:rPr>
        <w:t>105 </w:t>
      </w:r>
      <w:r>
        <w:rPr/>
        <w:t>项，</w:t>
      </w:r>
    </w:p>
    <w:p>
      <w:pPr>
        <w:pStyle w:val="BodyText"/>
        <w:spacing w:line="240" w:lineRule="auto" w:before="64"/>
        <w:ind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年度，公司新增授权发明专利</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项，在知识产权布局上遥遥领先于竞争对手。</w:t>
      </w:r>
    </w:p>
    <w:p>
      <w:pPr>
        <w:spacing w:line="338" w:lineRule="auto" w:before="102"/>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、通过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金溢智造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实现降本增效，为产品提供有力的品质保障</w:t>
      </w:r>
      <w:r>
        <w:rPr>
          <w:rFonts w:ascii="宋体" w:hAnsi="宋体" w:cs="宋体" w:eastAsia="宋体" w:hint="default"/>
          <w:b/>
          <w:bCs/>
          <w:w w:val="99"/>
          <w:sz w:val="18"/>
          <w:szCs w:val="18"/>
        </w:rPr>
        <w:t> </w:t>
      </w:r>
      <w:r>
        <w:rPr>
          <w:rFonts w:ascii="宋体" w:hAnsi="宋体" w:cs="宋体" w:eastAsia="宋体" w:hint="default"/>
          <w:spacing w:val="-4"/>
          <w:sz w:val="18"/>
          <w:szCs w:val="18"/>
        </w:rPr>
        <w:t>通过推行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工厂透明化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设备自动化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管理信息化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产品灵魂化</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的专项建设，公司在产线规划管理、供应链协同、</w:t>
      </w:r>
    </w:p>
    <w:p>
      <w:pPr>
        <w:pStyle w:val="BodyText"/>
        <w:spacing w:line="230" w:lineRule="exact"/>
        <w:ind w:right="0"/>
        <w:jc w:val="both"/>
      </w:pPr>
      <w:r>
        <w:rPr/>
        <w:t>仓储管理、产品信息管理与追溯等方面实现较高程度的自动化和智能化，柔性制造体制初步形成。</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3"/>
        </w:rPr>
        <w:t>年，年出产</w:t>
      </w:r>
      <w:r>
        <w:rPr>
          <w:spacing w:val="-61"/>
        </w:rPr>
        <w:t> </w:t>
      </w:r>
      <w:r>
        <w:rPr>
          <w:rFonts w:ascii="Times New Roman" w:hAnsi="Times New Roman" w:cs="Times New Roman" w:eastAsia="Times New Roman" w:hint="default"/>
        </w:rPr>
        <w:t>OBU</w:t>
      </w:r>
      <w:r>
        <w:rPr>
          <w:rFonts w:ascii="Times New Roman" w:hAnsi="Times New Roman" w:cs="Times New Roman" w:eastAsia="Times New Roman" w:hint="default"/>
          <w:spacing w:val="-16"/>
        </w:rPr>
        <w:t> </w:t>
      </w:r>
      <w:r>
        <w:rPr/>
        <w:t>逾</w:t>
      </w:r>
    </w:p>
    <w:p>
      <w:pPr>
        <w:pStyle w:val="BodyText"/>
        <w:spacing w:line="302" w:lineRule="auto" w:before="63"/>
        <w:ind w:right="1133"/>
        <w:jc w:val="both"/>
      </w:pPr>
      <w:r>
        <w:rPr>
          <w:rFonts w:ascii="Times New Roman" w:hAnsi="Times New Roman" w:cs="Times New Roman" w:eastAsia="Times New Roman" w:hint="default"/>
        </w:rPr>
        <w:t>500</w:t>
      </w:r>
      <w:r>
        <w:rPr>
          <w:rFonts w:ascii="Times New Roman" w:hAnsi="Times New Roman" w:cs="Times New Roman" w:eastAsia="Times New Roman" w:hint="default"/>
          <w:spacing w:val="8"/>
        </w:rPr>
        <w:t> </w:t>
      </w:r>
      <w:r>
        <w:rPr>
          <w:spacing w:val="-1"/>
        </w:rPr>
        <w:t>万台，供应链的准时交付率、人均产出等指标进一步提升，平均交货周期、存货周转天数达成历史最好水平，生产效率</w:t>
      </w:r>
      <w:r>
        <w:rPr>
          <w:spacing w:val="-88"/>
        </w:rPr>
        <w:t> </w:t>
      </w:r>
      <w:r>
        <w:rPr>
          <w:spacing w:val="-88"/>
        </w:rPr>
      </w:r>
      <w:r>
        <w:rPr/>
        <w:t>得到大幅提升。</w:t>
      </w:r>
    </w:p>
    <w:p>
      <w:pPr>
        <w:pStyle w:val="BodyText"/>
        <w:spacing w:line="309" w:lineRule="auto" w:before="69"/>
        <w:ind w:right="1033" w:firstLine="360"/>
        <w:jc w:val="left"/>
      </w:pPr>
      <w:r>
        <w:rPr/>
        <w:t>质量是企业的生命线，</w:t>
      </w:r>
      <w:r>
        <w:rPr>
          <w:rFonts w:ascii="Times New Roman" w:hAnsi="Times New Roman" w:cs="Times New Roman" w:eastAsia="Times New Roman" w:hint="default"/>
        </w:rPr>
        <w:t>2017 </w:t>
      </w:r>
      <w:r>
        <w:rPr/>
        <w:t>年公司产品送检合格率、发货批次产品问题发生率等指标进一步优化。通过开展 </w:t>
      </w:r>
      <w:r>
        <w:rPr>
          <w:rFonts w:ascii="Times New Roman" w:hAnsi="Times New Roman" w:cs="Times New Roman" w:eastAsia="Times New Roman" w:hint="default"/>
        </w:rPr>
        <w:t>5M1E</w:t>
      </w:r>
      <w:r>
        <w:rPr>
          <w:rFonts w:ascii="Times New Roman" w:hAnsi="Times New Roman" w:cs="Times New Roman" w:eastAsia="Times New Roman" w:hint="default"/>
          <w:spacing w:val="7"/>
        </w:rPr>
        <w:t> </w:t>
      </w:r>
      <w:r>
        <w:rPr/>
        <w:t>稳 定化专项活动、工艺革新活动、以及持续推进制造成本改善专项工作，产品的品质、效率方面均得到良化，客诉大幅下降，</w:t>
      </w:r>
      <w:r>
        <w:rPr>
          <w:spacing w:val="-85"/>
        </w:rPr>
        <w:t> </w:t>
      </w:r>
      <w:r>
        <w:rPr>
          <w:spacing w:val="-85"/>
        </w:rPr>
      </w:r>
      <w:r>
        <w:rPr/>
        <w:t>核心产品制造成本也同比显著下降，这意味着公司的客户服务能力、产品价格竞争力同步增强，利润得到保障。</w:t>
      </w:r>
    </w:p>
    <w:p>
      <w:pPr>
        <w:pStyle w:val="BodyText"/>
        <w:spacing w:line="307" w:lineRule="auto" w:before="62"/>
        <w:ind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年公司成功新导入</w:t>
      </w:r>
      <w:r>
        <w:rPr>
          <w:spacing w:val="-45"/>
        </w:rPr>
        <w:t> </w:t>
      </w:r>
      <w:r>
        <w:rPr>
          <w:rFonts w:ascii="Times New Roman" w:hAnsi="Times New Roman" w:cs="Times New Roman" w:eastAsia="Times New Roman" w:hint="default"/>
        </w:rPr>
        <w:t>GB/T23001</w:t>
      </w:r>
      <w:r>
        <w:rPr>
          <w:rFonts w:ascii="Times New Roman" w:hAnsi="Times New Roman" w:cs="Times New Roman" w:eastAsia="Times New Roman" w:hint="default"/>
          <w:spacing w:val="1"/>
        </w:rPr>
        <w:t> </w:t>
      </w:r>
      <w:r>
        <w:rPr/>
        <w:t>两化融合管理体系并通过了现场审查，以信息化手段进一步提高生产效率和成本效 </w:t>
      </w:r>
      <w:r>
        <w:rPr>
          <w:spacing w:val="-2"/>
        </w:rPr>
        <w:t>益。为了适应产品汽车前装化（指产品在整车厂出厂时装备）的发展趋势，公司组建专门团队进行研究和实践，通过合作项</w:t>
      </w:r>
      <w:r>
        <w:rPr>
          <w:spacing w:val="-66"/>
        </w:rPr>
        <w:t> </w:t>
      </w:r>
      <w:r>
        <w:rPr>
          <w:spacing w:val="-66"/>
        </w:rPr>
      </w:r>
      <w:r>
        <w:rPr/>
        <w:t>目建立了汽车电子生产全套规范，成功通过两次客户审厂、</w:t>
      </w:r>
      <w:r>
        <w:rPr>
          <w:rFonts w:ascii="Times New Roman" w:hAnsi="Times New Roman" w:cs="Times New Roman" w:eastAsia="Times New Roman" w:hint="default"/>
        </w:rPr>
        <w:t>HG</w:t>
      </w:r>
      <w:r>
        <w:rPr>
          <w:rFonts w:ascii="Times New Roman" w:hAnsi="Times New Roman" w:cs="Times New Roman" w:eastAsia="Times New Roman" w:hint="default"/>
          <w:spacing w:val="-6"/>
        </w:rPr>
        <w:t> </w:t>
      </w:r>
      <w:r>
        <w:rPr/>
        <w:t>技术评审和</w:t>
      </w:r>
      <w:r>
        <w:rPr>
          <w:spacing w:val="-51"/>
        </w:rPr>
        <w:t> </w:t>
      </w:r>
      <w:r>
        <w:rPr>
          <w:rFonts w:ascii="Times New Roman" w:hAnsi="Times New Roman" w:cs="Times New Roman" w:eastAsia="Times New Roman" w:hint="default"/>
          <w:spacing w:val="-3"/>
        </w:rPr>
        <w:t>IATF</w:t>
      </w:r>
      <w:r>
        <w:rPr>
          <w:spacing w:val="-3"/>
        </w:rPr>
        <w:t>（国际汽车工作组）</w:t>
      </w:r>
      <w:r>
        <w:rPr>
          <w:rFonts w:ascii="Times New Roman" w:hAnsi="Times New Roman" w:cs="Times New Roman" w:eastAsia="Times New Roman" w:hint="default"/>
          <w:spacing w:val="-3"/>
        </w:rPr>
        <w:t>16949</w:t>
      </w:r>
      <w:r>
        <w:rPr>
          <w:rFonts w:ascii="Times New Roman" w:hAnsi="Times New Roman" w:cs="Times New Roman" w:eastAsia="Times New Roman" w:hint="default"/>
          <w:spacing w:val="-6"/>
        </w:rPr>
        <w:t> </w:t>
      </w:r>
      <w:r>
        <w:rPr/>
        <w:t>认证，为汽车厂 商、汽车电子领域的市场拓展做好充分准备。</w:t>
      </w:r>
    </w:p>
    <w:p>
      <w:pPr>
        <w:spacing w:line="338" w:lineRule="auto" w:before="65"/>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、持续推动人力资源体系建设，实现人才升级和人效提升</w:t>
      </w:r>
      <w:r>
        <w:rPr>
          <w:rFonts w:ascii="宋体" w:hAnsi="宋体" w:cs="宋体" w:eastAsia="宋体" w:hint="default"/>
          <w:b/>
          <w:bCs/>
          <w:w w:val="99"/>
          <w:sz w:val="18"/>
          <w:szCs w:val="18"/>
        </w:rPr>
        <w:t> </w:t>
      </w:r>
      <w:r>
        <w:rPr>
          <w:rFonts w:ascii="宋体" w:hAnsi="宋体" w:cs="宋体" w:eastAsia="宋体" w:hint="default"/>
          <w:spacing w:val="-2"/>
          <w:sz w:val="18"/>
          <w:szCs w:val="18"/>
        </w:rPr>
        <w:t>为适应新时期战略布局、业务拓展和团队能力升级的需要，公司重新规划了新的人才结构和人才培育计划，有步骤地开</w:t>
      </w:r>
    </w:p>
    <w:p>
      <w:pPr>
        <w:pStyle w:val="BodyText"/>
        <w:spacing w:line="309" w:lineRule="auto" w:before="2"/>
        <w:ind w:right="1129"/>
        <w:jc w:val="both"/>
      </w:pPr>
      <w:r>
        <w:rPr>
          <w:spacing w:val="-2"/>
        </w:rPr>
        <w:t>展高层次人才引进和员工素质提升工作。全年共引进国家</w:t>
      </w:r>
      <w:r>
        <w:rPr>
          <w:rFonts w:ascii="Times New Roman" w:hAnsi="Times New Roman" w:cs="Times New Roman" w:eastAsia="Times New Roman" w:hint="default"/>
          <w:spacing w:val="-2"/>
        </w:rPr>
        <w:t>“</w:t>
      </w:r>
      <w:r>
        <w:rPr>
          <w:spacing w:val="-2"/>
        </w:rPr>
        <w:t>千人计划</w:t>
      </w:r>
      <w:r>
        <w:rPr>
          <w:rFonts w:ascii="Times New Roman" w:hAnsi="Times New Roman" w:cs="Times New Roman" w:eastAsia="Times New Roman" w:hint="default"/>
          <w:spacing w:val="-2"/>
        </w:rPr>
        <w:t>”</w:t>
      </w:r>
      <w:r>
        <w:rPr>
          <w:spacing w:val="-2"/>
        </w:rPr>
        <w:t>专家在内的技术专家、方案专家、市场营销人才、高级</w:t>
      </w:r>
      <w:r>
        <w:rPr>
          <w:spacing w:val="-45"/>
        </w:rPr>
        <w:t> </w:t>
      </w:r>
      <w:r>
        <w:rPr>
          <w:spacing w:val="-45"/>
        </w:rPr>
      </w:r>
      <w:r>
        <w:rPr>
          <w:spacing w:val="-2"/>
        </w:rPr>
        <w:t>管理人才、国际化市场人才等十余位高端人才，形成更为开放、创新的高层团队格局。为了更好地培养和发展员工，公司致</w:t>
      </w:r>
      <w:r>
        <w:rPr>
          <w:spacing w:val="-66"/>
        </w:rPr>
        <w:t> </w:t>
      </w:r>
      <w:r>
        <w:rPr>
          <w:spacing w:val="-66"/>
        </w:rPr>
      </w:r>
      <w:r>
        <w:rPr>
          <w:spacing w:val="-2"/>
        </w:rPr>
        <w:t>力于构建学习生态和内部知识体系，新建立了任职资格体系，为员工成长提供明确通道。为了有效激励内部员工，让员工与</w:t>
      </w:r>
      <w:r>
        <w:rPr>
          <w:spacing w:val="-66"/>
        </w:rPr>
        <w:t> </w:t>
      </w:r>
      <w:r>
        <w:rPr>
          <w:spacing w:val="-66"/>
        </w:rPr>
      </w:r>
      <w:r>
        <w:rPr>
          <w:spacing w:val="-2"/>
        </w:rPr>
        <w:t>企业共同奋斗、实现共赢，公司持续优化绩效管理及薪酬激励机制，倡导</w:t>
      </w:r>
      <w:r>
        <w:rPr>
          <w:rFonts w:ascii="Times New Roman" w:hAnsi="Times New Roman" w:cs="Times New Roman" w:eastAsia="Times New Roman" w:hint="default"/>
          <w:spacing w:val="-2"/>
        </w:rPr>
        <w:t>“</w:t>
      </w:r>
      <w:r>
        <w:rPr>
          <w:spacing w:val="-2"/>
        </w:rPr>
        <w:t>结果决定价值，贡献决定回报</w:t>
      </w:r>
      <w:r>
        <w:rPr>
          <w:rFonts w:ascii="Times New Roman" w:hAnsi="Times New Roman" w:cs="Times New Roman" w:eastAsia="Times New Roman" w:hint="default"/>
          <w:spacing w:val="-2"/>
        </w:rPr>
        <w:t>”</w:t>
      </w:r>
      <w:r>
        <w:rPr>
          <w:spacing w:val="-2"/>
        </w:rPr>
        <w:t>的奋斗者精神，并</w:t>
      </w:r>
      <w:r>
        <w:rPr>
          <w:spacing w:val="-46"/>
        </w:rPr>
        <w:t> </w:t>
      </w:r>
      <w:r>
        <w:rPr>
          <w:spacing w:val="-46"/>
        </w:rPr>
      </w:r>
      <w:r>
        <w:rPr/>
        <w:t>大胆启用更多优秀的年轻人走上管理岗位，在内部形成积极向上、良性竞争的团队氛围。</w:t>
      </w:r>
    </w:p>
    <w:p>
      <w:pPr>
        <w:spacing w:after="0" w:line="309"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Heading4"/>
        <w:spacing w:line="240" w:lineRule="auto" w:before="44"/>
        <w:ind w:right="1235"/>
        <w:jc w:val="left"/>
        <w:rPr>
          <w:b w:val="0"/>
          <w:bCs w:val="0"/>
        </w:rPr>
      </w:pPr>
      <w:r>
        <w:rPr/>
        <w:t>（三）</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年度战略和经营计划、销售政策等的执行情况</w:t>
      </w:r>
      <w:r>
        <w:rPr>
          <w:b w:val="0"/>
          <w:bCs w:val="0"/>
        </w:rPr>
      </w:r>
    </w:p>
    <w:p>
      <w:pPr>
        <w:pStyle w:val="BodyText"/>
        <w:spacing w:line="300" w:lineRule="auto" w:before="101"/>
        <w:ind w:right="1031"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w:t>
      </w:r>
      <w:r>
        <w:rPr>
          <w:spacing w:val="-43"/>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业务持续保持行业领先，</w:t>
      </w:r>
      <w:r>
        <w:rPr>
          <w:rFonts w:ascii="Times New Roman" w:hAnsi="Times New Roman" w:cs="Times New Roman" w:eastAsia="Times New Roman" w:hint="default"/>
        </w:rPr>
        <w:t>OBU</w:t>
      </w:r>
      <w:r>
        <w:rPr>
          <w:rFonts w:ascii="Times New Roman" w:hAnsi="Times New Roman" w:cs="Times New Roman" w:eastAsia="Times New Roman" w:hint="default"/>
          <w:spacing w:val="1"/>
        </w:rPr>
        <w:t> </w:t>
      </w:r>
      <w:r>
        <w:rPr/>
        <w:t>历史累计发行量超过</w:t>
      </w:r>
      <w:r>
        <w:rPr>
          <w:spacing w:val="-43"/>
        </w:rPr>
        <w:t> </w:t>
      </w:r>
      <w:r>
        <w:rPr>
          <w:rFonts w:ascii="Times New Roman" w:hAnsi="Times New Roman" w:cs="Times New Roman" w:eastAsia="Times New Roman" w:hint="default"/>
        </w:rPr>
        <w:t>2100</w:t>
      </w:r>
      <w:r>
        <w:rPr>
          <w:rFonts w:ascii="Times New Roman" w:hAnsi="Times New Roman" w:cs="Times New Roman" w:eastAsia="Times New Roman" w:hint="default"/>
          <w:spacing w:val="2"/>
        </w:rPr>
        <w:t> </w:t>
      </w:r>
      <w:r>
        <w:rPr/>
        <w:t>万套。在新业务方面，</w:t>
      </w:r>
      <w:r>
        <w:rPr>
          <w:rFonts w:ascii="Times New Roman" w:hAnsi="Times New Roman" w:cs="Times New Roman" w:eastAsia="Times New Roman" w:hint="default"/>
        </w:rPr>
        <w:t>ETC+</w:t>
      </w:r>
      <w:r>
        <w:rPr/>
        <w:t>业务实现突破， </w:t>
      </w:r>
      <w:r>
        <w:rPr>
          <w:spacing w:val="-2"/>
        </w:rPr>
        <w:t>产品实现千万级的销售收入，新的业务模式取得初步成功，此外，城市智慧停车、</w:t>
      </w:r>
      <w:r>
        <w:rPr>
          <w:rFonts w:ascii="Times New Roman" w:hAnsi="Times New Roman" w:cs="Times New Roman" w:eastAsia="Times New Roman" w:hint="default"/>
          <w:spacing w:val="-2"/>
        </w:rPr>
        <w:t>V2X</w:t>
      </w:r>
      <w:r>
        <w:rPr>
          <w:spacing w:val="-2"/>
        </w:rPr>
        <w:t>、电子汽车标识等新业务也取得一定</w:t>
      </w:r>
      <w:r>
        <w:rPr>
          <w:spacing w:val="-56"/>
        </w:rPr>
        <w:t> </w:t>
      </w:r>
      <w:r>
        <w:rPr>
          <w:spacing w:val="-56"/>
        </w:rPr>
      </w:r>
      <w:r>
        <w:rPr/>
        <w:t>成果，年度各项经营目标基本实现。</w:t>
      </w:r>
    </w:p>
    <w:p>
      <w:pPr>
        <w:pStyle w:val="Heading4"/>
        <w:spacing w:line="240" w:lineRule="auto"/>
        <w:ind w:right="1235"/>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业务</w:t>
      </w:r>
      <w:r>
        <w:rPr>
          <w:b w:val="0"/>
          <w:bCs w:val="0"/>
        </w:rPr>
      </w:r>
    </w:p>
    <w:p>
      <w:pPr>
        <w:pStyle w:val="BodyText"/>
        <w:spacing w:line="304" w:lineRule="auto" w:before="101"/>
        <w:ind w:right="1131" w:firstLine="360"/>
        <w:jc w:val="both"/>
      </w:pP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ETC</w:t>
      </w:r>
      <w:r>
        <w:rPr>
          <w:rFonts w:ascii="Times New Roman" w:hAnsi="Times New Roman" w:cs="Times New Roman" w:eastAsia="Times New Roman" w:hint="default"/>
          <w:spacing w:val="26"/>
        </w:rPr>
        <w:t> </w:t>
      </w:r>
      <w:r>
        <w:rPr/>
        <w:t>业务以国内市场为主，其核心产品的销售主要集中在浙江、江苏、广东、福建等华东、华南区域，持续 保持了市场领先地位，市场占有率有所提升。</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ETC </w:t>
      </w:r>
      <w:r>
        <w:rPr/>
        <w:t>销售的重点产品仍是</w:t>
      </w:r>
      <w:r>
        <w:rPr>
          <w:spacing w:val="-45"/>
        </w:rPr>
        <w:t> </w:t>
      </w:r>
      <w:r>
        <w:rPr>
          <w:rFonts w:ascii="Times New Roman" w:hAnsi="Times New Roman" w:cs="Times New Roman" w:eastAsia="Times New Roman" w:hint="default"/>
        </w:rPr>
        <w:t>OBU</w:t>
      </w:r>
      <w:r>
        <w:rPr/>
        <w:t>，全年销售量逾</w:t>
      </w:r>
      <w:r>
        <w:rPr>
          <w:spacing w:val="-44"/>
        </w:rPr>
        <w:t> </w:t>
      </w:r>
      <w:r>
        <w:rPr>
          <w:rFonts w:ascii="Times New Roman" w:hAnsi="Times New Roman" w:cs="Times New Roman" w:eastAsia="Times New Roman" w:hint="default"/>
        </w:rPr>
        <w:t>500 </w:t>
      </w:r>
      <w:r>
        <w:rPr/>
        <w:t>万台，与</w:t>
      </w:r>
      <w:r>
        <w:rPr>
          <w:spacing w:val="-45"/>
        </w:rPr>
        <w:t> </w:t>
      </w:r>
      <w:r>
        <w:rPr>
          <w:rFonts w:ascii="Times New Roman" w:hAnsi="Times New Roman" w:cs="Times New Roman" w:eastAsia="Times New Roman" w:hint="default"/>
        </w:rPr>
        <w:t>2016 </w:t>
      </w:r>
      <w:r>
        <w:rPr/>
        <w:t>年 基本持平，</w:t>
      </w:r>
      <w:r>
        <w:rPr>
          <w:rFonts w:ascii="Times New Roman" w:hAnsi="Times New Roman" w:cs="Times New Roman" w:eastAsia="Times New Roman" w:hint="default"/>
        </w:rPr>
        <w:t>RSU</w:t>
      </w:r>
      <w:r>
        <w:rPr>
          <w:rFonts w:ascii="Times New Roman" w:hAnsi="Times New Roman" w:cs="Times New Roman" w:eastAsia="Times New Roman" w:hint="default"/>
          <w:spacing w:val="6"/>
        </w:rPr>
        <w:t> </w:t>
      </w:r>
      <w:r>
        <w:rPr/>
        <w:t>销售则同比增长</w:t>
      </w:r>
      <w:r>
        <w:rPr>
          <w:spacing w:val="-39"/>
        </w:rPr>
        <w:t> </w:t>
      </w:r>
      <w:r>
        <w:rPr>
          <w:rFonts w:ascii="Times New Roman" w:hAnsi="Times New Roman" w:cs="Times New Roman" w:eastAsia="Times New Roman" w:hint="default"/>
        </w:rPr>
        <w:t>38.73%</w:t>
      </w:r>
      <w:r>
        <w:rPr/>
        <w:t>，同时</w:t>
      </w:r>
      <w:r>
        <w:rPr>
          <w:spacing w:val="-38"/>
        </w:rPr>
        <w:t> </w:t>
      </w:r>
      <w:r>
        <w:rPr>
          <w:rFonts w:ascii="Times New Roman" w:hAnsi="Times New Roman" w:cs="Times New Roman" w:eastAsia="Times New Roman" w:hint="default"/>
        </w:rPr>
        <w:t>ETC</w:t>
      </w:r>
      <w:r>
        <w:rPr>
          <w:rFonts w:ascii="Times New Roman" w:hAnsi="Times New Roman" w:cs="Times New Roman" w:eastAsia="Times New Roman" w:hint="default"/>
          <w:spacing w:val="6"/>
        </w:rPr>
        <w:t> </w:t>
      </w:r>
      <w:r>
        <w:rPr/>
        <w:t>新型产品在多地得到推广。随着</w:t>
      </w:r>
      <w:r>
        <w:rPr>
          <w:spacing w:val="-39"/>
        </w:rPr>
        <w:t> </w:t>
      </w:r>
      <w:r>
        <w:rPr>
          <w:rFonts w:ascii="Times New Roman" w:hAnsi="Times New Roman" w:cs="Times New Roman" w:eastAsia="Times New Roman" w:hint="default"/>
        </w:rPr>
        <w:t>ETC</w:t>
      </w:r>
      <w:r>
        <w:rPr>
          <w:rFonts w:ascii="Times New Roman" w:hAnsi="Times New Roman" w:cs="Times New Roman" w:eastAsia="Times New Roman" w:hint="default"/>
          <w:spacing w:val="6"/>
        </w:rPr>
        <w:t> </w:t>
      </w:r>
      <w:r>
        <w:rPr/>
        <w:t>市场竞争进一步加剧和产品售价 </w:t>
      </w:r>
      <w:r>
        <w:rPr>
          <w:spacing w:val="-2"/>
        </w:rPr>
        <w:t>持续下跌，公司更强调在国内各区域市场开展深耕细作，以获取更多市场份额，以及通过内部挖潜实现成本优化，保障利润</w:t>
      </w:r>
      <w:r>
        <w:rPr>
          <w:spacing w:val="-66"/>
        </w:rPr>
        <w:t> </w:t>
      </w:r>
      <w:r>
        <w:rPr>
          <w:spacing w:val="-66"/>
        </w:rPr>
      </w:r>
      <w:r>
        <w:rPr/>
        <w:t>空间和主营业务优势。此外，公司率先将中国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技术推广至东南亚、南美等国际市场，并在部分区域成功中标和实施， 迈出了国际化的新步伐。</w:t>
      </w:r>
    </w:p>
    <w:p>
      <w:pPr>
        <w:pStyle w:val="BodyText"/>
        <w:spacing w:line="300" w:lineRule="auto" w:before="66"/>
        <w:ind w:right="1129" w:firstLine="360"/>
        <w:jc w:val="right"/>
      </w:pP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交通</w:t>
      </w:r>
      <w:r>
        <w:rPr>
          <w:rFonts w:ascii="Times New Roman" w:hAnsi="Times New Roman" w:cs="Times New Roman" w:eastAsia="Times New Roman" w:hint="default"/>
        </w:rPr>
        <w:t>”</w:t>
      </w:r>
      <w:r>
        <w:rPr/>
        <w:t>商业模式竞相出现，车联网和车后服务产业发展迅速。通过开发</w:t>
      </w:r>
      <w:r>
        <w:rPr>
          <w:spacing w:val="-23"/>
        </w:rPr>
        <w:t> </w:t>
      </w:r>
      <w:r>
        <w:rPr>
          <w:rFonts w:ascii="Times New Roman" w:hAnsi="Times New Roman" w:cs="Times New Roman" w:eastAsia="Times New Roman" w:hint="default"/>
        </w:rPr>
        <w:t>ETC+</w:t>
      </w:r>
      <w:r>
        <w:rPr/>
        <w:t>智能硬件，结合银行、 </w:t>
      </w:r>
      <w:r>
        <w:rPr>
          <w:rFonts w:ascii="Times New Roman" w:hAnsi="Times New Roman" w:cs="Times New Roman" w:eastAsia="Times New Roman" w:hint="default"/>
        </w:rPr>
        <w:t>ETC</w:t>
      </w:r>
      <w:r>
        <w:rPr>
          <w:rFonts w:ascii="Times New Roman" w:hAnsi="Times New Roman" w:cs="Times New Roman" w:eastAsia="Times New Roman" w:hint="default"/>
          <w:spacing w:val="-30"/>
        </w:rPr>
        <w:t> </w:t>
      </w:r>
      <w:r>
        <w:rPr/>
        <w:t>运营商、车企、车联网企业和电信运营商，共同打造</w:t>
      </w:r>
      <w:r>
        <w:rPr>
          <w:spacing w:val="-74"/>
        </w:rPr>
        <w:t> </w:t>
      </w:r>
      <w:r>
        <w:rPr>
          <w:rFonts w:ascii="Times New Roman" w:hAnsi="Times New Roman" w:cs="Times New Roman" w:eastAsia="Times New Roman" w:hint="default"/>
        </w:rPr>
        <w:t>ETC+</w:t>
      </w:r>
      <w:r>
        <w:rPr/>
        <w:t>车生活平台，可增加硬件销售及为后续服务打下基础。</w:t>
      </w:r>
      <w:r>
        <w:rPr>
          <w:rFonts w:ascii="Times New Roman" w:hAnsi="Times New Roman" w:cs="Times New Roman" w:eastAsia="Times New Roman" w:hint="default"/>
        </w:rPr>
        <w:t>2017 </w:t>
      </w:r>
      <w:r>
        <w:rPr/>
        <w:t>年公司推出业内第一款量产 </w:t>
      </w:r>
      <w:r>
        <w:rPr>
          <w:rFonts w:ascii="Times New Roman" w:hAnsi="Times New Roman" w:cs="Times New Roman" w:eastAsia="Times New Roman" w:hint="default"/>
        </w:rPr>
        <w:t>4G ETC </w:t>
      </w:r>
      <w:r>
        <w:rPr/>
        <w:t>产品，与内蒙移动共同举办全国首家 </w:t>
      </w:r>
      <w:r>
        <w:rPr>
          <w:rFonts w:ascii="Times New Roman" w:hAnsi="Times New Roman" w:cs="Times New Roman" w:eastAsia="Times New Roman" w:hint="default"/>
        </w:rPr>
        <w:t>4G ETC </w:t>
      </w:r>
      <w:r>
        <w:rPr/>
        <w:t>发布会，引发内业强烈关注。智能</w:t>
      </w:r>
      <w:r>
        <w:rPr>
          <w:spacing w:val="-15"/>
        </w:rPr>
        <w:t> </w:t>
      </w:r>
      <w:r>
        <w:rPr>
          <w:rFonts w:ascii="Times New Roman" w:hAnsi="Times New Roman" w:cs="Times New Roman" w:eastAsia="Times New Roman" w:hint="default"/>
        </w:rPr>
        <w:t>ETC </w:t>
      </w:r>
      <w:r>
        <w:rPr>
          <w:spacing w:val="-6"/>
        </w:rPr>
        <w:t>终端正式进入《中国移动智能硬件产品及质量白皮书》（</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29"/>
        </w:rPr>
        <w:t> </w:t>
      </w:r>
      <w:r>
        <w:rPr>
          <w:spacing w:val="-6"/>
        </w:rPr>
        <w:t>版），并于年底实现千万级的销售收入，新商业模式取得成功。</w:t>
      </w:r>
    </w:p>
    <w:p>
      <w:pPr>
        <w:pStyle w:val="BodyText"/>
        <w:spacing w:line="302" w:lineRule="auto" w:before="52"/>
        <w:ind w:left="154" w:right="1131" w:firstLine="360"/>
        <w:jc w:val="both"/>
      </w:pPr>
      <w:r>
        <w:rPr/>
        <w:t>在 </w:t>
      </w:r>
      <w:r>
        <w:rPr>
          <w:rFonts w:ascii="Times New Roman" w:hAnsi="Times New Roman" w:cs="Times New Roman" w:eastAsia="Times New Roman" w:hint="default"/>
        </w:rPr>
        <w:t>ETC </w:t>
      </w:r>
      <w:r>
        <w:rPr/>
        <w:t>上车方面，拓展重点是与汽企合作推进前装，目前已落实</w:t>
      </w:r>
      <w:r>
        <w:rPr>
          <w:spacing w:val="-70"/>
        </w:rPr>
        <w:t> </w:t>
      </w:r>
      <w:r>
        <w:rPr>
          <w:rFonts w:ascii="Times New Roman" w:hAnsi="Times New Roman" w:cs="Times New Roman" w:eastAsia="Times New Roman" w:hint="default"/>
        </w:rPr>
        <w:t>Tinnos</w:t>
      </w:r>
      <w:r>
        <w:rPr/>
        <w:t>、比亚迪、长安汽车等多个车企合作项目，与 多省通讯运营商建立了良好的合作关系。</w:t>
      </w:r>
    </w:p>
    <w:p>
      <w:pPr>
        <w:pStyle w:val="BodyText"/>
        <w:spacing w:line="300" w:lineRule="auto" w:before="68"/>
        <w:ind w:left="154" w:right="1131" w:firstLine="360"/>
        <w:jc w:val="both"/>
      </w:pPr>
      <w:r>
        <w:rPr/>
        <w:t>公司根据 </w:t>
      </w:r>
      <w:r>
        <w:rPr>
          <w:rFonts w:ascii="Times New Roman" w:hAnsi="Times New Roman" w:cs="Times New Roman" w:eastAsia="Times New Roman" w:hint="default"/>
        </w:rPr>
        <w:t>ITSC</w:t>
      </w:r>
      <w:r>
        <w:rPr/>
        <w:t>（国家智能交通系统工程技术研究中心）对 </w:t>
      </w:r>
      <w:r>
        <w:rPr>
          <w:rFonts w:ascii="Times New Roman" w:hAnsi="Times New Roman" w:cs="Times New Roman" w:eastAsia="Times New Roman" w:hint="default"/>
        </w:rPr>
        <w:t>5.8GHz</w:t>
      </w:r>
      <w:r>
        <w:rPr>
          <w:rFonts w:ascii="Times New Roman" w:hAnsi="Times New Roman" w:cs="Times New Roman" w:eastAsia="Times New Roman" w:hint="default"/>
          <w:spacing w:val="-3"/>
        </w:rPr>
        <w:t> </w:t>
      </w:r>
      <w:r>
        <w:rPr/>
        <w:t>路径识别国标制定情况及部分省份需求，有针对性 的寻求市场机会，争取在先行先试省份获得项目落地机会，同时重点关注</w:t>
      </w:r>
      <w:r>
        <w:rPr>
          <w:spacing w:val="-56"/>
        </w:rPr>
        <w:t> </w:t>
      </w:r>
      <w:r>
        <w:rPr>
          <w:rFonts w:ascii="Times New Roman" w:hAnsi="Times New Roman" w:cs="Times New Roman" w:eastAsia="Times New Roman" w:hint="default"/>
        </w:rPr>
        <w:t>5.8G</w:t>
      </w:r>
      <w:r>
        <w:rPr>
          <w:rFonts w:ascii="Times New Roman" w:hAnsi="Times New Roman" w:cs="Times New Roman" w:eastAsia="Times New Roman" w:hint="default"/>
          <w:spacing w:val="-11"/>
        </w:rPr>
        <w:t> </w:t>
      </w:r>
      <w:r>
        <w:rPr>
          <w:spacing w:val="-3"/>
        </w:rPr>
        <w:t>自由流、货车</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的市场机会。由于政策的 效果具有一定滞后性，此类业务</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年带来的收入未如预期，但后续存在很大空间。</w:t>
      </w:r>
    </w:p>
    <w:p>
      <w:pPr>
        <w:pStyle w:val="Heading4"/>
        <w:spacing w:line="240" w:lineRule="auto" w:before="52"/>
        <w:ind w:right="1235"/>
        <w:jc w:val="left"/>
        <w:rPr>
          <w:b w:val="0"/>
          <w:bCs w:val="0"/>
        </w:rPr>
      </w:pPr>
      <w:r>
        <w:rPr>
          <w:rFonts w:ascii="Times New Roman" w:hAnsi="Times New Roman" w:cs="Times New Roman" w:eastAsia="Times New Roman" w:hint="default"/>
        </w:rPr>
        <w:t>2</w:t>
      </w:r>
      <w:r>
        <w:rPr/>
        <w:t>、智慧停车业务</w:t>
      </w:r>
      <w:r>
        <w:rPr>
          <w:b w:val="0"/>
          <w:bCs w:val="0"/>
        </w:rPr>
      </w:r>
    </w:p>
    <w:p>
      <w:pPr>
        <w:pStyle w:val="BodyText"/>
        <w:spacing w:line="309" w:lineRule="auto" w:before="103"/>
        <w:ind w:left="154" w:right="1130"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年智慧停车业务领域重点实施了北大医院、清华大学、北京西站等大型标志性工程项目，打通四个省级</w:t>
      </w:r>
      <w:r>
        <w:rPr>
          <w:spacing w:val="-51"/>
        </w:rPr>
        <w:t> </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t>清分 </w:t>
      </w:r>
      <w:r>
        <w:rPr>
          <w:spacing w:val="-2"/>
        </w:rPr>
        <w:t>结算平台接入。完成停车业务支持云平台开发，以及集成第三方支付的电子收费子系统的开发，可接入微信，支付宝，银联</w:t>
      </w:r>
      <w:r>
        <w:rPr>
          <w:spacing w:val="-66"/>
        </w:rPr>
        <w:t> </w:t>
      </w:r>
      <w:r>
        <w:rPr>
          <w:spacing w:val="-66"/>
        </w:rPr>
      </w:r>
      <w:r>
        <w:rPr/>
        <w:t>等多种支付通道。产品体系和服务体系不断完善，与各区域代理商、运营商的合作日趋广泛，公司正努力构建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停车场 </w:t>
      </w:r>
      <w:r>
        <w:rPr>
          <w:spacing w:val="-2"/>
        </w:rPr>
        <w:t>生态圈。路内停车业务则完成深圳、佛山试点的相关工作，经检测，系统的各项技术指标达到最优，目前正同步在多个城市</w:t>
      </w:r>
      <w:r>
        <w:rPr>
          <w:spacing w:val="-66"/>
        </w:rPr>
        <w:t> </w:t>
      </w:r>
      <w:r>
        <w:rPr>
          <w:spacing w:val="-66"/>
        </w:rPr>
      </w:r>
      <w:r>
        <w:rPr/>
        <w:t>落实合作项目。</w:t>
      </w:r>
    </w:p>
    <w:p>
      <w:pPr>
        <w:pStyle w:val="Heading4"/>
        <w:spacing w:line="240" w:lineRule="auto" w:before="64"/>
        <w:ind w:right="1235"/>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业务</w:t>
      </w:r>
      <w:r>
        <w:rPr>
          <w:b w:val="0"/>
          <w:bCs w:val="0"/>
        </w:rPr>
      </w:r>
    </w:p>
    <w:p>
      <w:pPr>
        <w:pStyle w:val="BodyText"/>
        <w:spacing w:line="300" w:lineRule="auto" w:before="101"/>
        <w:ind w:right="1130" w:firstLine="360"/>
        <w:jc w:val="both"/>
      </w:pPr>
      <w:r>
        <w:rPr/>
        <w:t>在 </w:t>
      </w:r>
      <w:r>
        <w:rPr>
          <w:rFonts w:ascii="Times New Roman" w:hAnsi="Times New Roman" w:cs="Times New Roman" w:eastAsia="Times New Roman" w:hint="default"/>
        </w:rPr>
        <w:t>V2X</w:t>
      </w:r>
      <w:r>
        <w:rPr>
          <w:rFonts w:ascii="Times New Roman" w:hAnsi="Times New Roman" w:cs="Times New Roman" w:eastAsia="Times New Roman" w:hint="default"/>
          <w:spacing w:val="-28"/>
        </w:rPr>
        <w:t> </w:t>
      </w:r>
      <w:r>
        <w:rPr/>
        <w:t>方面，公司基本完成了通信模块、车载终端、路侧设备、通信协议栈及部分应用模块的研发，进入样机生产、 测试阶段。公司与多家高校科研院所、汽车企业达成合作意向或签署项目协议，与奇瑞汽车合作建成了安徽省首条 </w:t>
      </w:r>
      <w:r>
        <w:rPr>
          <w:rFonts w:ascii="Times New Roman" w:hAnsi="Times New Roman" w:cs="Times New Roman" w:eastAsia="Times New Roman" w:hint="default"/>
        </w:rPr>
        <w:t>V2X</w:t>
      </w:r>
      <w:r>
        <w:rPr>
          <w:rFonts w:ascii="Times New Roman" w:hAnsi="Times New Roman" w:cs="Times New Roman" w:eastAsia="Times New Roman" w:hint="default"/>
          <w:spacing w:val="-28"/>
        </w:rPr>
        <w:t> </w:t>
      </w:r>
      <w:r>
        <w:rPr/>
        <w:t>示 范道路，以具体项目运作和贯彻 </w:t>
      </w:r>
      <w:r>
        <w:rPr>
          <w:rFonts w:ascii="Times New Roman" w:hAnsi="Times New Roman" w:cs="Times New Roman" w:eastAsia="Times New Roman" w:hint="default"/>
        </w:rPr>
        <w:t>ISO/TS16949</w:t>
      </w:r>
      <w:r>
        <w:rPr>
          <w:rFonts w:ascii="Times New Roman" w:hAnsi="Times New Roman" w:cs="Times New Roman" w:eastAsia="Times New Roman" w:hint="default"/>
          <w:spacing w:val="42"/>
        </w:rPr>
        <w:t> </w:t>
      </w:r>
      <w:r>
        <w:rPr/>
        <w:t>体系新版标准为契机，全力构建汽车电子前装化的研发与制造能力。同时， 公司启动欧美国家市场渠道建设，积极参与国际互换性测试和标准化工作，开展广泛交流，密切跟进国际</w:t>
      </w:r>
      <w:r>
        <w:rPr>
          <w:spacing w:val="-37"/>
        </w:rPr>
        <w:t> </w:t>
      </w:r>
      <w:r>
        <w:rPr>
          <w:rFonts w:ascii="Times New Roman" w:hAnsi="Times New Roman" w:cs="Times New Roman" w:eastAsia="Times New Roman" w:hint="default"/>
        </w:rPr>
        <w:t>V2X</w:t>
      </w:r>
      <w:r>
        <w:rPr>
          <w:rFonts w:ascii="Times New Roman" w:hAnsi="Times New Roman" w:cs="Times New Roman" w:eastAsia="Times New Roman" w:hint="default"/>
          <w:spacing w:val="8"/>
        </w:rPr>
        <w:t> </w:t>
      </w:r>
      <w:r>
        <w:rPr/>
        <w:t>的最新技术 发展和试点应用情况，确保技术产品领先。</w:t>
      </w:r>
    </w:p>
    <w:p>
      <w:pPr>
        <w:pStyle w:val="Heading4"/>
        <w:spacing w:line="240" w:lineRule="auto"/>
        <w:ind w:right="1235"/>
        <w:jc w:val="left"/>
        <w:rPr>
          <w:b w:val="0"/>
          <w:bCs w:val="0"/>
        </w:rPr>
      </w:pPr>
      <w:r>
        <w:rPr>
          <w:rFonts w:ascii="Times New Roman" w:hAnsi="Times New Roman" w:cs="Times New Roman" w:eastAsia="Times New Roman" w:hint="default"/>
        </w:rPr>
        <w:t>4</w:t>
      </w:r>
      <w:r>
        <w:rPr/>
        <w:t>、电子车标业务</w:t>
      </w:r>
      <w:r>
        <w:rPr>
          <w:b w:val="0"/>
          <w:bCs w:val="0"/>
        </w:rPr>
      </w:r>
    </w:p>
    <w:p>
      <w:pPr>
        <w:pStyle w:val="BodyText"/>
        <w:spacing w:line="307" w:lineRule="auto" w:before="101"/>
        <w:ind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年底，机动车电子标识</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项国家标准正式发布，并将于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日正式实施，公司自</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年开始参与国标 起草工作，并成为《机动车电子标识读写设备通用规范》</w:t>
      </w:r>
      <w:r>
        <w:rPr>
          <w:rFonts w:ascii="Times New Roman" w:hAnsi="Times New Roman" w:cs="Times New Roman" w:eastAsia="Times New Roman" w:hint="default"/>
        </w:rPr>
        <w:t>(GB/T</w:t>
      </w:r>
      <w:r>
        <w:rPr>
          <w:rFonts w:ascii="Times New Roman" w:hAnsi="Times New Roman" w:cs="Times New Roman" w:eastAsia="Times New Roman" w:hint="default"/>
          <w:spacing w:val="-24"/>
        </w:rPr>
        <w:t> </w:t>
      </w:r>
      <w:r>
        <w:rPr>
          <w:rFonts w:ascii="Times New Roman" w:hAnsi="Times New Roman" w:cs="Times New Roman" w:eastAsia="Times New Roman" w:hint="default"/>
        </w:rPr>
        <w:t>35786-2017</w:t>
      </w:r>
      <w:r>
        <w:rPr/>
        <w:t>）国家标准的主要编写单位之一。报告期内，公 </w:t>
      </w:r>
      <w:r>
        <w:rPr>
          <w:spacing w:val="-2"/>
        </w:rPr>
        <w:t>司已完成了相关产品的开发，通过了低温测试和国标认证，获得公安部交通安全产品质量监督检测中心颁发的试验报告，为</w:t>
      </w:r>
      <w:r>
        <w:rPr>
          <w:spacing w:val="-66"/>
        </w:rPr>
        <w:t> </w:t>
      </w:r>
      <w:r>
        <w:rPr>
          <w:spacing w:val="-66"/>
        </w:rPr>
      </w:r>
      <w:r>
        <w:rPr/>
        <w:t>下一步的市场启动和多省市的试点应用做好充分准备。</w:t>
      </w:r>
    </w:p>
    <w:p>
      <w:pPr>
        <w:spacing w:line="240" w:lineRule="auto" w:before="2"/>
        <w:rPr>
          <w:rFonts w:ascii="宋体" w:hAnsi="宋体" w:cs="宋体" w:eastAsia="宋体" w:hint="default"/>
          <w:sz w:val="21"/>
          <w:szCs w:val="21"/>
        </w:rPr>
      </w:pPr>
    </w:p>
    <w:p>
      <w:pPr>
        <w:pStyle w:val="Heading2"/>
        <w:spacing w:line="240" w:lineRule="auto"/>
        <w:ind w:left="0" w:right="8690"/>
        <w:jc w:val="center"/>
        <w:rPr>
          <w:b w:val="0"/>
          <w:bCs w:val="0"/>
        </w:rPr>
      </w:pPr>
      <w:bookmarkStart w:name="二、主营业务分析" w:id="27"/>
      <w:bookmarkEnd w:id="27"/>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是否与经营情况讨论与分析中的概述披露相同</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right="64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7"/>
        <w:rPr>
          <w:rFonts w:ascii="宋体" w:hAnsi="宋体" w:cs="宋体" w:eastAsia="宋体" w:hint="default"/>
          <w:sz w:val="19"/>
          <w:szCs w:val="19"/>
        </w:rPr>
      </w:pPr>
    </w:p>
    <w:p>
      <w:pPr>
        <w:pStyle w:val="Heading3"/>
        <w:spacing w:line="240" w:lineRule="auto"/>
        <w:ind w:left="153" w:right="1235"/>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622,649,833.01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668,721,241.20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622,649,833.01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668,721,241.20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598,666,791.58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654,046,772.87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智慧停车场设备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20,569,622.85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13,600,622.55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3,413,418.58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1,073,845.78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314,742,457.86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264,323,675.62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81,795,630.17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53,234,418.62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72,904,398.70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69,799,637.55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49,189,358.23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108,183,544.55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45,973,444.82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83,493,549.41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29,565,414.38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33,832,067.03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24,506,185.40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49,503,122.06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3,972,943.45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6,351,226.36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622,649,833.01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353,214,394.57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43.27%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-1.13%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-3.31%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598,666,791.58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343,157,135.99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314,742,457.86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187,697,894.08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81,795,630.17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48,772,302.58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72,904,398.70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38,533,643.03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w:t>
            </w:r>
          </w:p>
        </w:tc>
      </w:tr>
    </w:tbl>
    <w:p>
      <w:pPr>
        <w:pStyle w:val="BodyText"/>
        <w:spacing w:line="240" w:lineRule="auto" w:before="51"/>
        <w:ind w:left="154" w:right="123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-OBU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5,487,179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5,439,186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5,202,732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5,730,495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939,988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1,224,435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-RSU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智慧停车场设备</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-RSU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124.18%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00" w:lineRule="auto"/>
              <w:ind w:left="22" w:right="61"/>
              <w:jc w:val="left"/>
              <w:rPr>
                <w:rFonts w:ascii="宋体" w:hAnsi="宋体" w:cs="宋体" w:eastAsia="宋体" w:hint="default"/>
                <w:sz w:val="18"/>
                <w:szCs w:val="18"/>
              </w:rPr>
            </w:pPr>
            <w:r>
              <w:rPr>
                <w:rFonts w:ascii="宋体" w:hAnsi="宋体" w:cs="宋体" w:eastAsia="宋体" w:hint="default"/>
                <w:sz w:val="18"/>
                <w:szCs w:val="18"/>
              </w:rPr>
              <w:t>智慧停车场设备</w:t>
            </w:r>
            <w:r>
              <w:rPr>
                <w:rFonts w:ascii="Times New Roman" w:hAnsi="Times New Roman" w:cs="Times New Roman" w:eastAsia="Times New Roman" w:hint="default"/>
                <w:sz w:val="18"/>
                <w:szCs w:val="18"/>
              </w:rPr>
              <w:t>-</w:t>
            </w:r>
            <w:r>
              <w:rPr>
                <w:rFonts w:ascii="宋体" w:hAnsi="宋体" w:cs="宋体" w:eastAsia="宋体" w:hint="default"/>
                <w:sz w:val="18"/>
                <w:szCs w:val="18"/>
              </w:rPr>
              <w:t>车 道控制机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94.85%</w:t>
            </w:r>
          </w:p>
        </w:tc>
      </w:tr>
    </w:tbl>
    <w:p>
      <w:pPr>
        <w:pStyle w:val="BodyText"/>
        <w:spacing w:line="240" w:lineRule="auto" w:before="51"/>
        <w:ind w:left="154" w:right="1235"/>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68"/>
        <w:jc w:val="left"/>
      </w:pPr>
      <w:r>
        <w:rPr>
          <w:rFonts w:ascii="Times New Roman" w:hAnsi="Times New Roman" w:cs="Times New Roman" w:eastAsia="Times New Roman" w:hint="default"/>
        </w:rPr>
        <w:t>1</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-RSU</w:t>
      </w:r>
      <w:r>
        <w:rPr/>
        <w:t>的销售量为</w:t>
      </w:r>
      <w:r>
        <w:rPr>
          <w:rFonts w:ascii="Times New Roman" w:hAnsi="Times New Roman" w:cs="Times New Roman" w:eastAsia="Times New Roman" w:hint="default"/>
        </w:rPr>
        <w:t>1,687</w:t>
      </w:r>
      <w:r>
        <w:rPr/>
        <w:t>套，</w:t>
      </w:r>
      <w:r>
        <w:rPr>
          <w:rFonts w:ascii="Times New Roman" w:hAnsi="Times New Roman" w:cs="Times New Roman" w:eastAsia="Times New Roman" w:hint="default"/>
        </w:rPr>
        <w:t>2016</w:t>
      </w:r>
      <w:r>
        <w:rPr/>
        <w:t>年销售量为</w:t>
      </w:r>
      <w:r>
        <w:rPr>
          <w:rFonts w:ascii="Times New Roman" w:hAnsi="Times New Roman" w:cs="Times New Roman" w:eastAsia="Times New Roman" w:hint="default"/>
        </w:rPr>
        <w:t>1,216</w:t>
      </w:r>
      <w:r>
        <w:rPr/>
        <w:t>套，较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38.73%</w:t>
      </w:r>
      <w:r>
        <w:rPr/>
        <w:t>，主要系客户订单 增加所致。</w:t>
      </w:r>
    </w:p>
    <w:p>
      <w:pPr>
        <w:pStyle w:val="BodyText"/>
        <w:spacing w:line="300" w:lineRule="auto" w:before="31"/>
        <w:ind w:right="1168"/>
        <w:jc w:val="left"/>
      </w:pPr>
      <w:r>
        <w:rPr>
          <w:rFonts w:ascii="Times New Roman" w:hAnsi="Times New Roman" w:cs="Times New Roman" w:eastAsia="Times New Roman" w:hint="default"/>
        </w:rPr>
        <w:t>2</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-RSU</w:t>
      </w:r>
      <w:r>
        <w:rPr/>
        <w:t>的生产量为</w:t>
      </w:r>
      <w:r>
        <w:rPr>
          <w:rFonts w:ascii="Times New Roman" w:hAnsi="Times New Roman" w:cs="Times New Roman" w:eastAsia="Times New Roman" w:hint="default"/>
        </w:rPr>
        <w:t>2,020</w:t>
      </w:r>
      <w:r>
        <w:rPr/>
        <w:t>套，</w:t>
      </w:r>
      <w:r>
        <w:rPr>
          <w:rFonts w:ascii="Times New Roman" w:hAnsi="Times New Roman" w:cs="Times New Roman" w:eastAsia="Times New Roman" w:hint="default"/>
        </w:rPr>
        <w:t>2016</w:t>
      </w:r>
      <w:r>
        <w:rPr/>
        <w:t>年生产量为</w:t>
      </w:r>
      <w:r>
        <w:rPr>
          <w:rFonts w:ascii="Times New Roman" w:hAnsi="Times New Roman" w:cs="Times New Roman" w:eastAsia="Times New Roman" w:hint="default"/>
        </w:rPr>
        <w:t>1,040</w:t>
      </w:r>
      <w:r>
        <w:rPr/>
        <w:t>套，较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94.23%</w:t>
      </w:r>
      <w:r>
        <w:rPr/>
        <w:t>，主要系公司为应 对市场需求增加产量所致。</w:t>
      </w:r>
    </w:p>
    <w:p>
      <w:pPr>
        <w:pStyle w:val="BodyText"/>
        <w:spacing w:line="300" w:lineRule="auto" w:before="31"/>
        <w:ind w:right="0"/>
        <w:jc w:val="left"/>
      </w:pPr>
      <w:r>
        <w:rPr>
          <w:rFonts w:ascii="Times New Roman" w:hAnsi="Times New Roman" w:cs="Times New Roman" w:eastAsia="Times New Roman" w:hint="default"/>
          <w:spacing w:val="-1"/>
        </w:rPr>
        <w:t>3</w:t>
      </w:r>
      <w:r>
        <w:rPr>
          <w:spacing w:val="-1"/>
        </w:rPr>
        <w:t>、报告期内高速公路</w:t>
      </w:r>
      <w:r>
        <w:rPr>
          <w:rFonts w:ascii="Times New Roman" w:hAnsi="Times New Roman" w:cs="Times New Roman" w:eastAsia="Times New Roman" w:hint="default"/>
          <w:spacing w:val="-1"/>
        </w:rPr>
        <w:t>ETC</w:t>
      </w:r>
      <w:r>
        <w:rPr>
          <w:spacing w:val="-1"/>
        </w:rPr>
        <w:t>设备</w:t>
      </w:r>
      <w:r>
        <w:rPr>
          <w:rFonts w:ascii="Times New Roman" w:hAnsi="Times New Roman" w:cs="Times New Roman" w:eastAsia="Times New Roman" w:hint="default"/>
          <w:spacing w:val="-1"/>
        </w:rPr>
        <w:t>-RSU</w:t>
      </w:r>
      <w:r>
        <w:rPr>
          <w:spacing w:val="-1"/>
        </w:rPr>
        <w:t>的库存量为</w:t>
      </w:r>
      <w:r>
        <w:rPr>
          <w:rFonts w:ascii="Times New Roman" w:hAnsi="Times New Roman" w:cs="Times New Roman" w:eastAsia="Times New Roman" w:hint="default"/>
          <w:spacing w:val="-1"/>
        </w:rPr>
        <w:t>768</w:t>
      </w:r>
      <w:r>
        <w:rPr>
          <w:spacing w:val="-1"/>
        </w:rPr>
        <w:t>套，</w:t>
      </w:r>
      <w:r>
        <w:rPr>
          <w:rFonts w:ascii="Times New Roman" w:hAnsi="Times New Roman" w:cs="Times New Roman" w:eastAsia="Times New Roman" w:hint="default"/>
          <w:spacing w:val="-1"/>
        </w:rPr>
        <w:t>2016</w:t>
      </w:r>
      <w:r>
        <w:rPr>
          <w:spacing w:val="-1"/>
        </w:rPr>
        <w:t>年生产量为</w:t>
      </w:r>
      <w:r>
        <w:rPr>
          <w:rFonts w:ascii="Times New Roman" w:hAnsi="Times New Roman" w:cs="Times New Roman" w:eastAsia="Times New Roman" w:hint="default"/>
          <w:spacing w:val="-1"/>
        </w:rPr>
        <w:t>435</w:t>
      </w:r>
      <w:r>
        <w:rPr>
          <w:spacing w:val="-1"/>
        </w:rPr>
        <w:t>套，较</w:t>
      </w:r>
      <w:r>
        <w:rPr>
          <w:rFonts w:ascii="Times New Roman" w:hAnsi="Times New Roman" w:cs="Times New Roman" w:eastAsia="Times New Roman" w:hint="default"/>
          <w:spacing w:val="-1"/>
        </w:rPr>
        <w:t>2016</w:t>
      </w:r>
      <w:r>
        <w:rPr>
          <w:spacing w:val="-1"/>
        </w:rPr>
        <w:t>年增长</w:t>
      </w:r>
      <w:r>
        <w:rPr>
          <w:rFonts w:ascii="Times New Roman" w:hAnsi="Times New Roman" w:cs="Times New Roman" w:eastAsia="Times New Roman" w:hint="default"/>
          <w:spacing w:val="-1"/>
        </w:rPr>
        <w:t>76.55%</w:t>
      </w:r>
      <w:r>
        <w:rPr>
          <w:spacing w:val="-1"/>
        </w:rPr>
        <w:t>，主要系公司为应对市</w:t>
      </w:r>
      <w:r>
        <w:rPr>
          <w:spacing w:val="-69"/>
        </w:rPr>
        <w:t> </w:t>
      </w:r>
      <w:r>
        <w:rPr>
          <w:spacing w:val="-69"/>
        </w:rPr>
      </w:r>
      <w:r>
        <w:rPr/>
        <w:t>场需求增加备货所致。</w:t>
      </w:r>
    </w:p>
    <w:p>
      <w:pPr>
        <w:pStyle w:val="BodyText"/>
        <w:spacing w:line="300" w:lineRule="auto" w:before="32"/>
        <w:ind w:right="1118"/>
        <w:jc w:val="left"/>
      </w:pPr>
      <w:r>
        <w:rPr>
          <w:rFonts w:ascii="Times New Roman" w:hAnsi="Times New Roman" w:cs="Times New Roman" w:eastAsia="Times New Roman" w:hint="default"/>
        </w:rPr>
        <w:t>4</w:t>
      </w:r>
      <w:r>
        <w:rPr/>
        <w:t>、智慧停车场设备</w:t>
      </w:r>
      <w:r>
        <w:rPr>
          <w:rFonts w:ascii="Times New Roman" w:hAnsi="Times New Roman" w:cs="Times New Roman" w:eastAsia="Times New Roman" w:hint="default"/>
        </w:rPr>
        <w:t>-RSU</w:t>
      </w:r>
      <w:r>
        <w:rPr/>
        <w:t>销售量、生产量、库存量同比分别增长</w:t>
      </w:r>
      <w:r>
        <w:rPr>
          <w:rFonts w:ascii="Times New Roman" w:hAnsi="Times New Roman" w:cs="Times New Roman" w:eastAsia="Times New Roman" w:hint="default"/>
        </w:rPr>
        <w:t>124.18%</w:t>
      </w:r>
      <w:r>
        <w:rPr/>
        <w:t>、</w:t>
      </w:r>
      <w:r>
        <w:rPr>
          <w:rFonts w:ascii="Times New Roman" w:hAnsi="Times New Roman" w:cs="Times New Roman" w:eastAsia="Times New Roman" w:hint="default"/>
        </w:rPr>
        <w:t>89.52%</w:t>
      </w:r>
      <w:r>
        <w:rPr/>
        <w:t>和</w:t>
      </w:r>
      <w:r>
        <w:rPr>
          <w:rFonts w:ascii="Times New Roman" w:hAnsi="Times New Roman" w:cs="Times New Roman" w:eastAsia="Times New Roman" w:hint="default"/>
        </w:rPr>
        <w:t>41.75%</w:t>
      </w:r>
      <w:r>
        <w:rPr/>
        <w:t>，主要原因系客户订单增加，因 市场需求增加导致生产及备货增加所致。</w:t>
      </w:r>
    </w:p>
    <w:p>
      <w:pPr>
        <w:pStyle w:val="BodyText"/>
        <w:spacing w:line="240" w:lineRule="auto" w:before="31"/>
        <w:ind w:right="1235"/>
        <w:jc w:val="left"/>
      </w:pPr>
      <w:r>
        <w:rPr>
          <w:rFonts w:ascii="Times New Roman" w:hAnsi="Times New Roman" w:cs="Times New Roman" w:eastAsia="Times New Roman" w:hint="default"/>
        </w:rPr>
        <w:t>5</w:t>
      </w:r>
      <w:r>
        <w:rPr/>
        <w:t>、智慧停车场设备</w:t>
      </w:r>
      <w:r>
        <w:rPr>
          <w:rFonts w:ascii="Times New Roman" w:hAnsi="Times New Roman" w:cs="Times New Roman" w:eastAsia="Times New Roman" w:hint="default"/>
        </w:rPr>
        <w:t>-</w:t>
      </w:r>
      <w:r>
        <w:rPr/>
        <w:t>车道控制机库存量同比增长</w:t>
      </w:r>
      <w:r>
        <w:rPr>
          <w:rFonts w:ascii="Times New Roman" w:hAnsi="Times New Roman" w:cs="Times New Roman" w:eastAsia="Times New Roman" w:hint="default"/>
        </w:rPr>
        <w:t>94.85%</w:t>
      </w:r>
      <w:r>
        <w:rPr/>
        <w:t>，主要系年末根据市场需求形成备货所致。</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57" w:lineRule="auto" w:before="44"/>
        <w:ind w:left="154" w:right="-20"/>
        <w:jc w:val="left"/>
      </w:pPr>
      <w:r>
        <w:rPr/>
        <w:t>行业和产品分类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0"/>
          <w:cols w:num="2" w:equalWidth="0">
            <w:col w:w="1415" w:space="75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353,214,394.57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357,247,932.18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-1.13%</w:t>
            </w:r>
          </w:p>
        </w:tc>
      </w:tr>
    </w:tbl>
    <w:p>
      <w:pPr>
        <w:spacing w:line="240" w:lineRule="auto" w:before="6"/>
        <w:rPr>
          <w:rFonts w:ascii="宋体" w:hAnsi="宋体" w:cs="宋体" w:eastAsia="宋体" w:hint="default"/>
          <w:sz w:val="27"/>
          <w:szCs w:val="27"/>
        </w:rPr>
      </w:pPr>
    </w:p>
    <w:p>
      <w:pPr>
        <w:pStyle w:val="BodyText"/>
        <w:spacing w:line="240" w:lineRule="auto" w:before="44"/>
        <w:ind w:left="154" w:right="1235"/>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设 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343,157,135.99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350,638,099.99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智慧停车场设备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9,350,458.74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6,439,007.86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313.76%</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226,666,472.10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23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type w:val="continuous"/>
          <w:pgSz w:w="11910" w:h="16840"/>
          <w:pgMar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115,793,803.49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41,490,739.38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33,058,827.62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18,716,263.75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17,606,837.86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226,666,472.10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w:t>
            </w:r>
          </w:p>
        </w:tc>
      </w:tr>
    </w:tbl>
    <w:p>
      <w:pPr>
        <w:pStyle w:val="BodyText"/>
        <w:spacing w:line="240" w:lineRule="auto" w:before="51"/>
        <w:ind w:left="154" w:right="1235"/>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93,504,860.05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23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27,859,385.99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22,492,039.38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16,231,328.75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14,695,388.57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12,226,717.36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93,504,860.05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w:t>
            </w:r>
          </w:p>
        </w:tc>
      </w:tr>
    </w:tbl>
    <w:p>
      <w:pPr>
        <w:pStyle w:val="BodyText"/>
        <w:spacing w:line="240" w:lineRule="auto" w:before="51"/>
        <w:ind w:left="154" w:right="1235"/>
        <w:jc w:val="left"/>
      </w:pPr>
      <w:r>
        <w:rPr/>
        <w:t>主要供应商其他情况说明</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76,877,335.19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67,157,652.97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128,001,341.43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6" w:right="0"/>
              <w:jc w:val="left"/>
              <w:rPr>
                <w:rFonts w:ascii="Times New Roman" w:hAnsi="Times New Roman" w:cs="Times New Roman" w:eastAsia="Times New Roman" w:hint="default"/>
                <w:sz w:val="18"/>
                <w:szCs w:val="18"/>
              </w:rPr>
            </w:pPr>
            <w:r>
              <w:rPr>
                <w:rFonts w:ascii="Times New Roman"/>
                <w:sz w:val="18"/>
              </w:rPr>
              <w:t>122,480,511.85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-6,374,821.64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-1,279,318.18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-398.30%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主要系闲置募集资金产生的利息收 入所致。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公司成立之初至今，持续重视研究、开发与新产品、新技术、新市场及新应用的投入。目前，公司主要从事两个方面的</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213" w:right="0"/>
        <w:jc w:val="left"/>
      </w:pPr>
      <w:r>
        <w:rPr>
          <w:spacing w:val="-2"/>
        </w:rPr>
        <w:t>技术开发项目。一方面是针对现有产品而进行的深度开发；另一方面是根据行业技术的发展方向进行的前瞻性技术研究，为</w:t>
      </w:r>
      <w:r>
        <w:rPr>
          <w:spacing w:val="-66"/>
        </w:rPr>
        <w:t> </w:t>
      </w:r>
      <w:r>
        <w:rPr>
          <w:spacing w:val="-66"/>
        </w:rPr>
      </w:r>
      <w:r>
        <w:rPr/>
        <w:t>公司的长远发展提供技术储备，同时还兼顾市场与客户需求，进行针对性的产品开发。</w:t>
      </w:r>
    </w:p>
    <w:p>
      <w:pPr>
        <w:pStyle w:val="BodyText"/>
        <w:spacing w:line="300" w:lineRule="auto" w:before="19"/>
        <w:ind w:left="213" w:right="1131" w:firstLine="360"/>
        <w:jc w:val="both"/>
      </w:pPr>
      <w:r>
        <w:rPr>
          <w:rFonts w:ascii="Times New Roman" w:hAnsi="Times New Roman" w:cs="Times New Roman" w:eastAsia="Times New Roman" w:hint="default"/>
          <w:spacing w:val="-2"/>
        </w:rPr>
        <w:t>2017</w:t>
      </w:r>
      <w:r>
        <w:rPr>
          <w:spacing w:val="-2"/>
        </w:rPr>
        <w:t>年，公司引进国家</w:t>
      </w:r>
      <w:r>
        <w:rPr>
          <w:rFonts w:ascii="Times New Roman" w:hAnsi="Times New Roman" w:cs="Times New Roman" w:eastAsia="Times New Roman" w:hint="default"/>
          <w:spacing w:val="-2"/>
        </w:rPr>
        <w:t>“</w:t>
      </w:r>
      <w:r>
        <w:rPr>
          <w:spacing w:val="-2"/>
        </w:rPr>
        <w:t>千人计划</w:t>
      </w:r>
      <w:r>
        <w:rPr>
          <w:rFonts w:ascii="Times New Roman" w:hAnsi="Times New Roman" w:cs="Times New Roman" w:eastAsia="Times New Roman" w:hint="default"/>
          <w:spacing w:val="-2"/>
        </w:rPr>
        <w:t>”</w:t>
      </w:r>
      <w:r>
        <w:rPr>
          <w:spacing w:val="-2"/>
        </w:rPr>
        <w:t>专家担任首席技术官，同时引进了资深的信号专家、人工智能专家、软件架构专家等</w:t>
      </w:r>
      <w:r>
        <w:rPr/>
        <w:t> 高端技术人才，公司成功申报交通部</w:t>
      </w:r>
      <w:r>
        <w:rPr>
          <w:rFonts w:ascii="Times New Roman" w:hAnsi="Times New Roman" w:cs="Times New Roman" w:eastAsia="Times New Roman" w:hint="default"/>
        </w:rPr>
        <w:t>“</w:t>
      </w:r>
      <w:r>
        <w:rPr/>
        <w:t>智能车路协同关键技术及装备行业研发中心</w:t>
      </w:r>
      <w:r>
        <w:rPr>
          <w:rFonts w:ascii="Times New Roman" w:hAnsi="Times New Roman" w:cs="Times New Roman" w:eastAsia="Times New Roman" w:hint="default"/>
        </w:rPr>
        <w:t>”</w:t>
      </w:r>
      <w:r>
        <w:rPr/>
        <w:t>，并成功获批博士后创新实践基地。</w:t>
      </w:r>
    </w:p>
    <w:p>
      <w:pPr>
        <w:pStyle w:val="BodyText"/>
        <w:spacing w:line="300" w:lineRule="auto" w:before="13"/>
        <w:ind w:left="213" w:right="1132" w:firstLine="360"/>
        <w:jc w:val="both"/>
      </w:pPr>
      <w:r>
        <w:rPr>
          <w:spacing w:val="-2"/>
        </w:rPr>
        <w:t>在新产品研发方面，公司成功推出新型路侧天线、自由流相控阵天线、新型蓝牙盒子、结合</w:t>
      </w:r>
      <w:r>
        <w:rPr>
          <w:rFonts w:ascii="Times New Roman" w:hAnsi="Times New Roman" w:cs="Times New Roman" w:eastAsia="Times New Roman" w:hint="default"/>
          <w:spacing w:val="-2"/>
        </w:rPr>
        <w:t>ETC</w:t>
      </w:r>
      <w:r>
        <w:rPr>
          <w:spacing w:val="-2"/>
        </w:rPr>
        <w:t>功能的行车记录仪和后</w:t>
      </w:r>
      <w:r>
        <w:rPr/>
        <w:t> 视镜产品、</w:t>
      </w:r>
      <w:r>
        <w:rPr>
          <w:rFonts w:ascii="Times New Roman" w:hAnsi="Times New Roman" w:cs="Times New Roman" w:eastAsia="Times New Roman" w:hint="default"/>
        </w:rPr>
        <w:t>M700</w:t>
      </w:r>
      <w:r>
        <w:rPr/>
        <w:t>多功能手持机等多款新产品。同时在人工智能、深度学习方面进行规划布局和相关研究，例如开发适合用</w:t>
      </w:r>
      <w:r>
        <w:rPr>
          <w:spacing w:val="-69"/>
        </w:rPr>
        <w:t> </w:t>
      </w:r>
      <w:r>
        <w:rPr>
          <w:spacing w:val="-69"/>
        </w:rPr>
      </w:r>
      <w:r>
        <w:rPr/>
        <w:t>于停车场景的人工智能模型、新一代的人工智能天线、通用的人工智能处理加速硬件平台等。</w:t>
      </w:r>
    </w:p>
    <w:p>
      <w:pPr>
        <w:pStyle w:val="BodyText"/>
        <w:spacing w:line="300" w:lineRule="auto" w:before="31"/>
        <w:ind w:left="213" w:right="1132" w:firstLine="360"/>
        <w:jc w:val="both"/>
      </w:pPr>
      <w:r>
        <w:rPr/>
        <w:t>公司</w:t>
      </w:r>
      <w:r>
        <w:rPr>
          <w:rFonts w:ascii="Times New Roman" w:hAnsi="Times New Roman" w:cs="Times New Roman" w:eastAsia="Times New Roman" w:hint="default"/>
        </w:rPr>
        <w:t>2017</w:t>
      </w:r>
      <w:r>
        <w:rPr/>
        <w:t>年研发投入占销售收入总额的</w:t>
      </w:r>
      <w:r>
        <w:rPr>
          <w:rFonts w:ascii="Times New Roman" w:hAnsi="Times New Roman" w:cs="Times New Roman" w:eastAsia="Times New Roman" w:hint="default"/>
        </w:rPr>
        <w:t>10%</w:t>
      </w:r>
      <w:r>
        <w:rPr/>
        <w:t>以上，截至</w:t>
      </w:r>
      <w:r>
        <w:rPr>
          <w:rFonts w:ascii="Times New Roman" w:hAnsi="Times New Roman" w:cs="Times New Roman" w:eastAsia="Times New Roman" w:hint="default"/>
        </w:rPr>
        <w:t>2017</w:t>
      </w:r>
      <w:r>
        <w:rPr/>
        <w:t>年末，公司拥有</w:t>
      </w:r>
      <w:r>
        <w:rPr>
          <w:rFonts w:ascii="Times New Roman" w:hAnsi="Times New Roman" w:cs="Times New Roman" w:eastAsia="Times New Roman" w:hint="default"/>
        </w:rPr>
        <w:t>381</w:t>
      </w:r>
      <w:r>
        <w:rPr/>
        <w:t>项专利权，其中发明专利</w:t>
      </w:r>
      <w:r>
        <w:rPr>
          <w:rFonts w:ascii="Times New Roman" w:hAnsi="Times New Roman" w:cs="Times New Roman" w:eastAsia="Times New Roman" w:hint="default"/>
        </w:rPr>
        <w:t>105</w:t>
      </w:r>
      <w:r>
        <w:rPr/>
        <w:t>项，</w:t>
      </w:r>
      <w:r>
        <w:rPr>
          <w:rFonts w:ascii="Times New Roman" w:hAnsi="Times New Roman" w:cs="Times New Roman" w:eastAsia="Times New Roman" w:hint="default"/>
        </w:rPr>
        <w:t>2017 </w:t>
      </w:r>
      <w:r>
        <w:rPr/>
        <w:t>年度，公司新增授权发明专利</w:t>
      </w:r>
      <w:r>
        <w:rPr>
          <w:rFonts w:ascii="Times New Roman" w:hAnsi="Times New Roman" w:cs="Times New Roman" w:eastAsia="Times New Roman" w:hint="default"/>
        </w:rPr>
        <w:t>50</w:t>
      </w:r>
      <w:r>
        <w:rPr/>
        <w:t>项，在知识产权布局上遥遥领先于竞争对手。</w:t>
      </w:r>
    </w:p>
    <w:p>
      <w:pPr>
        <w:pStyle w:val="BodyText"/>
        <w:spacing w:line="240" w:lineRule="auto" w:before="13"/>
        <w:ind w:left="573" w:right="0"/>
        <w:jc w:val="left"/>
      </w:pPr>
      <w:r>
        <w:rPr/>
        <w:t>公司</w:t>
      </w:r>
      <w:r>
        <w:rPr>
          <w:rFonts w:ascii="Times New Roman" w:hAnsi="Times New Roman" w:cs="Times New Roman" w:eastAsia="Times New Roman" w:hint="default"/>
        </w:rPr>
        <w:t>2017</w:t>
      </w:r>
      <w:r>
        <w:rPr/>
        <w:t>年度从事的研发项目及其进展情况如下：</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676"/>
        <w:gridCol w:w="2267"/>
        <w:gridCol w:w="4256"/>
        <w:gridCol w:w="2657"/>
      </w:tblGrid>
      <w:tr>
        <w:trPr>
          <w:trHeight w:val="40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研发目标</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r>
      <w:tr>
        <w:trPr>
          <w:trHeight w:val="169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1038" w:right="137" w:hanging="900"/>
              <w:jc w:val="left"/>
              <w:rPr>
                <w:rFonts w:ascii="宋体" w:hAnsi="宋体" w:cs="宋体" w:eastAsia="宋体" w:hint="default"/>
                <w:sz w:val="18"/>
                <w:szCs w:val="18"/>
              </w:rPr>
            </w:pPr>
            <w:r>
              <w:rPr>
                <w:rFonts w:ascii="宋体" w:hAnsi="宋体" w:cs="宋体" w:eastAsia="宋体" w:hint="default"/>
                <w:sz w:val="18"/>
                <w:szCs w:val="18"/>
              </w:rPr>
              <w:t>第二代相控阵智能定位天 线</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、产品名称：第二代相控阵智能定位天线</w:t>
            </w:r>
          </w:p>
          <w:p>
            <w:pPr>
              <w:pStyle w:val="TableParagraph"/>
              <w:spacing w:line="312" w:lineRule="auto" w:before="102"/>
              <w:ind w:left="103" w:right="16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、形成的核心技术：精确的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OBU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定位技术、先进 的软件无线电技术、高效的光通信技术、智能化的 设备管理技术、人性化网页前端设备监控技术、智 能波束控制技术、独有的同向多车道应用技术</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302" w:lineRule="auto" w:before="116"/>
              <w:ind w:left="117" w:right="119"/>
              <w:jc w:val="center"/>
              <w:rPr>
                <w:rFonts w:ascii="宋体" w:hAnsi="宋体" w:cs="宋体" w:eastAsia="宋体" w:hint="default"/>
                <w:sz w:val="18"/>
                <w:szCs w:val="18"/>
              </w:rPr>
            </w:pPr>
            <w:r>
              <w:rPr>
                <w:rFonts w:ascii="宋体" w:hAnsi="宋体" w:cs="宋体" w:eastAsia="宋体" w:hint="default"/>
                <w:sz w:val="18"/>
                <w:szCs w:val="18"/>
              </w:rPr>
              <w:t>（已投入高速公路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市场应 用）</w:t>
            </w:r>
          </w:p>
        </w:tc>
      </w:tr>
      <w:tr>
        <w:trPr>
          <w:trHeight w:val="1067"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sz w:val="18"/>
              </w:rPr>
              <w:t>2</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9" w:lineRule="auto"/>
              <w:ind w:left="948" w:right="137" w:hanging="810"/>
              <w:jc w:val="left"/>
              <w:rPr>
                <w:rFonts w:ascii="宋体" w:hAnsi="宋体" w:cs="宋体" w:eastAsia="宋体" w:hint="default"/>
                <w:sz w:val="18"/>
                <w:szCs w:val="18"/>
              </w:rPr>
            </w:pPr>
            <w:r>
              <w:rPr>
                <w:rFonts w:ascii="宋体" w:hAnsi="宋体" w:cs="宋体" w:eastAsia="宋体" w:hint="default"/>
                <w:sz w:val="18"/>
                <w:szCs w:val="18"/>
              </w:rPr>
              <w:t>智慧停车场微波读写定位 天线</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、产品名称：智慧停车场微波读写定位天线</w:t>
            </w:r>
          </w:p>
          <w:p>
            <w:pPr>
              <w:pStyle w:val="TableParagraph"/>
              <w:spacing w:line="302" w:lineRule="auto" w:before="101"/>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、形成的核心技术：多路并行解码技术、</w:t>
            </w:r>
            <w:r>
              <w:rPr>
                <w:rFonts w:ascii="Times New Roman" w:hAnsi="Times New Roman" w:cs="Times New Roman" w:eastAsia="Times New Roman" w:hint="default"/>
                <w:sz w:val="18"/>
                <w:szCs w:val="18"/>
              </w:rPr>
              <w:t>FPGA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 字信号处理、相控阵智能定位</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（已投入停车场应用）</w:t>
            </w:r>
          </w:p>
        </w:tc>
      </w:tr>
      <w:tr>
        <w:trPr>
          <w:trHeight w:val="1690"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767" w:right="137" w:hanging="630"/>
              <w:jc w:val="left"/>
              <w:rPr>
                <w:rFonts w:ascii="宋体" w:hAnsi="宋体" w:cs="宋体" w:eastAsia="宋体" w:hint="default"/>
                <w:sz w:val="18"/>
                <w:szCs w:val="18"/>
              </w:rPr>
            </w:pPr>
            <w:r>
              <w:rPr>
                <w:rFonts w:ascii="宋体" w:hAnsi="宋体" w:cs="宋体" w:eastAsia="宋体" w:hint="default"/>
                <w:sz w:val="18"/>
                <w:szCs w:val="18"/>
              </w:rPr>
              <w:t>多基自由流车辆信息自动 识别技术</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、技术成果或产品成果：多基自由流车辆信息自动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识别</w:t>
            </w:r>
          </w:p>
          <w:p>
            <w:pPr>
              <w:pStyle w:val="TableParagraph"/>
              <w:spacing w:line="309" w:lineRule="auto" w:before="71"/>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、形成的核心技术：多车道自由流车辆信息自动识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别技术、无线定位技术、轨迹跟踪技术、设备联动 技术、多信息融合技术、多信息智能稽查匹配技术</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302" w:lineRule="auto" w:before="116"/>
              <w:ind w:left="117" w:right="119"/>
              <w:jc w:val="center"/>
              <w:rPr>
                <w:rFonts w:ascii="宋体" w:hAnsi="宋体" w:cs="宋体" w:eastAsia="宋体" w:hint="default"/>
                <w:sz w:val="18"/>
                <w:szCs w:val="18"/>
              </w:rPr>
            </w:pPr>
            <w:r>
              <w:rPr>
                <w:rFonts w:ascii="宋体" w:hAnsi="宋体" w:cs="宋体" w:eastAsia="宋体" w:hint="default"/>
                <w:sz w:val="18"/>
                <w:szCs w:val="18"/>
              </w:rPr>
              <w:t>（已投入高速公路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市场应 用）</w:t>
            </w:r>
          </w:p>
        </w:tc>
      </w:tr>
      <w:tr>
        <w:trPr>
          <w:trHeight w:val="137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497" w:right="182" w:hanging="316"/>
              <w:jc w:val="left"/>
              <w:rPr>
                <w:rFonts w:ascii="宋体" w:hAnsi="宋体" w:cs="宋体" w:eastAsia="宋体" w:hint="default"/>
                <w:sz w:val="18"/>
                <w:szCs w:val="18"/>
              </w:rPr>
            </w:pPr>
            <w:r>
              <w:rPr>
                <w:rFonts w:ascii="宋体" w:hAnsi="宋体" w:cs="宋体" w:eastAsia="宋体" w:hint="default"/>
                <w:sz w:val="18"/>
                <w:szCs w:val="18"/>
              </w:rPr>
              <w:t>车车</w:t>
            </w:r>
            <w:r>
              <w:rPr>
                <w:rFonts w:ascii="宋体" w:hAnsi="宋体" w:cs="宋体" w:eastAsia="宋体" w:hint="default"/>
                <w:sz w:val="18"/>
                <w:szCs w:val="18"/>
              </w:rPr>
              <w:t>/</w:t>
            </w:r>
            <w:r>
              <w:rPr>
                <w:rFonts w:ascii="宋体" w:hAnsi="宋体" w:cs="宋体" w:eastAsia="宋体" w:hint="default"/>
                <w:sz w:val="18"/>
                <w:szCs w:val="18"/>
              </w:rPr>
              <w:t>车路通信技术研究 及成套设备开发</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、技术成果：车车</w:t>
            </w:r>
            <w:r>
              <w:rPr>
                <w:rFonts w:ascii="宋体" w:hAnsi="宋体" w:cs="宋体" w:eastAsia="宋体" w:hint="default"/>
                <w:sz w:val="18"/>
                <w:szCs w:val="18"/>
              </w:rPr>
              <w:t>/</w:t>
            </w:r>
            <w:r>
              <w:rPr>
                <w:rFonts w:ascii="宋体" w:hAnsi="宋体" w:cs="宋体" w:eastAsia="宋体" w:hint="default"/>
                <w:sz w:val="18"/>
                <w:szCs w:val="18"/>
              </w:rPr>
              <w:t>车路通信成套设备</w:t>
            </w:r>
          </w:p>
          <w:p>
            <w:pPr>
              <w:pStyle w:val="TableParagraph"/>
              <w:spacing w:line="309" w:lineRule="auto" w:before="102"/>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、形成的核心技术：车载自组织网络的多跳转发路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由技术，包括路由建立技术和路由转发技术、双无 线通道技术</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样机阶段</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（部分产品样机已交付客户）</w:t>
            </w:r>
          </w:p>
        </w:tc>
      </w:tr>
      <w:tr>
        <w:trPr>
          <w:trHeight w:val="137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路径识别系统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9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、技术成果：</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8GHz </w:t>
            </w:r>
            <w:r>
              <w:rPr>
                <w:rFonts w:ascii="宋体" w:hAnsi="宋体" w:cs="宋体" w:eastAsia="宋体" w:hint="default"/>
                <w:sz w:val="18"/>
                <w:szCs w:val="18"/>
              </w:rPr>
              <w:t>路径标识卡片、</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8GHz</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路径 标识基站</w:t>
            </w:r>
          </w:p>
          <w:p>
            <w:pPr>
              <w:pStyle w:val="TableParagraph"/>
              <w:spacing w:line="302" w:lineRule="auto" w:before="70"/>
              <w:ind w:left="10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、形成的核心技术：低功耗、高唤醒灵敏度技术、 兼容现有的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自由流路径识别基站</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一期产品开发已完成，试点中</w:t>
            </w:r>
          </w:p>
        </w:tc>
      </w:tr>
      <w:tr>
        <w:trPr>
          <w:trHeight w:val="106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sz w:val="18"/>
              </w:rPr>
              <w:t>6</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营运场站车辆管理系统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、技术成果：客运场站智能管理系统</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形成的核心技术</w:t>
            </w:r>
            <w:r>
              <w:rPr>
                <w:rFonts w:ascii="宋体" w:hAnsi="宋体" w:cs="宋体" w:eastAsia="宋体" w:hint="default"/>
                <w:spacing w:val="-77"/>
                <w:sz w:val="18"/>
                <w:szCs w:val="18"/>
              </w:rPr>
              <w:t>：</w:t>
            </w:r>
            <w:r>
              <w:rPr>
                <w:rFonts w:ascii="宋体" w:hAnsi="宋体" w:cs="宋体" w:eastAsia="宋体" w:hint="default"/>
                <w:sz w:val="18"/>
                <w:szCs w:val="18"/>
              </w:rPr>
              <w:t>车辆超宽带无线定位技术</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8G</w:t>
            </w:r>
            <w:r>
              <w:rPr>
                <w:rFonts w:ascii="Times New Roman" w:hAnsi="Times New Roman" w:cs="Times New Roman" w:eastAsia="Times New Roman"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车辆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识别技术、智能安检技术</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样机阶段</w:t>
            </w:r>
          </w:p>
        </w:tc>
      </w:tr>
      <w:tr>
        <w:trPr>
          <w:trHeight w:val="2003"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sz w:val="18"/>
              </w:rPr>
              <w:t>7</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汽车电子标识系统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、技术成果：汽车电子标识读写关键设备以及系统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应用方案</w:t>
            </w:r>
          </w:p>
          <w:p>
            <w:pPr>
              <w:pStyle w:val="TableParagraph"/>
              <w:spacing w:line="302" w:lineRule="auto" w:before="68"/>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、形成的核心技术：汽车电子标识系统应用以及核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心设备实现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样机阶段</w:t>
            </w:r>
          </w:p>
          <w:p>
            <w:pPr>
              <w:pStyle w:val="TableParagraph"/>
              <w:spacing w:line="319" w:lineRule="auto" w:before="116"/>
              <w:ind w:left="129" w:right="102" w:hanging="28"/>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（部分产品在无锡、深圳试点项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目中应用，部分产品已于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9" w:lineRule="auto"/>
              <w:ind w:left="152"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月通过公安部交通安全产 品质量监督检测中心的权威认 证</w:t>
            </w:r>
            <w:r>
              <w:rPr>
                <w:rFonts w:ascii="Times New Roman" w:hAnsi="Times New Roman" w:cs="Times New Roman" w:eastAsia="Times New Roman" w:hint="default"/>
                <w:sz w:val="18"/>
                <w:szCs w:val="18"/>
              </w:rPr>
              <w:t>(</w:t>
            </w:r>
            <w:r>
              <w:rPr>
                <w:rFonts w:ascii="宋体" w:hAnsi="宋体" w:cs="宋体" w:eastAsia="宋体" w:hint="default"/>
                <w:sz w:val="18"/>
                <w:szCs w:val="18"/>
              </w:rPr>
              <w:t>公交检</w:t>
            </w:r>
            <w:r>
              <w:rPr>
                <w:rFonts w:ascii="Times New Roman" w:hAnsi="Times New Roman" w:cs="Times New Roman" w:eastAsia="Times New Roman" w:hint="default"/>
                <w:sz w:val="18"/>
                <w:szCs w:val="18"/>
              </w:rPr>
              <w:t>[</w:t>
            </w:r>
            <w:r>
              <w:rPr>
                <w:rFonts w:ascii="宋体" w:hAnsi="宋体" w:cs="宋体" w:eastAsia="宋体" w:hint="default"/>
                <w:sz w:val="18"/>
                <w:szCs w:val="18"/>
              </w:rPr>
              <w:t>试</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bl>
    <w:p>
      <w:pPr>
        <w:spacing w:after="0" w:line="309" w:lineRule="auto"/>
        <w:jc w:val="both"/>
        <w:rPr>
          <w:rFonts w:ascii="Times New Roman" w:hAnsi="Times New Roman" w:cs="Times New Roman" w:eastAsia="Times New Roman"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676"/>
        <w:gridCol w:w="2267"/>
        <w:gridCol w:w="4256"/>
        <w:gridCol w:w="2657"/>
      </w:tblGrid>
      <w:tr>
        <w:trPr>
          <w:trHeight w:val="40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研发目标</w:t>
            </w:r>
            <w:r>
              <w:rPr>
                <w:rFonts w:ascii="宋体" w:hAnsi="宋体" w:cs="宋体" w:eastAsia="宋体" w:hint="default"/>
                <w:sz w:val="18"/>
                <w:szCs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r>
      <w:tr>
        <w:trPr>
          <w:trHeight w:val="7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的智慧停车平台</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、技术成果：停车运营管理云平台</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、形成的核心技术：云数据管理、集中监控技术</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（已投入停车场试用）</w:t>
            </w:r>
          </w:p>
        </w:tc>
      </w:tr>
      <w:tr>
        <w:trPr>
          <w:trHeight w:val="1419"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sz w:val="18"/>
              </w:rPr>
              <w:t>ETC</w:t>
            </w:r>
            <w:r>
              <w:rPr>
                <w:rFonts w:ascii="宋体"/>
                <w:sz w:val="18"/>
              </w:rPr>
              <w:t>+</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w:t>
            </w:r>
            <w:r>
              <w:rPr>
                <w:rFonts w:ascii="Times New Roman" w:hAnsi="Times New Roman" w:cs="Times New Roman" w:eastAsia="Times New Roman" w:hint="default"/>
                <w:sz w:val="18"/>
                <w:szCs w:val="18"/>
              </w:rPr>
              <w:t>ETC</w:t>
            </w:r>
            <w:r>
              <w:rPr>
                <w:rFonts w:ascii="宋体" w:hAnsi="宋体" w:cs="宋体" w:eastAsia="宋体" w:hint="default"/>
                <w:sz w:val="18"/>
                <w:szCs w:val="18"/>
              </w:rPr>
              <w:t>+</w:t>
            </w:r>
            <w:r>
              <w:rPr>
                <w:rFonts w:ascii="宋体" w:hAnsi="宋体" w:cs="宋体" w:eastAsia="宋体" w:hint="default"/>
                <w:sz w:val="18"/>
                <w:szCs w:val="18"/>
              </w:rPr>
              <w:t>系列产品</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、形成的核心技术：智能车联</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宋体" w:hAnsi="宋体" w:cs="宋体" w:eastAsia="宋体" w:hint="default"/>
                <w:sz w:val="18"/>
                <w:szCs w:val="18"/>
              </w:rPr>
              <w:t>模块；</w:t>
            </w:r>
          </w:p>
          <w:p>
            <w:pPr>
              <w:pStyle w:val="TableParagraph"/>
              <w:spacing w:line="302" w:lineRule="auto" w:before="101"/>
              <w:ind w:left="101"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、行车记录仪系列产品持续开 发中；</w:t>
            </w:r>
          </w:p>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、后视镜产品在样机阶段。</w:t>
            </w:r>
          </w:p>
        </w:tc>
      </w:tr>
      <w:tr>
        <w:trPr>
          <w:trHeight w:val="200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路内停车系统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定位技术的全自动路内停 车收费管理系统</w:t>
            </w:r>
          </w:p>
          <w:p>
            <w:pPr>
              <w:pStyle w:val="TableParagraph"/>
              <w:spacing w:line="300" w:lineRule="auto" w:before="68"/>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、形成的核心技术：基于激光雷达技术的泊位检测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技术；基于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定位技术的路内停车系统（前端设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r>
              <w:rPr>
                <w:rFonts w:ascii="宋体" w:hAnsi="宋体" w:cs="宋体" w:eastAsia="宋体" w:hint="default"/>
                <w:sz w:val="18"/>
                <w:szCs w:val="18"/>
              </w:rPr>
              <w:t>+</w:t>
            </w:r>
            <w:r>
              <w:rPr>
                <w:rFonts w:ascii="宋体" w:hAnsi="宋体" w:cs="宋体" w:eastAsia="宋体" w:hint="default"/>
                <w:sz w:val="18"/>
                <w:szCs w:val="18"/>
              </w:rPr>
              <w:t>后台系统）；基于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UWB </w:t>
            </w:r>
            <w:r>
              <w:rPr>
                <w:rFonts w:ascii="宋体" w:hAnsi="宋体" w:cs="宋体" w:eastAsia="宋体" w:hint="default"/>
                <w:sz w:val="18"/>
                <w:szCs w:val="18"/>
              </w:rPr>
              <w:t>定位技术的路内外一体 化智能停车解决方案。</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样机阶段</w:t>
            </w:r>
          </w:p>
        </w:tc>
      </w:tr>
      <w:tr>
        <w:trPr>
          <w:trHeight w:val="1067"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sz w:val="18"/>
              </w:rPr>
              <w:t>11</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停车场内管理系统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、技术成果：纯车牌识别</w:t>
            </w:r>
            <w:r>
              <w:rPr>
                <w:rFonts w:ascii="宋体" w:hAnsi="宋体" w:cs="宋体" w:eastAsia="宋体" w:hint="default"/>
                <w:sz w:val="18"/>
                <w:szCs w:val="18"/>
              </w:rPr>
              <w:t>+ETC+</w:t>
            </w:r>
            <w:r>
              <w:rPr>
                <w:rFonts w:ascii="宋体" w:hAnsi="宋体" w:cs="宋体" w:eastAsia="宋体" w:hint="default"/>
                <w:sz w:val="18"/>
                <w:szCs w:val="18"/>
              </w:rPr>
              <w:t>第三方支付 并存 的统一版本停车场管理系统</w:t>
            </w:r>
          </w:p>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、形成的核心技术：无缝对接智慧停车场平台</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（已投入停车场市场应用）</w:t>
            </w:r>
          </w:p>
        </w:tc>
      </w:tr>
      <w:tr>
        <w:trPr>
          <w:trHeight w:val="106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sz w:val="18"/>
              </w:rPr>
              <w:t>12</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智能车辆检查设备</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、技术成果：基于视频流的智能车辆检测设备</w:t>
            </w:r>
          </w:p>
          <w:p>
            <w:pPr>
              <w:pStyle w:val="TableParagraph"/>
              <w:spacing w:line="302" w:lineRule="auto" w:before="61"/>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、形成的核心技术：视频车位检测技术、机器学习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与人工智能算法</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302" w:lineRule="auto" w:before="116"/>
              <w:ind w:left="117" w:right="119"/>
              <w:jc w:val="center"/>
              <w:rPr>
                <w:rFonts w:ascii="宋体" w:hAnsi="宋体" w:cs="宋体" w:eastAsia="宋体" w:hint="default"/>
                <w:sz w:val="18"/>
                <w:szCs w:val="18"/>
              </w:rPr>
            </w:pPr>
            <w:r>
              <w:rPr>
                <w:rFonts w:ascii="宋体" w:hAnsi="宋体" w:cs="宋体" w:eastAsia="宋体" w:hint="default"/>
                <w:sz w:val="18"/>
                <w:szCs w:val="18"/>
              </w:rPr>
              <w:t>（已投入高速公路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市场应 用）</w:t>
            </w:r>
          </w:p>
        </w:tc>
      </w:tr>
      <w:tr>
        <w:trPr>
          <w:trHeight w:val="1378"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13</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智能手持机</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w:t>
            </w:r>
            <w:r>
              <w:rPr>
                <w:rFonts w:ascii="Times New Roman" w:hAnsi="Times New Roman" w:cs="Times New Roman" w:eastAsia="Times New Roman" w:hint="default"/>
                <w:sz w:val="18"/>
                <w:szCs w:val="18"/>
              </w:rPr>
              <w:t>5.8GHz</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全网通智能手持终端</w:t>
            </w:r>
          </w:p>
          <w:p>
            <w:pPr>
              <w:pStyle w:val="TableParagraph"/>
              <w:spacing w:line="309" w:lineRule="auto" w:before="102"/>
              <w:ind w:left="103" w:right="14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、形成的核心技术：</w:t>
            </w:r>
            <w:r>
              <w:rPr>
                <w:rFonts w:ascii="Times New Roman" w:hAnsi="Times New Roman" w:cs="Times New Roman" w:eastAsia="Times New Roman" w:hint="default"/>
                <w:sz w:val="18"/>
                <w:szCs w:val="18"/>
              </w:rPr>
              <w:t>OBU </w:t>
            </w:r>
            <w:r>
              <w:rPr>
                <w:rFonts w:ascii="宋体" w:hAnsi="宋体" w:cs="宋体" w:eastAsia="宋体" w:hint="default"/>
                <w:sz w:val="18"/>
                <w:szCs w:val="18"/>
              </w:rPr>
              <w:t>故障检测，</w:t>
            </w:r>
            <w:r>
              <w:rPr>
                <w:rFonts w:ascii="Times New Roman" w:hAnsi="Times New Roman" w:cs="Times New Roman" w:eastAsia="Times New Roman" w:hint="default"/>
                <w:sz w:val="18"/>
                <w:szCs w:val="18"/>
              </w:rPr>
              <w:t>OBU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唤醒灵 敏度调节、全网通无线通信、指纹识别身份认证、 扫码支付、车牌识别</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302" w:lineRule="auto" w:before="116"/>
              <w:ind w:left="117" w:right="119"/>
              <w:jc w:val="center"/>
              <w:rPr>
                <w:rFonts w:ascii="宋体" w:hAnsi="宋体" w:cs="宋体" w:eastAsia="宋体" w:hint="default"/>
                <w:sz w:val="18"/>
                <w:szCs w:val="18"/>
              </w:rPr>
            </w:pPr>
            <w:r>
              <w:rPr>
                <w:rFonts w:ascii="宋体" w:hAnsi="宋体" w:cs="宋体" w:eastAsia="宋体" w:hint="default"/>
                <w:sz w:val="18"/>
                <w:szCs w:val="18"/>
              </w:rPr>
              <w:t>（已投入高速公路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市场应 用）</w:t>
            </w:r>
          </w:p>
        </w:tc>
      </w:tr>
      <w:tr>
        <w:trPr>
          <w:trHeight w:val="1691"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14</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智能桌面发行器</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、技术成果：用于对电子标签和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进行发行的智 能化桌面设备</w:t>
            </w:r>
          </w:p>
          <w:p>
            <w:pPr>
              <w:pStyle w:val="TableParagraph"/>
              <w:spacing w:line="300" w:lineRule="auto" w:before="70"/>
              <w:ind w:left="103" w:right="13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、核心技术：高灵敏度和高稳定性的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5.8G </w:t>
            </w:r>
            <w:r>
              <w:rPr>
                <w:rFonts w:ascii="宋体" w:hAnsi="宋体" w:cs="宋体" w:eastAsia="宋体" w:hint="default"/>
                <w:sz w:val="18"/>
                <w:szCs w:val="18"/>
              </w:rPr>
              <w:t>通信技 术</w:t>
            </w:r>
            <w:r>
              <w:rPr>
                <w:rFonts w:ascii="Times New Roman" w:hAnsi="Times New Roman" w:cs="Times New Roman" w:eastAsia="Times New Roman" w:hint="default"/>
                <w:sz w:val="18"/>
                <w:szCs w:val="18"/>
              </w:rPr>
              <w:t>,</w:t>
            </w:r>
            <w:r>
              <w:rPr>
                <w:rFonts w:ascii="宋体" w:hAnsi="宋体" w:cs="宋体" w:eastAsia="宋体" w:hint="default"/>
                <w:sz w:val="18"/>
                <w:szCs w:val="18"/>
              </w:rPr>
              <w:t>支持智能化应用的处理器技术、设备自检、故障 检测和告警，以及丰富的人机交互界面等。</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302" w:lineRule="auto" w:before="115"/>
              <w:ind w:left="117" w:right="119"/>
              <w:jc w:val="center"/>
              <w:rPr>
                <w:rFonts w:ascii="宋体" w:hAnsi="宋体" w:cs="宋体" w:eastAsia="宋体" w:hint="default"/>
                <w:sz w:val="18"/>
                <w:szCs w:val="18"/>
              </w:rPr>
            </w:pPr>
            <w:r>
              <w:rPr>
                <w:rFonts w:ascii="宋体" w:hAnsi="宋体" w:cs="宋体" w:eastAsia="宋体" w:hint="default"/>
                <w:sz w:val="18"/>
                <w:szCs w:val="18"/>
              </w:rPr>
              <w:t>（产品可投入高速公路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 场使用）</w:t>
            </w:r>
          </w:p>
        </w:tc>
      </w:tr>
    </w:tbl>
    <w:p>
      <w:pPr>
        <w:spacing w:line="240" w:lineRule="auto" w:before="6"/>
        <w:rPr>
          <w:rFonts w:ascii="宋体" w:hAnsi="宋体" w:cs="宋体" w:eastAsia="宋体" w:hint="default"/>
          <w:sz w:val="27"/>
          <w:szCs w:val="27"/>
        </w:rPr>
      </w:pPr>
    </w:p>
    <w:p>
      <w:pPr>
        <w:pStyle w:val="BodyText"/>
        <w:spacing w:line="240" w:lineRule="auto" w:before="44"/>
        <w:ind w:left="214"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67,158,702.34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69,217,343.24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2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696,603,007.28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766,123,220.82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682,328,186.44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746,867,623.27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14,274,820.84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19,255,597.55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304,143,733.29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38,310.51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793,791.11%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522,828,255.73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33,373,595.62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-218,684,522.44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-33,335,285.11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-556.02%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557,484,800.00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50,084,206.80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67,350,238.55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507,400,593.20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-67,350,238.55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302,982,365.92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-81,429,926.11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472.08%</w:t>
            </w:r>
          </w:p>
        </w:tc>
      </w:tr>
    </w:tbl>
    <w:p>
      <w:pPr>
        <w:pStyle w:val="BodyText"/>
        <w:spacing w:line="240" w:lineRule="auto" w:before="51"/>
        <w:ind w:left="154" w:right="1235"/>
        <w:jc w:val="left"/>
      </w:pPr>
      <w:r>
        <w:rPr/>
        <w:t>相关数据同比发生重大变动的主要影响因素说明</w:t>
      </w:r>
    </w:p>
    <w:p>
      <w:pPr>
        <w:pStyle w:val="BodyText"/>
        <w:spacing w:line="240" w:lineRule="auto" w:before="116"/>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235"/>
        <w:jc w:val="left"/>
      </w:pPr>
      <w:r>
        <w:rPr>
          <w:rFonts w:ascii="Times New Roman" w:hAnsi="Times New Roman" w:cs="Times New Roman" w:eastAsia="Times New Roman" w:hint="default"/>
        </w:rPr>
        <w:t>1</w:t>
      </w:r>
      <w:r>
        <w:rPr/>
        <w:t>、投资活动现金流入小计同比增长</w:t>
      </w:r>
      <w:r>
        <w:rPr>
          <w:rFonts w:ascii="Times New Roman" w:hAnsi="Times New Roman" w:cs="Times New Roman" w:eastAsia="Times New Roman" w:hint="default"/>
        </w:rPr>
        <w:t>793,791.11%</w:t>
      </w:r>
      <w:r>
        <w:rPr/>
        <w:t>，主要系报告期内收到到期理财产品的现金及其投资收益所致；</w:t>
      </w:r>
    </w:p>
    <w:p>
      <w:pPr>
        <w:pStyle w:val="BodyText"/>
        <w:spacing w:line="240" w:lineRule="auto" w:before="63"/>
        <w:ind w:right="1235"/>
        <w:jc w:val="left"/>
      </w:pPr>
      <w:r>
        <w:rPr>
          <w:rFonts w:ascii="Times New Roman" w:hAnsi="Times New Roman" w:cs="Times New Roman" w:eastAsia="Times New Roman" w:hint="default"/>
        </w:rPr>
        <w:t>2</w:t>
      </w:r>
      <w:r>
        <w:rPr/>
        <w:t>、投资活动现金流出小计同比增长</w:t>
      </w:r>
      <w:r>
        <w:rPr>
          <w:rFonts w:ascii="Times New Roman" w:hAnsi="Times New Roman" w:cs="Times New Roman" w:eastAsia="Times New Roman" w:hint="default"/>
        </w:rPr>
        <w:t>1466.59%</w:t>
      </w:r>
      <w:r>
        <w:rPr/>
        <w:t>，主要系报告期内公司利用暂未使用的募集资金购买银行理财产品所致；</w:t>
      </w:r>
    </w:p>
    <w:p>
      <w:pPr>
        <w:pStyle w:val="BodyText"/>
        <w:spacing w:line="240" w:lineRule="auto" w:before="63"/>
        <w:ind w:left="154" w:right="0"/>
        <w:jc w:val="left"/>
      </w:pPr>
      <w:r>
        <w:rPr>
          <w:rFonts w:ascii="Times New Roman" w:hAnsi="Times New Roman" w:cs="Times New Roman" w:eastAsia="Times New Roman" w:hint="default"/>
        </w:rPr>
        <w:t>3</w:t>
      </w:r>
      <w:r>
        <w:rPr/>
        <w:t>、投资活动产生的现金流量净额同比下降</w:t>
      </w:r>
      <w:r>
        <w:rPr>
          <w:rFonts w:ascii="Times New Roman" w:hAnsi="Times New Roman" w:cs="Times New Roman" w:eastAsia="Times New Roman" w:hint="default"/>
        </w:rPr>
        <w:t>556.02%</w:t>
      </w:r>
      <w:r>
        <w:rPr/>
        <w:t>，主要系报告期内公司利用暂未使用的募集资金购买银行理财产品所致；</w:t>
      </w:r>
    </w:p>
    <w:p>
      <w:pPr>
        <w:pStyle w:val="BodyText"/>
        <w:spacing w:line="240" w:lineRule="auto" w:before="63"/>
        <w:ind w:left="154" w:right="1235"/>
        <w:jc w:val="left"/>
      </w:pPr>
      <w:r>
        <w:rPr>
          <w:rFonts w:ascii="Times New Roman" w:hAnsi="Times New Roman" w:cs="Times New Roman" w:eastAsia="Times New Roman" w:hint="default"/>
        </w:rPr>
        <w:t>4</w:t>
      </w:r>
      <w:r>
        <w:rPr/>
        <w:t>、筹资活动现金流入小计同比增长，主要系报告期内收到首次公开发行股票的募集资金所致；</w:t>
      </w:r>
    </w:p>
    <w:p>
      <w:pPr>
        <w:pStyle w:val="BodyText"/>
        <w:spacing w:line="240" w:lineRule="auto" w:before="63"/>
        <w:ind w:right="1235"/>
        <w:jc w:val="left"/>
      </w:pPr>
      <w:r>
        <w:rPr>
          <w:rFonts w:ascii="Times New Roman" w:hAnsi="Times New Roman" w:cs="Times New Roman" w:eastAsia="Times New Roman" w:hint="default"/>
        </w:rPr>
        <w:t>5</w:t>
      </w:r>
      <w:r>
        <w:rPr/>
        <w:t>、筹资活动现金流量净额同比增长</w:t>
      </w:r>
      <w:r>
        <w:rPr>
          <w:rFonts w:ascii="Times New Roman" w:hAnsi="Times New Roman" w:cs="Times New Roman" w:eastAsia="Times New Roman" w:hint="default"/>
        </w:rPr>
        <w:t>853.38%</w:t>
      </w:r>
      <w:r>
        <w:rPr/>
        <w:t>，主要系报告期内收到首次公开发行股票的募集资金所致；</w:t>
      </w:r>
    </w:p>
    <w:p>
      <w:pPr>
        <w:pStyle w:val="BodyText"/>
        <w:spacing w:line="300" w:lineRule="auto" w:before="63"/>
        <w:ind w:left="154" w:right="2277"/>
        <w:jc w:val="left"/>
      </w:pPr>
      <w:r>
        <w:rPr>
          <w:rFonts w:ascii="Times New Roman" w:hAnsi="Times New Roman" w:cs="Times New Roman" w:eastAsia="Times New Roman" w:hint="default"/>
        </w:rPr>
        <w:t>6</w:t>
      </w:r>
      <w:r>
        <w:rPr/>
        <w:t>、现金及现金等价物净增加额同比增长</w:t>
      </w:r>
      <w:r>
        <w:rPr>
          <w:rFonts w:ascii="Times New Roman" w:hAnsi="Times New Roman" w:cs="Times New Roman" w:eastAsia="Times New Roman" w:hint="default"/>
        </w:rPr>
        <w:t>472.08%</w:t>
      </w:r>
      <w:r>
        <w:rPr/>
        <w:t>，主要系报告期内收到首次公开发行股票的募集资金所致。 报告期内公司经营活动产生的现金净流量与本年度净利润存在重大差异的原因说明</w:t>
      </w:r>
    </w:p>
    <w:p>
      <w:pPr>
        <w:pStyle w:val="BodyText"/>
        <w:spacing w:line="338" w:lineRule="auto" w:before="72"/>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报告期内，公司经营活动产生的现金流量为</w:t>
      </w:r>
      <w:r>
        <w:rPr>
          <w:rFonts w:ascii="Times New Roman" w:hAnsi="Times New Roman" w:cs="Times New Roman" w:eastAsia="Times New Roman" w:hint="default"/>
          <w:spacing w:val="-2"/>
        </w:rPr>
        <w:t>1,427.48</w:t>
      </w:r>
      <w:r>
        <w:rPr>
          <w:spacing w:val="-2"/>
        </w:rPr>
        <w:t>万元，本年净利润为</w:t>
      </w:r>
      <w:r>
        <w:rPr>
          <w:rFonts w:ascii="Times New Roman" w:hAnsi="Times New Roman" w:cs="Times New Roman" w:eastAsia="Times New Roman" w:hint="default"/>
          <w:spacing w:val="-2"/>
        </w:rPr>
        <w:t>8,779.37</w:t>
      </w:r>
      <w:r>
        <w:rPr>
          <w:spacing w:val="-2"/>
        </w:rPr>
        <w:t>万元，经营活动现金流量净额与净利润</w:t>
      </w:r>
    </w:p>
    <w:p>
      <w:pPr>
        <w:pStyle w:val="BodyText"/>
        <w:spacing w:line="217" w:lineRule="exact"/>
        <w:ind w:left="154" w:right="1235"/>
        <w:jc w:val="left"/>
      </w:pPr>
      <w:r>
        <w:rPr/>
        <w:t>存在差异的原因是：</w:t>
      </w:r>
    </w:p>
    <w:p>
      <w:pPr>
        <w:pStyle w:val="BodyText"/>
        <w:spacing w:line="300" w:lineRule="auto" w:before="76"/>
        <w:ind w:right="1132" w:firstLine="360"/>
        <w:jc w:val="both"/>
      </w:pPr>
      <w:r>
        <w:rPr/>
        <w:t>（</w:t>
      </w:r>
      <w:r>
        <w:rPr>
          <w:rFonts w:ascii="Times New Roman" w:hAnsi="Times New Roman" w:cs="Times New Roman" w:eastAsia="Times New Roman" w:hint="default"/>
        </w:rPr>
        <w:t>1</w:t>
      </w:r>
      <w:r>
        <w:rPr/>
        <w:t>）报告期存货减少</w:t>
      </w:r>
      <w:r>
        <w:rPr>
          <w:rFonts w:ascii="Times New Roman" w:hAnsi="Times New Roman" w:cs="Times New Roman" w:eastAsia="Times New Roman" w:hint="default"/>
        </w:rPr>
        <w:t>2,102.44</w:t>
      </w:r>
      <w:r>
        <w:rPr/>
        <w:t>万元，经营性应收项目增加</w:t>
      </w:r>
      <w:r>
        <w:rPr>
          <w:rFonts w:ascii="Times New Roman" w:hAnsi="Times New Roman" w:cs="Times New Roman" w:eastAsia="Times New Roman" w:hint="default"/>
        </w:rPr>
        <w:t>5,350.54</w:t>
      </w:r>
      <w:r>
        <w:rPr/>
        <w:t>万元，经营性应付项目减少</w:t>
      </w:r>
      <w:r>
        <w:rPr>
          <w:rFonts w:ascii="Times New Roman" w:hAnsi="Times New Roman" w:cs="Times New Roman" w:eastAsia="Times New Roman" w:hint="default"/>
        </w:rPr>
        <w:t>5,948.35</w:t>
      </w:r>
      <w:r>
        <w:rPr/>
        <w:t>万元；（</w:t>
      </w:r>
      <w:r>
        <w:rPr>
          <w:rFonts w:ascii="Times New Roman" w:hAnsi="Times New Roman" w:cs="Times New Roman" w:eastAsia="Times New Roman" w:hint="default"/>
        </w:rPr>
        <w:t>2</w:t>
      </w:r>
      <w:r>
        <w:rPr/>
        <w:t>）投资 </w:t>
      </w:r>
      <w:r>
        <w:rPr>
          <w:spacing w:val="-1"/>
        </w:rPr>
        <w:t>收益增加</w:t>
      </w:r>
      <w:r>
        <w:rPr>
          <w:rFonts w:ascii="Times New Roman" w:hAnsi="Times New Roman" w:cs="Times New Roman" w:eastAsia="Times New Roman" w:hint="default"/>
          <w:spacing w:val="-1"/>
        </w:rPr>
        <w:t>395.63</w:t>
      </w:r>
      <w:r>
        <w:rPr>
          <w:spacing w:val="-1"/>
        </w:rPr>
        <w:t>万元；（</w:t>
      </w:r>
      <w:r>
        <w:rPr>
          <w:rFonts w:ascii="Times New Roman" w:hAnsi="Times New Roman" w:cs="Times New Roman" w:eastAsia="Times New Roman" w:hint="default"/>
          <w:spacing w:val="-1"/>
        </w:rPr>
        <w:t>3</w:t>
      </w:r>
      <w:r>
        <w:rPr>
          <w:spacing w:val="-1"/>
        </w:rPr>
        <w:t>）其他不影响经营活动现金流量但影响净利润的项目合计金额</w:t>
      </w:r>
      <w:r>
        <w:rPr>
          <w:rFonts w:ascii="Times New Roman" w:hAnsi="Times New Roman" w:cs="Times New Roman" w:eastAsia="Times New Roman" w:hint="default"/>
          <w:spacing w:val="-1"/>
        </w:rPr>
        <w:t>2,240.19</w:t>
      </w:r>
      <w:r>
        <w:rPr>
          <w:spacing w:val="-1"/>
        </w:rPr>
        <w:t>万元（主要包括资产减值准</w:t>
      </w:r>
      <w:r>
        <w:rPr>
          <w:spacing w:val="-69"/>
        </w:rPr>
        <w:t> </w:t>
      </w:r>
      <w:r>
        <w:rPr>
          <w:spacing w:val="-69"/>
        </w:rPr>
      </w:r>
      <w:r>
        <w:rPr/>
        <w:t>备</w:t>
      </w:r>
      <w:r>
        <w:rPr>
          <w:rFonts w:ascii="Times New Roman" w:hAnsi="Times New Roman" w:cs="Times New Roman" w:eastAsia="Times New Roman" w:hint="default"/>
        </w:rPr>
        <w:t>1,065.75</w:t>
      </w:r>
      <w:r>
        <w:rPr/>
        <w:t>万元，长期资产的折旧、摊销</w:t>
      </w:r>
      <w:r>
        <w:rPr>
          <w:rFonts w:ascii="Times New Roman" w:hAnsi="Times New Roman" w:cs="Times New Roman" w:eastAsia="Times New Roman" w:hint="default"/>
        </w:rPr>
        <w:t>1,316.45</w:t>
      </w:r>
      <w:r>
        <w:rPr/>
        <w:t>万元、投资收益为和其他影响因素</w:t>
      </w:r>
      <w:r>
        <w:rPr>
          <w:rFonts w:ascii="Times New Roman" w:hAnsi="Times New Roman" w:cs="Times New Roman" w:eastAsia="Times New Roman" w:hint="default"/>
        </w:rPr>
        <w:t>-142.01</w:t>
      </w:r>
      <w:r>
        <w:rPr/>
        <w:t>万元。）</w:t>
      </w:r>
    </w:p>
    <w:p>
      <w:pPr>
        <w:spacing w:after="0" w:line="300" w:lineRule="auto"/>
        <w:jc w:val="both"/>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35"/>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750"/>
        <w:gridCol w:w="1559"/>
        <w:gridCol w:w="2495"/>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3,956,289.96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公司购买理财产品产生的收益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750"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10,657,522.06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10.73%</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公司计提的资产减值准备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396,389.49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主要为供应商赔偿款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1,299,175.68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主要为赔偿款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42,815,983.71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主要为增值税即征即退收入和 与日常经营活动相关的政府补 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9"/>
              <w:jc w:val="left"/>
              <w:rPr>
                <w:rFonts w:ascii="宋体" w:hAnsi="宋体" w:cs="宋体" w:eastAsia="宋体" w:hint="default"/>
                <w:sz w:val="18"/>
                <w:szCs w:val="18"/>
              </w:rPr>
            </w:pPr>
            <w:r>
              <w:rPr>
                <w:rFonts w:ascii="宋体" w:hAnsi="宋体" w:cs="宋体" w:eastAsia="宋体" w:hint="default"/>
                <w:sz w:val="18"/>
                <w:szCs w:val="18"/>
              </w:rPr>
              <w:t>增值税即征即退收入可持 续，其他不可持续</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52,953.17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235"/>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56"/>
        <w:gridCol w:w="1063"/>
        <w:gridCol w:w="1196"/>
        <w:gridCol w:w="1063"/>
        <w:gridCol w:w="798"/>
        <w:gridCol w:w="2918"/>
      </w:tblGrid>
      <w:tr>
        <w:trPr>
          <w:trHeight w:val="379" w:hRule="exact"/>
        </w:trPr>
        <w:tc>
          <w:tcPr>
            <w:tcW w:w="127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76" w:type="dxa"/>
            <w:vMerge w:val="restart"/>
            <w:tcBorders>
              <w:top w:val="single" w:sz="14" w:space="0" w:color="FFFFFF"/>
              <w:left w:val="single" w:sz="4" w:space="0" w:color="000000"/>
              <w:right w:val="single" w:sz="4" w:space="0" w:color="000000"/>
            </w:tcBorders>
            <w:shd w:val="clear" w:color="auto" w:fill="D2D2D2"/>
          </w:tcPr>
          <w:p>
            <w:pPr/>
          </w:p>
        </w:tc>
        <w:tc>
          <w:tcPr>
            <w:tcW w:w="12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643,826,376.29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46.66%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348,753,592.32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41.68%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4.98%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主要系首次公开发行股票募集资金 到位所致</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232,493,751.08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205,166,342.61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103,585,507.26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124,020,305.18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201,507,317.43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14.61%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14.61%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主要系购买银行理财产品未到期和 可抵扣增值税增加所致</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6"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48,401,892.21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40,645,354.95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2017</w:t>
      </w:r>
      <w:r>
        <w:rPr/>
        <w:t>年末其他货币资金</w:t>
      </w:r>
      <w:r>
        <w:rPr>
          <w:rFonts w:ascii="Times New Roman" w:hAnsi="Times New Roman" w:cs="Times New Roman" w:eastAsia="Times New Roman" w:hint="default"/>
        </w:rPr>
        <w:t>3,072,314.76</w:t>
      </w:r>
      <w:r>
        <w:rPr/>
        <w:t>元，系存出的银行承兑汇票保证金，资金使用受限。</w:t>
      </w:r>
    </w:p>
    <w:p>
      <w:pPr>
        <w:spacing w:line="240" w:lineRule="auto" w:before="1"/>
        <w:rPr>
          <w:rFonts w:ascii="宋体" w:hAnsi="宋体" w:cs="宋体" w:eastAsia="宋体" w:hint="default"/>
          <w:sz w:val="24"/>
          <w:szCs w:val="24"/>
        </w:rPr>
      </w:pPr>
    </w:p>
    <w:p>
      <w:pPr>
        <w:pStyle w:val="Heading2"/>
        <w:spacing w:line="240" w:lineRule="auto"/>
        <w:ind w:left="154" w:right="1235"/>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307,142,666.24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25,999,451.91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1,081.34%</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04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佛山金 溢科技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生产基 地</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无固定 期限</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视频识 别与电 子支付 产品</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0" w:right="0"/>
              <w:jc w:val="left"/>
              <w:rPr>
                <w:rFonts w:ascii="Times New Roman" w:hAnsi="Times New Roman" w:cs="Times New Roman" w:eastAsia="Times New Roman" w:hint="default"/>
                <w:sz w:val="18"/>
                <w:szCs w:val="18"/>
              </w:rPr>
            </w:pPr>
            <w:r>
              <w:rPr>
                <w:rFonts w:ascii="Times New Roman"/>
                <w:sz w:val="18"/>
              </w:rPr>
              <w:t>1,788,62</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7.99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5" w:lineRule="auto" w:before="1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316" w:lineRule="auto" w:before="76"/>
              <w:ind w:left="22" w:right="95"/>
              <w:jc w:val="both"/>
              <w:rPr>
                <w:rFonts w:ascii="宋体" w:hAnsi="宋体" w:cs="宋体" w:eastAsia="宋体" w:hint="default"/>
                <w:sz w:val="18"/>
                <w:szCs w:val="18"/>
              </w:rPr>
            </w:pPr>
            <w:r>
              <w:rPr>
                <w:rFonts w:ascii="宋体" w:hAnsi="宋体" w:cs="宋体" w:eastAsia="宋体" w:hint="default"/>
                <w:sz w:val="18"/>
                <w:szCs w:val="18"/>
              </w:rPr>
              <w:t>使用募 集资金 向全资 子公司 佛山金 溢科技 有限公 司投资 的公</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2017-01</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286,83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1,788,62</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7.99</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青岛基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11,684,5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52,312,5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项目尚 未投产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3,302,48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3,319,82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项目尚 未投产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14,987,0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55,632,4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21.19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55,448.48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6,516.86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6,884.16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49,022.73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5043"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的募集资 金存放于 募集资金 三方监管 </w:t>
            </w:r>
            <w:r>
              <w:rPr>
                <w:rFonts w:ascii="宋体" w:hAnsi="宋体" w:cs="宋体" w:eastAsia="宋体" w:hint="default"/>
                <w:spacing w:val="-18"/>
                <w:sz w:val="18"/>
                <w:szCs w:val="18"/>
              </w:rPr>
              <w:t>账户，将用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于后续募 投项目建 </w:t>
            </w:r>
            <w:r>
              <w:rPr>
                <w:rFonts w:ascii="宋体" w:hAnsi="宋体" w:cs="宋体" w:eastAsia="宋体" w:hint="default"/>
                <w:spacing w:val="-18"/>
                <w:sz w:val="18"/>
                <w:szCs w:val="18"/>
              </w:rPr>
              <w:t>设；董事会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批准公司 及全资子 公司佛山 金溢利用 部分闲置 募集资金 进行现金 管理。</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55,448.48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6,516.86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6,884.16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49,022.73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）实际募集资金金额：经中国证券监督管理委员会《关于深圳市金溢科技股份有限公司首次公开发行股票的批复》（证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监许可</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2017[399]</w:t>
            </w:r>
            <w:r>
              <w:rPr>
                <w:rFonts w:ascii="宋体" w:hAnsi="宋体" w:cs="宋体" w:eastAsia="宋体" w:hint="default"/>
                <w:spacing w:val="-2"/>
                <w:sz w:val="18"/>
                <w:szCs w:val="18"/>
              </w:rPr>
              <w:t>号文）核准并经深圳证券交易所《关于深圳市金溢科技股份有限公司人民币普通股股票上市的通知》（深</w:t>
            </w:r>
            <w:r>
              <w:rPr>
                <w:rFonts w:ascii="宋体" w:hAnsi="宋体" w:cs="宋体" w:eastAsia="宋体" w:hint="default"/>
                <w:sz w:val="18"/>
                <w:szCs w:val="18"/>
              </w:rPr>
              <w:t> 证上</w:t>
            </w:r>
            <w:r>
              <w:rPr>
                <w:rFonts w:ascii="Times New Roman" w:hAnsi="Times New Roman" w:cs="Times New Roman" w:eastAsia="Times New Roman" w:hint="default"/>
                <w:sz w:val="18"/>
                <w:szCs w:val="18"/>
              </w:rPr>
              <w:t>[2017]299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号）同意，公司向社会公开发行人民币普通股（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股）股票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万股，每股面值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元，每股发行价格为人 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21.80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元，共计募集资金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64,353.60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万元，减除发行费用人民币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8,905.12</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万元（含增值税）后，募集资金净额为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55,448.48</w:t>
            </w:r>
          </w:p>
          <w:p>
            <w:pPr>
              <w:pStyle w:val="TableParagraph"/>
              <w:spacing w:line="302" w:lineRule="auto" w:before="13"/>
              <w:ind w:left="22" w:right="81"/>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日，本公司上述发行的募集资金已全部到位，业经天健会计师事务所（特殊普通合伙）验证， </w:t>
            </w:r>
            <w:r>
              <w:rPr>
                <w:rFonts w:ascii="宋体" w:hAnsi="宋体" w:cs="宋体" w:eastAsia="宋体" w:hint="default"/>
                <w:spacing w:val="-4"/>
                <w:sz w:val="18"/>
                <w:szCs w:val="18"/>
              </w:rPr>
              <w:t>并由其出具《验资报告》（天健验</w:t>
            </w:r>
            <w:r>
              <w:rPr>
                <w:rFonts w:ascii="Times New Roman" w:hAnsi="Times New Roman" w:cs="Times New Roman" w:eastAsia="Times New Roman" w:hint="default"/>
                <w:spacing w:val="-4"/>
                <w:sz w:val="18"/>
                <w:szCs w:val="18"/>
              </w:rPr>
              <w:t>[2017]3-42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号）确认。</w:t>
            </w:r>
          </w:p>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6,516.86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万元。截止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49,022.73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（包括累计收到的利息扣除银行手续费等的净额</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佛山智能交通射频识 别与电子支付产品生 产基地项目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28,680.96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28,680.96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项目尚未</w:t>
            </w:r>
          </w:p>
          <w:p>
            <w:pPr>
              <w:pStyle w:val="TableParagraph"/>
              <w:spacing w:line="240" w:lineRule="auto" w:before="78"/>
              <w:ind w:left="38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深圳研发中心建设项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16,027.63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16,027.63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项目尚未</w:t>
            </w:r>
          </w:p>
          <w:p>
            <w:pPr>
              <w:pStyle w:val="TableParagraph"/>
              <w:spacing w:line="240" w:lineRule="auto" w:before="77"/>
              <w:ind w:left="38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759"/>
        <w:gridCol w:w="773"/>
        <w:gridCol w:w="786"/>
        <w:gridCol w:w="780"/>
        <w:gridCol w:w="779"/>
        <w:gridCol w:w="786"/>
        <w:gridCol w:w="774"/>
        <w:gridCol w:w="774"/>
        <w:gridCol w:w="792"/>
        <w:gridCol w:w="774"/>
        <w:gridCol w:w="780"/>
      </w:tblGrid>
      <w:tr>
        <w:trPr>
          <w:trHeight w:val="102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 w:right="117"/>
              <w:jc w:val="left"/>
              <w:rPr>
                <w:rFonts w:ascii="宋体" w:hAnsi="宋体" w:cs="宋体" w:eastAsia="宋体" w:hint="default"/>
                <w:sz w:val="18"/>
                <w:szCs w:val="18"/>
              </w:rPr>
            </w:pPr>
            <w:r>
              <w:rPr>
                <w:rFonts w:ascii="宋体" w:hAnsi="宋体" w:cs="宋体" w:eastAsia="宋体" w:hint="default"/>
                <w:sz w:val="18"/>
                <w:szCs w:val="18"/>
              </w:rPr>
              <w:t>营销服务网络建设项 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779.47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13.68%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项目尚未</w:t>
            </w:r>
          </w:p>
          <w:p>
            <w:pPr>
              <w:pStyle w:val="TableParagraph"/>
              <w:spacing w:line="240" w:lineRule="auto" w:before="77"/>
              <w:ind w:left="39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补充运营资金</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5,041.88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5,041.88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6,516.86</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6,884.16</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超募资金投向（不适用）</w:t>
            </w:r>
          </w:p>
        </w:tc>
      </w:tr>
      <w:tr>
        <w:trPr>
          <w:trHeight w:val="407"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55,448.48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6,516.86</w:t>
            </w:r>
          </w:p>
        </w:tc>
        <w:tc>
          <w:tcPr>
            <w:tcW w:w="7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6,884.16</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4"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6" w:right="25"/>
              <w:jc w:val="left"/>
              <w:rPr>
                <w:rFonts w:ascii="宋体" w:hAnsi="宋体" w:cs="宋体" w:eastAsia="宋体" w:hint="default"/>
                <w:sz w:val="18"/>
                <w:szCs w:val="18"/>
              </w:rPr>
            </w:pPr>
            <w:r>
              <w:rPr>
                <w:rFonts w:ascii="宋体" w:hAnsi="宋体" w:cs="宋体" w:eastAsia="宋体" w:hint="default"/>
                <w:sz w:val="18"/>
                <w:szCs w:val="18"/>
              </w:rPr>
              <w:t>佛山智能交通射频识别与电子支付产品生产基地项目、深圳研发中心建设项目及营销服务网络建设 项目目前正处在建设期。</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6"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日，公司召开第二届董事会第三次会议，审议通过了《关于使用募集资金置换预先投</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入募投项目自筹资金的议案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，同意公司使用募集资金置换截至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w:t>
            </w:r>
            <w:r>
              <w:rPr>
                <w:rFonts w:ascii="宋体" w:hAnsi="宋体" w:cs="宋体" w:eastAsia="宋体" w:hint="default"/>
                <w:spacing w:val="1"/>
                <w:sz w:val="18"/>
                <w:szCs w:val="18"/>
              </w:rPr>
              <w:t>筹</w:t>
            </w:r>
            <w:r>
              <w:rPr>
                <w:rFonts w:ascii="宋体" w:hAnsi="宋体" w:cs="宋体" w:eastAsia="宋体" w:hint="default"/>
                <w:sz w:val="18"/>
                <w:szCs w:val="18"/>
              </w:rPr>
              <w:t>资金预先投</w:t>
            </w:r>
          </w:p>
          <w:p>
            <w:pPr>
              <w:pStyle w:val="TableParagraph"/>
              <w:spacing w:line="302" w:lineRule="auto" w:before="63"/>
              <w:ind w:left="16" w:right="68"/>
              <w:jc w:val="left"/>
              <w:rPr>
                <w:rFonts w:ascii="宋体" w:hAnsi="宋体" w:cs="宋体" w:eastAsia="宋体" w:hint="default"/>
                <w:sz w:val="18"/>
                <w:szCs w:val="18"/>
              </w:rPr>
            </w:pPr>
            <w:r>
              <w:rPr>
                <w:rFonts w:ascii="宋体" w:hAnsi="宋体" w:cs="宋体" w:eastAsia="宋体" w:hint="default"/>
                <w:sz w:val="18"/>
                <w:szCs w:val="18"/>
              </w:rPr>
              <w:t>入募集资金投资项目的实际投资金额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 </w:t>
            </w:r>
            <w:r>
              <w:rPr>
                <w:rFonts w:ascii="宋体" w:hAnsi="宋体" w:cs="宋体" w:eastAsia="宋体" w:hint="default"/>
                <w:spacing w:val="-3"/>
                <w:sz w:val="18"/>
                <w:szCs w:val="18"/>
              </w:rPr>
              <w:t>使用募集资金置换预先投入募投项目自筹资金的公告》（公告编号：</w:t>
            </w:r>
            <w:r>
              <w:rPr>
                <w:rFonts w:ascii="Times New Roman" w:hAnsi="Times New Roman" w:cs="Times New Roman" w:eastAsia="Times New Roman" w:hint="default"/>
                <w:spacing w:val="-3"/>
                <w:sz w:val="18"/>
                <w:szCs w:val="18"/>
              </w:rPr>
              <w:t>2017-010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703"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518"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4"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尚未使用的募集资金存放于募集资金三方监管账户，将用于后续募投项目建设；为提高募集资金使 用效率，合理利用闲置募集资金，在确保不影响募集资金投资项目建设和不改变募集资金用途的前 提下，经第二届董事会第五次会议和第二届监事会第三次会议审议通过，同意公司及全资子公司佛 山金溢利用部分闲置募集资金进行现金管理</w:t>
            </w:r>
            <w:r>
              <w:rPr>
                <w:rFonts w:ascii="Times New Roman" w:hAnsi="Times New Roman" w:cs="Times New Roman" w:eastAsia="Times New Roman" w:hint="default"/>
                <w:sz w:val="18"/>
                <w:szCs w:val="18"/>
              </w:rPr>
              <w:t>,</w:t>
            </w:r>
            <w:r>
              <w:rPr>
                <w:rFonts w:ascii="宋体" w:hAnsi="宋体" w:cs="宋体" w:eastAsia="宋体" w:hint="default"/>
                <w:sz w:val="18"/>
                <w:szCs w:val="18"/>
              </w:rPr>
              <w:t>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日发布的《关于公司及</w:t>
            </w:r>
            <w:r>
              <w:rPr>
                <w:rFonts w:ascii="宋体" w:hAnsi="宋体" w:cs="宋体" w:eastAsia="宋体" w:hint="default"/>
                <w:sz w:val="18"/>
                <w:szCs w:val="18"/>
              </w:rPr>
              <w:t> </w:t>
            </w:r>
            <w:r>
              <w:rPr>
                <w:rFonts w:ascii="宋体" w:hAnsi="宋体" w:cs="宋体" w:eastAsia="宋体" w:hint="default"/>
                <w:spacing w:val="-3"/>
                <w:sz w:val="18"/>
                <w:szCs w:val="18"/>
              </w:rPr>
              <w:t>全资子公司使用部分闲置募集资金进行现金管理的公告》（公告编号：</w:t>
            </w:r>
            <w:r>
              <w:rPr>
                <w:rFonts w:ascii="Times New Roman" w:hAnsi="Times New Roman" w:cs="Times New Roman" w:eastAsia="Times New Roman" w:hint="default"/>
                <w:spacing w:val="-3"/>
                <w:sz w:val="18"/>
                <w:szCs w:val="18"/>
              </w:rPr>
              <w:t>2017-025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7"/>
                <w:sz w:val="18"/>
                <w:szCs w:val="18"/>
              </w:rPr>
              <w:t> </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704"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vMerge/>
            <w:tcBorders>
              <w:left w:val="single" w:sz="9" w:space="0" w:color="D2D2D2"/>
              <w:right w:val="single" w:sz="4" w:space="0" w:color="000000"/>
            </w:tcBorders>
          </w:tcPr>
          <w:p>
            <w:pPr/>
          </w:p>
        </w:tc>
      </w:tr>
      <w:tr>
        <w:trPr>
          <w:trHeight w:val="473"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53" w:right="1235"/>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235"/>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53" w:right="1235"/>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134"/>
        <w:gridCol w:w="993"/>
        <w:gridCol w:w="1091"/>
        <w:gridCol w:w="1091"/>
        <w:gridCol w:w="1091"/>
        <w:gridCol w:w="1092"/>
        <w:gridCol w:w="1092"/>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北京中交金 溢科技有限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营运车联网 及场站管理 业务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12,000,000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10,110,139.65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1,071,468.22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5,106,661.59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906,960.11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906,960.11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青岛金溢科 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生产基地、测 试</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50,000,000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69,282,693.25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21,786,941.21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-2,141,407.22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-2,141,407.22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停车收费管 理智能化业 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18,412,686.31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-5,024,537.51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17,530,736.22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-3,979,943.96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-3,950,864.41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广东华信金 溢信息技术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UHF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频段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读写设 备及解决方 案提供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301,178.60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-7,061,818.82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-135,366.88</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-120,775.38</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佛山金溢科 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生产基地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80,000,000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310,270,689.5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307,327,255.4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1,964,668.51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1,788,627.99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无锡金溢科 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车辆电 子标签设备 及解决方案 提供</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z w:val="18"/>
              </w:rPr>
              <w:t>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1,742,021.51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386,878.14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993,376.08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-607,123.48</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-606,685.48</w:t>
            </w:r>
            <w:r>
              <w:rPr>
                <w:rFonts w:ascii="Times New Roman"/>
                <w:sz w:val="18"/>
              </w:rPr>
            </w:r>
          </w:p>
        </w:tc>
      </w:tr>
    </w:tbl>
    <w:p>
      <w:pPr>
        <w:pStyle w:val="BodyText"/>
        <w:spacing w:line="240" w:lineRule="auto" w:before="51"/>
        <w:ind w:left="154" w:right="1235"/>
        <w:jc w:val="left"/>
      </w:pPr>
      <w:r>
        <w:rPr/>
        <w:t>报告期内取得和处置子公司的情况</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主要控股参股公司情况说明</w:t>
      </w:r>
    </w:p>
    <w:p>
      <w:pPr>
        <w:pStyle w:val="BodyText"/>
        <w:spacing w:line="240" w:lineRule="auto" w:before="115"/>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月，公司按照募投项目的投资计划，使用募集资金</w:t>
      </w:r>
      <w:r>
        <w:rPr>
          <w:spacing w:val="-54"/>
        </w:rPr>
        <w:t> </w:t>
      </w:r>
      <w:r>
        <w:rPr>
          <w:rFonts w:ascii="Times New Roman" w:hAnsi="Times New Roman" w:cs="Times New Roman" w:eastAsia="Times New Roman" w:hint="default"/>
        </w:rPr>
        <w:t>28,680.96</w:t>
      </w:r>
      <w:r>
        <w:rPr>
          <w:rFonts w:ascii="Times New Roman" w:hAnsi="Times New Roman" w:cs="Times New Roman" w:eastAsia="Times New Roman" w:hint="default"/>
          <w:spacing w:val="-9"/>
        </w:rPr>
        <w:t> </w:t>
      </w:r>
      <w:r>
        <w:rPr/>
        <w:t>万元，向全资子公司佛山金溢进行投资，用于实</w:t>
      </w:r>
    </w:p>
    <w:p>
      <w:pPr>
        <w:pStyle w:val="BodyText"/>
        <w:spacing w:line="240" w:lineRule="auto" w:before="63"/>
        <w:ind w:right="0"/>
        <w:jc w:val="left"/>
        <w:rPr>
          <w:rFonts w:ascii="Times New Roman" w:hAnsi="Times New Roman" w:cs="Times New Roman" w:eastAsia="Times New Roman" w:hint="default"/>
        </w:rPr>
      </w:pPr>
      <w:r>
        <w:rPr>
          <w:spacing w:val="-3"/>
        </w:rPr>
        <w:t>施佛山智能交通射频识别电子支付产品生产基地项目建设。本次增资，导致佛山金溢的资产规模发生了显著变化，截至</w:t>
      </w:r>
      <w:r>
        <w:rPr>
          <w:spacing w:val="-17"/>
        </w:rPr>
        <w:t> </w:t>
      </w:r>
      <w:r>
        <w:rPr>
          <w:rFonts w:ascii="Times New Roman" w:hAnsi="Times New Roman" w:cs="Times New Roman" w:eastAsia="Times New Roman" w:hint="default"/>
        </w:rPr>
        <w:t>2017</w:t>
      </w:r>
    </w:p>
    <w:p>
      <w:pPr>
        <w:pStyle w:val="BodyText"/>
        <w:spacing w:line="302" w:lineRule="auto" w:before="63"/>
        <w:ind w:right="1123"/>
        <w:jc w:val="left"/>
      </w:pP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日，佛山金溢总资产为</w:t>
      </w:r>
      <w:r>
        <w:rPr>
          <w:spacing w:val="-49"/>
        </w:rPr>
        <w:t> </w:t>
      </w:r>
      <w:r>
        <w:rPr>
          <w:rFonts w:ascii="Times New Roman" w:hAnsi="Times New Roman" w:cs="Times New Roman" w:eastAsia="Times New Roman" w:hint="default"/>
        </w:rPr>
        <w:t>31,027.07</w:t>
      </w:r>
      <w:r>
        <w:rPr>
          <w:rFonts w:ascii="Times New Roman" w:hAnsi="Times New Roman" w:cs="Times New Roman" w:eastAsia="Times New Roman" w:hint="default"/>
          <w:spacing w:val="-4"/>
        </w:rPr>
        <w:t> </w:t>
      </w:r>
      <w:r>
        <w:rPr>
          <w:spacing w:val="-4"/>
        </w:rPr>
        <w:t>万元，净资产为</w:t>
      </w:r>
      <w:r>
        <w:rPr>
          <w:spacing w:val="-49"/>
        </w:rPr>
        <w:t> </w:t>
      </w:r>
      <w:r>
        <w:rPr>
          <w:rFonts w:ascii="Times New Roman" w:hAnsi="Times New Roman" w:cs="Times New Roman" w:eastAsia="Times New Roman" w:hint="default"/>
        </w:rPr>
        <w:t>30,732.73</w:t>
      </w:r>
      <w:r>
        <w:rPr>
          <w:rFonts w:ascii="Times New Roman" w:hAnsi="Times New Roman" w:cs="Times New Roman" w:eastAsia="Times New Roman" w:hint="default"/>
          <w:spacing w:val="-4"/>
        </w:rPr>
        <w:t> </w:t>
      </w:r>
      <w:r>
        <w:rPr/>
        <w:t>万元。本次募集资金投入符合公司的发展战略和长远 规划，有利于提升公司盈利能力，符合公司及全体股东的利益。</w:t>
      </w:r>
    </w:p>
    <w:p>
      <w:pPr>
        <w:spacing w:line="240" w:lineRule="auto" w:before="6"/>
        <w:rPr>
          <w:rFonts w:ascii="宋体" w:hAnsi="宋体" w:cs="宋体" w:eastAsia="宋体" w:hint="default"/>
          <w:sz w:val="21"/>
          <w:szCs w:val="21"/>
        </w:rPr>
      </w:pPr>
    </w:p>
    <w:p>
      <w:pPr>
        <w:pStyle w:val="Heading2"/>
        <w:spacing w:line="240" w:lineRule="auto"/>
        <w:ind w:right="1235"/>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35"/>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before="0"/>
        <w:ind w:right="1235"/>
        <w:jc w:val="left"/>
        <w:rPr>
          <w:b w:val="0"/>
          <w:bCs w:val="0"/>
        </w:rPr>
      </w:pPr>
      <w:r>
        <w:rPr/>
        <w:t>（一）</w:t>
      </w:r>
      <w:r>
        <w:rPr>
          <w:spacing w:val="-3"/>
        </w:rPr>
        <w:t> </w:t>
      </w:r>
      <w:r>
        <w:rPr/>
        <w:t>行业格局和趋势</w:t>
      </w:r>
      <w:r>
        <w:rPr>
          <w:b w:val="0"/>
          <w:bCs w:val="0"/>
        </w:rPr>
      </w:r>
    </w:p>
    <w:p>
      <w:pPr>
        <w:pStyle w:val="BodyText"/>
        <w:spacing w:line="240" w:lineRule="auto" w:before="116"/>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年在宏观经济层面，交通基础设施投资将保持稳定；在行业政策层面，</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年下半年至</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spacing w:val="-3"/>
        </w:rPr>
        <w:t>年初，新一代国家交</w:t>
      </w:r>
    </w:p>
    <w:p>
      <w:pPr>
        <w:pStyle w:val="BodyText"/>
        <w:spacing w:line="302" w:lineRule="auto" w:before="63"/>
        <w:ind w:right="1124"/>
        <w:jc w:val="left"/>
      </w:pPr>
      <w:r>
        <w:rPr/>
        <w:t>通控制网、智慧公路、多义性路径识别系统、汽车电子标识等新一轮政策集中出台，预计增量市场需求将在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年逐渐释 放；在行业环境层面，智慧交通、大数据、</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成为社会关注热点，智能交通行业的关注热度持续上升。</w:t>
      </w:r>
    </w:p>
    <w:p>
      <w:pPr>
        <w:pStyle w:val="BodyText"/>
        <w:spacing w:line="300" w:lineRule="auto" w:before="49"/>
        <w:ind w:left="154" w:right="1130" w:firstLine="360"/>
        <w:jc w:val="both"/>
      </w:pPr>
      <w:r>
        <w:rPr/>
        <w:t>在高速公路</w:t>
      </w:r>
      <w:r>
        <w:rPr>
          <w:spacing w:val="-50"/>
        </w:rPr>
        <w:t> </w:t>
      </w:r>
      <w:r>
        <w:rPr>
          <w:rFonts w:ascii="Times New Roman" w:hAnsi="Times New Roman" w:cs="Times New Roman" w:eastAsia="Times New Roman" w:hint="default"/>
        </w:rPr>
        <w:t>ETC</w:t>
      </w:r>
      <w:r>
        <w:rPr>
          <w:rFonts w:ascii="Times New Roman" w:hAnsi="Times New Roman" w:cs="Times New Roman" w:eastAsia="Times New Roman" w:hint="default"/>
          <w:spacing w:val="-6"/>
        </w:rPr>
        <w:t> </w:t>
      </w:r>
      <w:r>
        <w:rPr>
          <w:spacing w:val="-10"/>
          <w:w w:val="100"/>
        </w:rPr>
        <w:t>方面，《</w:t>
      </w:r>
      <w:r>
        <w:rPr>
          <w:rFonts w:ascii="Times New Roman" w:hAnsi="Times New Roman" w:cs="Times New Roman" w:eastAsia="Times New Roman" w:hint="default"/>
          <w:spacing w:val="-10"/>
          <w:w w:val="100"/>
        </w:rPr>
        <w:t>“</w:t>
      </w:r>
      <w:r>
        <w:rPr>
          <w:spacing w:val="-10"/>
          <w:w w:val="100"/>
        </w:rPr>
        <w:t>十三五</w:t>
      </w:r>
      <w:r>
        <w:rPr>
          <w:rFonts w:ascii="Times New Roman" w:hAnsi="Times New Roman" w:cs="Times New Roman" w:eastAsia="Times New Roman" w:hint="default"/>
          <w:spacing w:val="-10"/>
          <w:w w:val="100"/>
        </w:rPr>
        <w:t>”</w:t>
      </w:r>
      <w:r>
        <w:rPr>
          <w:spacing w:val="-10"/>
          <w:w w:val="100"/>
        </w:rPr>
        <w:t>现代综合交通运输体系的发展规划》要求</w:t>
      </w:r>
      <w:r>
        <w:rPr>
          <w:spacing w:val="-50"/>
          <w:w w:val="100"/>
        </w:rPr>
        <w:t> </w:t>
      </w:r>
      <w:r>
        <w:rPr>
          <w:rFonts w:ascii="Times New Roman" w:hAnsi="Times New Roman" w:cs="Times New Roman" w:eastAsia="Times New Roman" w:hint="default"/>
        </w:rPr>
        <w:t>ETC</w:t>
      </w:r>
      <w:r>
        <w:rPr>
          <w:rFonts w:ascii="Times New Roman" w:hAnsi="Times New Roman" w:cs="Times New Roman" w:eastAsia="Times New Roman" w:hint="default"/>
          <w:spacing w:val="-6"/>
        </w:rPr>
        <w:t> </w:t>
      </w:r>
      <w:r>
        <w:rPr/>
        <w:t>使用率在</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年达到</w:t>
      </w:r>
      <w:r>
        <w:rPr>
          <w:spacing w:val="-51"/>
        </w:rPr>
        <w:t> </w:t>
      </w:r>
      <w:r>
        <w:rPr>
          <w:rFonts w:ascii="Times New Roman" w:hAnsi="Times New Roman" w:cs="Times New Roman" w:eastAsia="Times New Roman" w:hint="default"/>
        </w:rPr>
        <w:t>50%</w:t>
      </w:r>
      <w:r>
        <w:rPr/>
        <w:t>以上的水平， 用户规模有望在</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年达到</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月交通运输部出台《关于做好</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t>车道建设和用户发展有关工作的通 </w:t>
      </w:r>
      <w:r>
        <w:rPr>
          <w:spacing w:val="-7"/>
        </w:rPr>
        <w:t>知》，对完成全国交通运输工作会议确定的</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年全国新增高速公路</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专用车道</w:t>
      </w:r>
      <w:r>
        <w:rPr>
          <w:spacing w:val="-46"/>
        </w:rPr>
        <w:t> </w:t>
      </w:r>
      <w:r>
        <w:rPr>
          <w:rFonts w:ascii="Times New Roman" w:hAnsi="Times New Roman" w:cs="Times New Roman" w:eastAsia="Times New Roman" w:hint="default"/>
        </w:rPr>
        <w:t>2000 </w:t>
      </w:r>
      <w:r>
        <w:rPr/>
        <w:t>条及新增</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用户</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万的任务 目标进行了工作部署。</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2"/>
        </w:rPr>
        <w:t> </w:t>
      </w:r>
      <w:r>
        <w:rPr/>
        <w:t>行业的市场规模预计将保持持续稳定增长，从传统</w:t>
      </w:r>
      <w:r>
        <w:rPr>
          <w:spacing w:val="-57"/>
        </w:rPr>
        <w:t> </w:t>
      </w:r>
      <w:r>
        <w:rPr>
          <w:rFonts w:ascii="Times New Roman" w:hAnsi="Times New Roman" w:cs="Times New Roman" w:eastAsia="Times New Roman" w:hint="default"/>
        </w:rPr>
        <w:t>ETC</w:t>
      </w:r>
      <w:r>
        <w:rPr/>
        <w:t>、路径识别、智慧公路到汽车前 装，其技术创新与深化应用仍具有广阔前景。而</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政策的实施也对</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的拓展应用产生重大推动，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年高速公路 市场将出现新的发展态势，市场需求将会由传统的</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不停车收费向多义性路径识别和智慧公路方向演进，多义性路径识 别市场将快速升温。但与此同时，</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厂商之间的价格竞争压力也在持续。</w:t>
      </w:r>
    </w:p>
    <w:p>
      <w:pPr>
        <w:pStyle w:val="BodyText"/>
        <w:spacing w:line="300" w:lineRule="auto" w:before="51"/>
        <w:ind w:right="1130" w:firstLine="360"/>
        <w:jc w:val="both"/>
      </w:pPr>
      <w:r>
        <w:rPr/>
        <w:t>在</w:t>
      </w:r>
      <w:r>
        <w:rPr>
          <w:spacing w:val="-72"/>
        </w:rPr>
        <w:t> </w:t>
      </w:r>
      <w:r>
        <w:rPr>
          <w:rFonts w:ascii="Times New Roman" w:hAnsi="Times New Roman" w:cs="Times New Roman" w:eastAsia="Times New Roman" w:hint="default"/>
        </w:rPr>
        <w:t>ETC+</w:t>
      </w:r>
      <w:r>
        <w:rPr/>
        <w:t>方面，随着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交通</w:t>
      </w:r>
      <w:r>
        <w:rPr>
          <w:rFonts w:ascii="Times New Roman" w:hAnsi="Times New Roman" w:cs="Times New Roman" w:eastAsia="Times New Roman" w:hint="default"/>
        </w:rPr>
        <w:t>”</w:t>
      </w:r>
      <w:r>
        <w:rPr/>
        <w:t>商业模式竞相出现，车联网和车后服务产业发展迅速。通过开发</w:t>
      </w:r>
      <w:r>
        <w:rPr>
          <w:spacing w:val="-72"/>
        </w:rPr>
        <w:t> </w:t>
      </w:r>
      <w:r>
        <w:rPr>
          <w:rFonts w:ascii="Times New Roman" w:hAnsi="Times New Roman" w:cs="Times New Roman" w:eastAsia="Times New Roman" w:hint="default"/>
        </w:rPr>
        <w:t>ETC+</w:t>
      </w:r>
      <w:r>
        <w:rPr/>
        <w:t>智能硬件，结 合银行、</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运营商、车企、车联网企业和电信运营商，共同打造</w:t>
      </w:r>
      <w:r>
        <w:rPr>
          <w:spacing w:val="-46"/>
        </w:rPr>
        <w:t> </w:t>
      </w:r>
      <w:r>
        <w:rPr>
          <w:rFonts w:ascii="Times New Roman" w:hAnsi="Times New Roman" w:cs="Times New Roman" w:eastAsia="Times New Roman" w:hint="default"/>
        </w:rPr>
        <w:t>ETC+</w:t>
      </w:r>
      <w:r>
        <w:rPr/>
        <w:t>车生活平台，成为传统</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实现新业绩增长的突 破口。</w:t>
      </w:r>
    </w:p>
    <w:p>
      <w:pPr>
        <w:pStyle w:val="BodyText"/>
        <w:spacing w:line="300" w:lineRule="auto" w:before="71"/>
        <w:ind w:right="1029" w:firstLine="360"/>
        <w:jc w:val="left"/>
      </w:pPr>
      <w:r>
        <w:rPr/>
        <w:t>在城市智慧停车方面，车牌识别技术目前是市场主流技术，但</w:t>
      </w:r>
      <w:r>
        <w:rPr>
          <w:rFonts w:ascii="Times New Roman" w:hAnsi="Times New Roman" w:cs="Times New Roman" w:eastAsia="Times New Roman" w:hint="default"/>
        </w:rPr>
        <w:t>“</w:t>
      </w:r>
      <w:r>
        <w:rPr/>
        <w:t>无非不集</w:t>
      </w:r>
      <w:r>
        <w:rPr>
          <w:rFonts w:ascii="Times New Roman" w:hAnsi="Times New Roman" w:cs="Times New Roman" w:eastAsia="Times New Roman" w:hint="default"/>
        </w:rPr>
        <w:t>”</w:t>
      </w:r>
      <w:r>
        <w:rPr/>
        <w:t>是停车发展趋势，</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用户群体的逐步扩大， 以及全国联网和银行助力，使得</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停车的应用范围也在逐步扩大，并在资源整合和商业模式上出现一定的创新。道路停 </w:t>
      </w:r>
      <w:r>
        <w:rPr>
          <w:spacing w:val="-7"/>
        </w:rPr>
        <w:t>车属于政府公共资源，</w:t>
      </w:r>
      <w:r>
        <w:rPr>
          <w:rFonts w:ascii="Times New Roman" w:hAnsi="Times New Roman" w:cs="Times New Roman" w:eastAsia="Times New Roman" w:hint="default"/>
          <w:spacing w:val="-7"/>
        </w:rPr>
        <w:t>2017</w:t>
      </w:r>
      <w:r>
        <w:rPr>
          <w:rFonts w:ascii="Times New Roman" w:hAnsi="Times New Roman" w:cs="Times New Roman" w:eastAsia="Times New Roman" w:hint="default"/>
        </w:rPr>
        <w:t> </w:t>
      </w:r>
      <w:r>
        <w:rPr>
          <w:spacing w:val="-4"/>
          <w:w w:val="99"/>
        </w:rPr>
        <w:t>年各地纷纷启动路内停车收费应用或试点项目，</w:t>
      </w:r>
      <w:r>
        <w:rPr>
          <w:rFonts w:ascii="Times New Roman" w:hAnsi="Times New Roman" w:cs="Times New Roman" w:eastAsia="Times New Roman" w:hint="default"/>
          <w:spacing w:val="-4"/>
          <w:w w:val="99"/>
        </w:rPr>
        <w:t>RFID</w:t>
      </w:r>
      <w:r>
        <w:rPr>
          <w:rFonts w:ascii="Times New Roman" w:hAnsi="Times New Roman" w:cs="Times New Roman" w:eastAsia="Times New Roman" w:hint="default"/>
          <w:spacing w:val="-25"/>
          <w:w w:val="99"/>
        </w:rPr>
        <w:t> </w:t>
      </w:r>
      <w:r>
        <w:rPr/>
        <w:t>全自动收费模式成为最有潜力的技术方向。</w:t>
      </w:r>
    </w:p>
    <w:p>
      <w:pPr>
        <w:pStyle w:val="BodyText"/>
        <w:spacing w:line="302" w:lineRule="auto" w:before="51"/>
        <w:ind w:right="1132" w:firstLine="360"/>
        <w:jc w:val="both"/>
      </w:pPr>
      <w:r>
        <w:rPr>
          <w:spacing w:val="-3"/>
        </w:rPr>
        <w:t>在汽车电子标识方面，预计</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3"/>
        </w:rPr>
        <w:t>年市场规模将成倍增长。随着</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年底国家标准的颁布，市场将会出来越来越多的试 点应用、参与厂商和产品，汽车电子标识将进入规模化应用阶段。</w:t>
      </w:r>
    </w:p>
    <w:p>
      <w:pPr>
        <w:pStyle w:val="BodyText"/>
        <w:spacing w:line="300" w:lineRule="auto" w:before="68"/>
        <w:ind w:right="1131" w:firstLine="360"/>
        <w:jc w:val="both"/>
      </w:pPr>
      <w:r>
        <w:rPr/>
        <w:t>在车路协同和自动驾驶方面，</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年市场格局尚不明确。车路协同和自动驾驶是汽车业和交通行业发展的主要方向， 而</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是真正的车联网通信技术与基础技术，预计三年内</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将在全球范围实施，市场空间来源于车载</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装置上车和 </w:t>
      </w:r>
      <w:r>
        <w:rPr>
          <w:rFonts w:ascii="Times New Roman" w:hAnsi="Times New Roman" w:cs="Times New Roman" w:eastAsia="Times New Roman" w:hint="default"/>
        </w:rPr>
        <w:t>V2I</w:t>
      </w:r>
      <w:r>
        <w:rPr>
          <w:rFonts w:ascii="Times New Roman" w:hAnsi="Times New Roman" w:cs="Times New Roman" w:eastAsia="Times New Roman" w:hint="default"/>
          <w:spacing w:val="-3"/>
        </w:rPr>
        <w:t> </w:t>
      </w:r>
      <w:r>
        <w:rPr/>
        <w:t>交通基础设施建设，以及其衍生应用。在市场竞争方面，国外有</w:t>
      </w:r>
      <w:r>
        <w:rPr>
          <w:spacing w:val="-48"/>
        </w:rPr>
        <w:t> </w:t>
      </w:r>
      <w:r>
        <w:rPr>
          <w:rFonts w:ascii="Times New Roman" w:hAnsi="Times New Roman" w:cs="Times New Roman" w:eastAsia="Times New Roman" w:hint="default"/>
        </w:rPr>
        <w:t>Cohda</w:t>
      </w:r>
      <w:r>
        <w:rPr>
          <w:rFonts w:ascii="Times New Roman" w:hAnsi="Times New Roman" w:cs="Times New Roman" w:eastAsia="Times New Roman" w:hint="default"/>
          <w:spacing w:val="-4"/>
        </w:rPr>
        <w:t> </w:t>
      </w:r>
      <w:r>
        <w:rPr>
          <w:rFonts w:ascii="Times New Roman" w:hAnsi="Times New Roman" w:cs="Times New Roman" w:eastAsia="Times New Roman" w:hint="default"/>
        </w:rPr>
        <w:t>Wireless</w:t>
      </w:r>
      <w:r>
        <w:rPr/>
        <w:t>、</w:t>
      </w:r>
      <w:r>
        <w:rPr>
          <w:spacing w:val="-3"/>
        </w:rPr>
        <w:t> </w:t>
      </w:r>
      <w:r>
        <w:rPr>
          <w:rFonts w:ascii="Times New Roman" w:hAnsi="Times New Roman" w:cs="Times New Roman" w:eastAsia="Times New Roman" w:hint="default"/>
        </w:rPr>
        <w:t>Savari</w:t>
      </w:r>
      <w:r>
        <w:rPr/>
        <w:t>、</w:t>
      </w:r>
      <w:r>
        <w:rPr>
          <w:spacing w:val="-3"/>
        </w:rPr>
        <w:t> </w:t>
      </w:r>
      <w:r>
        <w:rPr>
          <w:rFonts w:ascii="Times New Roman" w:hAnsi="Times New Roman" w:cs="Times New Roman" w:eastAsia="Times New Roman" w:hint="default"/>
        </w:rPr>
        <w:t>CommSigma</w:t>
      </w:r>
      <w:r>
        <w:rPr>
          <w:rFonts w:ascii="Times New Roman" w:hAnsi="Times New Roman" w:cs="Times New Roman" w:eastAsia="Times New Roman" w:hint="default"/>
          <w:spacing w:val="-3"/>
        </w:rPr>
        <w:t> </w:t>
      </w:r>
      <w:r>
        <w:rPr/>
        <w:t>等新创公司及 </w:t>
      </w:r>
      <w:r>
        <w:rPr>
          <w:rFonts w:ascii="Times New Roman" w:hAnsi="Times New Roman" w:cs="Times New Roman" w:eastAsia="Times New Roman" w:hint="default"/>
          <w:spacing w:val="-2"/>
        </w:rPr>
        <w:t>Denso,</w:t>
      </w:r>
      <w:r>
        <w:rPr>
          <w:spacing w:val="-2"/>
        </w:rPr>
        <w:t>、</w:t>
      </w:r>
      <w:r>
        <w:rPr>
          <w:rFonts w:ascii="Times New Roman" w:hAnsi="Times New Roman" w:cs="Times New Roman" w:eastAsia="Times New Roman" w:hint="default"/>
          <w:spacing w:val="-2"/>
        </w:rPr>
        <w:t>Alps</w:t>
      </w:r>
      <w:r>
        <w:rPr>
          <w:rFonts w:ascii="Times New Roman" w:hAnsi="Times New Roman" w:cs="Times New Roman" w:eastAsia="Times New Roman" w:hint="default"/>
          <w:spacing w:val="31"/>
        </w:rPr>
        <w:t> </w:t>
      </w:r>
      <w:r>
        <w:rPr>
          <w:spacing w:val="-2"/>
        </w:rPr>
        <w:t>等典型大型车厂配件商；国内有东软、清华、同济和相关企业等，由于整体市场处于起步阶段，尚未形成规模</w:t>
      </w:r>
      <w:r>
        <w:rPr>
          <w:spacing w:val="-81"/>
        </w:rPr>
        <w:t> </w:t>
      </w:r>
      <w:r>
        <w:rPr>
          <w:spacing w:val="-81"/>
        </w:rPr>
      </w:r>
      <w:r>
        <w:rPr/>
        <w:t>化商业应用，因此未有形成明确的市场格局。</w:t>
      </w:r>
    </w:p>
    <w:p>
      <w:pPr>
        <w:pStyle w:val="Heading4"/>
        <w:spacing w:line="240" w:lineRule="auto"/>
        <w:ind w:right="1235"/>
        <w:jc w:val="left"/>
        <w:rPr>
          <w:b w:val="0"/>
          <w:bCs w:val="0"/>
        </w:rPr>
      </w:pPr>
      <w:r>
        <w:rPr/>
        <w:t>（二）公司发展战略</w:t>
      </w:r>
      <w:r>
        <w:rPr>
          <w:b w:val="0"/>
          <w:bCs w:val="0"/>
        </w:rPr>
      </w:r>
    </w:p>
    <w:p>
      <w:pPr>
        <w:pStyle w:val="Heading4"/>
        <w:spacing w:line="302" w:lineRule="auto" w:before="115"/>
        <w:ind w:left="153" w:right="1189" w:firstLine="361"/>
        <w:jc w:val="both"/>
        <w:rPr>
          <w:b w:val="0"/>
          <w:bCs w:val="0"/>
        </w:rPr>
      </w:pPr>
      <w:r>
        <w:rPr/>
        <w:t>公司制定了</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年发展战略，可归纳为</w:t>
      </w:r>
      <w:r>
        <w:rPr>
          <w:rFonts w:ascii="Times New Roman" w:hAnsi="Times New Roman" w:cs="Times New Roman" w:eastAsia="Times New Roman" w:hint="default"/>
        </w:rPr>
        <w:t>“</w:t>
      </w:r>
      <w:r>
        <w:rPr/>
        <w:t>深挖需求，深耕</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t>技术；助力汽车网联化和公路智慧化进程，推广车路协同</w:t>
      </w:r>
      <w:r>
        <w:rPr>
          <w:w w:val="99"/>
        </w:rPr>
        <w:t> </w:t>
      </w:r>
      <w:r>
        <w:rPr/>
        <w:t>相关产品及服务；拓宽城市智慧交通和车联网的应用场景</w:t>
      </w:r>
      <w:r>
        <w:rPr>
          <w:rFonts w:ascii="Times New Roman" w:hAnsi="Times New Roman" w:cs="Times New Roman" w:eastAsia="Times New Roman" w:hint="default"/>
        </w:rPr>
        <w:t>”</w:t>
      </w:r>
      <w:r>
        <w:rPr/>
        <w:t>。</w:t>
      </w:r>
      <w:r>
        <w:rPr>
          <w:b w:val="0"/>
          <w:bCs w:val="0"/>
        </w:rPr>
      </w:r>
    </w:p>
    <w:p>
      <w:pPr>
        <w:pStyle w:val="Heading4"/>
        <w:spacing w:line="240" w:lineRule="auto" w:before="51"/>
        <w:ind w:right="1235"/>
        <w:jc w:val="left"/>
        <w:rPr>
          <w:b w:val="0"/>
          <w:bCs w:val="0"/>
        </w:rPr>
      </w:pPr>
      <w:r>
        <w:rPr>
          <w:rFonts w:ascii="Times New Roman" w:hAnsi="Times New Roman" w:cs="Times New Roman" w:eastAsia="Times New Roman" w:hint="default"/>
        </w:rPr>
        <w:t>1</w:t>
      </w:r>
      <w:r>
        <w:rPr/>
        <w:t>、深掘高速公路客户需求，深耕</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技术。</w:t>
      </w:r>
      <w:r>
        <w:rPr>
          <w:b w:val="0"/>
          <w:bCs w:val="0"/>
        </w:rPr>
      </w:r>
    </w:p>
    <w:p>
      <w:pPr>
        <w:pStyle w:val="BodyText"/>
        <w:spacing w:line="300" w:lineRule="auto" w:before="102"/>
        <w:ind w:right="1131" w:firstLine="360"/>
        <w:jc w:val="both"/>
      </w:pPr>
      <w:r>
        <w:rPr/>
        <w:t>公司立足于</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技术，并持续优化产品性能、提升用户体验、创新服务方式。性能优化目标是使</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交易成功率达到 </w:t>
      </w:r>
      <w:r>
        <w:rPr>
          <w:rFonts w:ascii="Times New Roman" w:hAnsi="Times New Roman" w:cs="Times New Roman" w:eastAsia="Times New Roman" w:hint="default"/>
        </w:rPr>
        <w:t>99.99%</w:t>
      </w:r>
      <w:r>
        <w:rPr/>
        <w:t>，路径标识产品的识别成功率达到</w:t>
      </w:r>
      <w:r>
        <w:rPr>
          <w:spacing w:val="-62"/>
        </w:rPr>
        <w:t> </w:t>
      </w:r>
      <w:r>
        <w:rPr>
          <w:rFonts w:ascii="Times New Roman" w:hAnsi="Times New Roman" w:cs="Times New Roman" w:eastAsia="Times New Roman" w:hint="default"/>
        </w:rPr>
        <w:t>99.99%</w:t>
      </w:r>
      <w:r>
        <w:rPr/>
        <w:t>，从而进一步提高通行效率。同时，公司将联合各省</w:t>
      </w:r>
      <w:r>
        <w:rPr>
          <w:spacing w:val="-62"/>
        </w:rPr>
        <w:t>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运营公司，为用 户提供互联网发行安装、空中充值、以及电子发票的功能，大大简化</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3"/>
        </w:rPr>
        <w:t> </w:t>
      </w:r>
      <w:r>
        <w:rPr/>
        <w:t>发行、提升用户体验。公司也将积极探索</w:t>
      </w:r>
      <w:r>
        <w:rPr>
          <w:spacing w:val="-58"/>
        </w:rPr>
        <w:t> </w:t>
      </w:r>
      <w:r>
        <w:rPr>
          <w:rFonts w:ascii="Times New Roman" w:hAnsi="Times New Roman" w:cs="Times New Roman" w:eastAsia="Times New Roman" w:hint="default"/>
        </w:rPr>
        <w:t>ETC</w:t>
      </w:r>
      <w:r>
        <w:rPr>
          <w:rFonts w:ascii="Times New Roman" w:hAnsi="Times New Roman" w:cs="Times New Roman" w:eastAsia="Times New Roman" w:hint="default"/>
          <w:spacing w:val="-13"/>
        </w:rPr>
        <w:t> </w:t>
      </w:r>
      <w:r>
        <w:rPr/>
        <w:t>和</w:t>
      </w:r>
    </w:p>
    <w:p>
      <w:pPr>
        <w:spacing w:after="0" w:line="300"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line="338" w:lineRule="auto" w:before="44"/>
        <w:ind w:left="513" w:right="1247" w:hanging="360"/>
        <w:jc w:val="left"/>
        <w:rPr>
          <w:rFonts w:ascii="宋体" w:hAnsi="宋体" w:cs="宋体" w:eastAsia="宋体" w:hint="default"/>
          <w:sz w:val="18"/>
          <w:szCs w:val="18"/>
        </w:rPr>
      </w:pPr>
      <w:r>
        <w:rPr>
          <w:rFonts w:ascii="宋体" w:hAnsi="宋体" w:cs="宋体" w:eastAsia="宋体" w:hint="default"/>
          <w:sz w:val="18"/>
          <w:szCs w:val="18"/>
        </w:rPr>
        <w:t>移动支付的融合，提升支付方式的灵活性。公司还将持续推进车载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OBU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前装化进程，进一步提升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渗透率。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、助力汽车网联化和公路智慧化进程，推广车路协同相关产品及服务。</w:t>
      </w:r>
      <w:r>
        <w:rPr>
          <w:rFonts w:ascii="宋体" w:hAnsi="宋体" w:cs="宋体" w:eastAsia="宋体" w:hint="default"/>
          <w:b/>
          <w:bCs/>
          <w:w w:val="99"/>
          <w:sz w:val="18"/>
          <w:szCs w:val="18"/>
        </w:rPr>
        <w:t> </w:t>
      </w:r>
      <w:r>
        <w:rPr>
          <w:rFonts w:ascii="宋体" w:hAnsi="宋体" w:cs="宋体" w:eastAsia="宋体" w:hint="default"/>
          <w:sz w:val="18"/>
          <w:szCs w:val="18"/>
        </w:rPr>
        <w:t>公司将响应智能网联汽车发展需求，发挥公司在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技术上的积累和优势，积极布局汽车电子业务。从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前装和</w:t>
      </w:r>
    </w:p>
    <w:p>
      <w:pPr>
        <w:pStyle w:val="BodyText"/>
        <w:spacing w:line="231" w:lineRule="exact"/>
        <w:ind w:right="1235"/>
        <w:jc w:val="left"/>
      </w:pPr>
      <w:r>
        <w:rPr>
          <w:rFonts w:ascii="Times New Roman" w:hAnsi="Times New Roman" w:cs="Times New Roman" w:eastAsia="Times New Roman" w:hint="default"/>
        </w:rPr>
        <w:t>V2X</w:t>
      </w:r>
      <w:r>
        <w:rPr>
          <w:rFonts w:ascii="Times New Roman" w:hAnsi="Times New Roman" w:cs="Times New Roman" w:eastAsia="Times New Roman" w:hint="default"/>
          <w:spacing w:val="-2"/>
        </w:rPr>
        <w:t> </w:t>
      </w:r>
      <w:r>
        <w:rPr/>
        <w:t>车载设备开始，逐步扩展到车载传感器及信息融合等技术，为智能驾驶车辆提供技术支撑。</w:t>
      </w:r>
    </w:p>
    <w:p>
      <w:pPr>
        <w:pStyle w:val="BodyText"/>
        <w:spacing w:line="309" w:lineRule="auto" w:before="101"/>
        <w:ind w:right="1130" w:firstLine="360"/>
        <w:jc w:val="both"/>
      </w:pPr>
      <w:r>
        <w:rPr>
          <w:spacing w:val="-2"/>
        </w:rPr>
        <w:t>同时，公司也将依托金溢牵头成立的交通运输部</w:t>
      </w:r>
      <w:r>
        <w:rPr>
          <w:rFonts w:ascii="Times New Roman" w:hAnsi="Times New Roman" w:cs="Times New Roman" w:eastAsia="Times New Roman" w:hint="default"/>
          <w:spacing w:val="-2"/>
        </w:rPr>
        <w:t>“</w:t>
      </w:r>
      <w:r>
        <w:rPr>
          <w:spacing w:val="-2"/>
        </w:rPr>
        <w:t>智能车路协同关键技术及装备行业研发中心</w:t>
      </w:r>
      <w:r>
        <w:rPr>
          <w:rFonts w:ascii="Times New Roman" w:hAnsi="Times New Roman" w:cs="Times New Roman" w:eastAsia="Times New Roman" w:hint="default"/>
          <w:spacing w:val="-2"/>
        </w:rPr>
        <w:t>”</w:t>
      </w:r>
      <w:r>
        <w:rPr>
          <w:spacing w:val="-2"/>
        </w:rPr>
        <w:t>，以全国九省市智慧公路</w:t>
      </w:r>
      <w:r>
        <w:rPr/>
        <w:t> </w:t>
      </w:r>
      <w:r>
        <w:rPr>
          <w:spacing w:val="-2"/>
        </w:rPr>
        <w:t>试点示范为契机，积极参与各省智慧公路建设，探索重点应用场景，为交通环境智慧感知、智能分析、车路协同提供解决方</w:t>
      </w:r>
      <w:r>
        <w:rPr>
          <w:spacing w:val="-66"/>
        </w:rPr>
        <w:t> </w:t>
      </w:r>
      <w:r>
        <w:rPr>
          <w:spacing w:val="-66"/>
        </w:rPr>
      </w:r>
      <w:r>
        <w:rPr/>
        <w:t>案和系统产品。</w:t>
      </w:r>
    </w:p>
    <w:p>
      <w:pPr>
        <w:spacing w:line="338" w:lineRule="auto" w:before="64"/>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、大力拓展城市智慧交通和车联网的应用场景。</w:t>
      </w:r>
      <w:r>
        <w:rPr>
          <w:rFonts w:ascii="宋体" w:hAnsi="宋体" w:cs="宋体" w:eastAsia="宋体" w:hint="default"/>
          <w:b/>
          <w:bCs/>
          <w:w w:val="99"/>
          <w:sz w:val="18"/>
          <w:szCs w:val="18"/>
        </w:rPr>
        <w:t> </w:t>
      </w:r>
      <w:r>
        <w:rPr>
          <w:rFonts w:ascii="宋体" w:hAnsi="宋体" w:cs="宋体" w:eastAsia="宋体" w:hint="default"/>
          <w:spacing w:val="-4"/>
          <w:sz w:val="18"/>
          <w:szCs w:val="18"/>
        </w:rPr>
        <w:t>公司将积极参与汽车电子标识在全国多地的推广，拓展汽车电子标识在城市智慧交通中的应用，保持产品性能领先水平。</w:t>
      </w:r>
    </w:p>
    <w:p>
      <w:pPr>
        <w:pStyle w:val="BodyText"/>
        <w:spacing w:line="300" w:lineRule="auto" w:before="2"/>
        <w:ind w:right="0"/>
        <w:jc w:val="left"/>
      </w:pPr>
      <w:r>
        <w:rPr>
          <w:spacing w:val="-1"/>
        </w:rPr>
        <w:t>公司将大力发展城市停车场和路内停车的业务，输出完整的</w:t>
      </w:r>
      <w:r>
        <w:rPr>
          <w:rFonts w:ascii="Times New Roman" w:hAnsi="Times New Roman" w:cs="Times New Roman" w:eastAsia="Times New Roman" w:hint="default"/>
          <w:spacing w:val="-1"/>
        </w:rPr>
        <w:t>“</w:t>
      </w:r>
      <w:r>
        <w:rPr>
          <w:spacing w:val="-1"/>
        </w:rPr>
        <w:t>方案</w:t>
      </w:r>
      <w:r>
        <w:rPr>
          <w:rFonts w:ascii="Times New Roman" w:hAnsi="Times New Roman" w:cs="Times New Roman" w:eastAsia="Times New Roman" w:hint="default"/>
          <w:spacing w:val="-1"/>
        </w:rPr>
        <w:t>+</w:t>
      </w:r>
      <w:r>
        <w:rPr>
          <w:spacing w:val="-1"/>
        </w:rPr>
        <w:t>产品</w:t>
      </w:r>
      <w:r>
        <w:rPr>
          <w:rFonts w:ascii="Times New Roman" w:hAnsi="Times New Roman" w:cs="Times New Roman" w:eastAsia="Times New Roman" w:hint="default"/>
          <w:spacing w:val="-1"/>
        </w:rPr>
        <w:t>+</w:t>
      </w:r>
      <w:r>
        <w:rPr>
          <w:spacing w:val="-1"/>
        </w:rPr>
        <w:t>实施</w:t>
      </w:r>
      <w:r>
        <w:rPr>
          <w:rFonts w:ascii="Times New Roman" w:hAnsi="Times New Roman" w:cs="Times New Roman" w:eastAsia="Times New Roman" w:hint="default"/>
          <w:spacing w:val="-1"/>
        </w:rPr>
        <w:t>+</w:t>
      </w:r>
      <w:r>
        <w:rPr>
          <w:spacing w:val="-1"/>
        </w:rPr>
        <w:t>运营</w:t>
      </w:r>
      <w:r>
        <w:rPr>
          <w:rFonts w:ascii="Times New Roman" w:hAnsi="Times New Roman" w:cs="Times New Roman" w:eastAsia="Times New Roman" w:hint="default"/>
          <w:spacing w:val="-1"/>
        </w:rPr>
        <w:t>”</w:t>
      </w:r>
      <w:r>
        <w:rPr>
          <w:spacing w:val="-1"/>
        </w:rPr>
        <w:t>产品包。公司将继续密切与移动通信运</w:t>
      </w:r>
      <w:r>
        <w:rPr>
          <w:spacing w:val="-44"/>
        </w:rPr>
        <w:t> </w:t>
      </w:r>
      <w:r>
        <w:rPr>
          <w:spacing w:val="-44"/>
        </w:rPr>
      </w:r>
      <w:r>
        <w:rPr/>
        <w:t>营商的合作，将</w:t>
      </w:r>
      <w:r>
        <w:rPr>
          <w:spacing w:val="-46"/>
        </w:rPr>
        <w:t> </w:t>
      </w:r>
      <w:r>
        <w:rPr>
          <w:rFonts w:ascii="Times New Roman" w:hAnsi="Times New Roman" w:cs="Times New Roman" w:eastAsia="Times New Roman" w:hint="default"/>
        </w:rPr>
        <w:t>ETC+4G</w:t>
      </w:r>
      <w:r>
        <w:rPr>
          <w:rFonts w:ascii="Times New Roman" w:hAnsi="Times New Roman" w:cs="Times New Roman" w:eastAsia="Times New Roman" w:hint="default"/>
          <w:spacing w:val="-1"/>
        </w:rPr>
        <w:t> </w:t>
      </w:r>
      <w:r>
        <w:rPr/>
        <w:t>形式的车联网终端推广到全国多个省份，并积极探索数据运营方案。公司将继续紧跟国家战略， </w:t>
      </w:r>
      <w:r>
        <w:rPr>
          <w:spacing w:val="-2"/>
        </w:rPr>
        <w:t>与军队科研院所展开合作，服务</w:t>
      </w:r>
      <w:r>
        <w:rPr>
          <w:rFonts w:ascii="Times New Roman" w:hAnsi="Times New Roman" w:cs="Times New Roman" w:eastAsia="Times New Roman" w:hint="default"/>
          <w:spacing w:val="-2"/>
        </w:rPr>
        <w:t>“</w:t>
      </w:r>
      <w:r>
        <w:rPr>
          <w:spacing w:val="-2"/>
        </w:rPr>
        <w:t>军民融合</w:t>
      </w:r>
      <w:r>
        <w:rPr>
          <w:rFonts w:ascii="Times New Roman" w:hAnsi="Times New Roman" w:cs="Times New Roman" w:eastAsia="Times New Roman" w:hint="default"/>
          <w:spacing w:val="-2"/>
        </w:rPr>
        <w:t>”</w:t>
      </w:r>
      <w:r>
        <w:rPr>
          <w:spacing w:val="-2"/>
        </w:rPr>
        <w:t>战略。公司还将努力扩展海外市场，以缅甸合作模式为范例，将优势产品及系统</w:t>
      </w:r>
      <w:r>
        <w:rPr>
          <w:spacing w:val="-44"/>
        </w:rPr>
        <w:t> </w:t>
      </w:r>
      <w:r>
        <w:rPr>
          <w:spacing w:val="-44"/>
        </w:rPr>
      </w:r>
      <w:r>
        <w:rPr/>
        <w:t>向</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沿线及东南亚、南美、非洲各国家输出。</w:t>
      </w:r>
    </w:p>
    <w:p>
      <w:pPr>
        <w:pStyle w:val="Heading4"/>
        <w:spacing w:line="240" w:lineRule="auto" w:before="52"/>
        <w:ind w:right="1235"/>
        <w:jc w:val="left"/>
        <w:rPr>
          <w:b w:val="0"/>
          <w:bCs w:val="0"/>
        </w:rPr>
      </w:pPr>
      <w:r>
        <w:rPr/>
        <w:t>（三）经营计划</w:t>
      </w:r>
      <w:r>
        <w:rPr>
          <w:b w:val="0"/>
          <w:bCs w:val="0"/>
        </w:rPr>
      </w:r>
    </w:p>
    <w:p>
      <w:pPr>
        <w:pStyle w:val="Heading4"/>
        <w:spacing w:line="240" w:lineRule="auto" w:before="116"/>
        <w:ind w:right="1235"/>
        <w:jc w:val="left"/>
        <w:rPr>
          <w:b w:val="0"/>
          <w:bCs w:val="0"/>
        </w:rPr>
      </w:pPr>
      <w:r>
        <w:rPr>
          <w:rFonts w:ascii="Times New Roman" w:hAnsi="Times New Roman" w:cs="Times New Roman" w:eastAsia="Times New Roman" w:hint="default"/>
        </w:rPr>
        <w:t>1</w:t>
      </w:r>
      <w:r>
        <w:rPr/>
        <w:t>、收入、费用、成本计划</w:t>
      </w:r>
      <w:r>
        <w:rPr>
          <w:b w:val="0"/>
          <w:bCs w:val="0"/>
        </w:rPr>
      </w:r>
    </w:p>
    <w:p>
      <w:pPr>
        <w:pStyle w:val="BodyText"/>
        <w:spacing w:line="338" w:lineRule="auto" w:before="103"/>
        <w:ind w:left="513" w:right="0"/>
        <w:jc w:val="left"/>
      </w:pPr>
      <w:r>
        <w:rPr/>
        <w:t>在收入方面，公司将努力推动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年实现业绩增长，加快实现新业务销售额占比的显著提升。 </w:t>
      </w:r>
      <w:r>
        <w:rPr>
          <w:spacing w:val="-2"/>
        </w:rPr>
        <w:t>在成本方面，为应对产品销售价格继续走低的趋势，公司一方面将会提高产品功能的集成度，降低物料成本，提高产品</w:t>
      </w:r>
    </w:p>
    <w:p>
      <w:pPr>
        <w:pStyle w:val="BodyText"/>
        <w:spacing w:line="319" w:lineRule="auto" w:before="2"/>
        <w:ind w:right="0"/>
        <w:jc w:val="left"/>
      </w:pPr>
      <w:r>
        <w:rPr>
          <w:spacing w:val="-2"/>
        </w:rPr>
        <w:t>的设计质量，降低生产制造成本和售后成本；另一方面，将会持续推动产品创新，技术创新和商业模式创新，通过挖掘客户</w:t>
      </w:r>
      <w:r>
        <w:rPr>
          <w:spacing w:val="-66"/>
        </w:rPr>
        <w:t> </w:t>
      </w:r>
      <w:r>
        <w:rPr>
          <w:spacing w:val="-66"/>
        </w:rPr>
      </w:r>
      <w:r>
        <w:rPr/>
        <w:t>需求，提供更好的产品。</w:t>
      </w:r>
    </w:p>
    <w:p>
      <w:pPr>
        <w:pStyle w:val="BodyText"/>
        <w:spacing w:line="309" w:lineRule="auto" w:before="55"/>
        <w:ind w:right="1131" w:firstLine="360"/>
        <w:jc w:val="both"/>
      </w:pPr>
      <w:r>
        <w:rPr/>
        <w:t>在费用方面，</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年公司将启用新总部，办公场地租赁和装修费用支出增长幅度较大，公司行业研发中心也将进入实 </w:t>
      </w:r>
      <w:r>
        <w:rPr>
          <w:spacing w:val="-2"/>
        </w:rPr>
        <w:t>质性运作，将进一步扩充高端人才，公司各项新业务的投入也将持续增加，因此管理费用、研发费用预计会有一定幅度的上</w:t>
      </w:r>
      <w:r>
        <w:rPr>
          <w:spacing w:val="-66"/>
        </w:rPr>
        <w:t> </w:t>
      </w:r>
      <w:r>
        <w:rPr>
          <w:spacing w:val="-66"/>
        </w:rPr>
      </w:r>
      <w:r>
        <w:rPr/>
        <w:t>涨。</w:t>
      </w:r>
    </w:p>
    <w:p>
      <w:pPr>
        <w:pStyle w:val="Heading4"/>
        <w:spacing w:line="240" w:lineRule="auto" w:before="65"/>
        <w:ind w:right="1235"/>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年经营目标</w:t>
      </w:r>
      <w:r>
        <w:rPr>
          <w:b w:val="0"/>
          <w:bCs w:val="0"/>
        </w:rPr>
      </w:r>
    </w:p>
    <w:p>
      <w:pPr>
        <w:pStyle w:val="BodyText"/>
        <w:spacing w:line="300" w:lineRule="auto" w:before="101"/>
        <w:ind w:right="1131" w:firstLine="360"/>
        <w:jc w:val="both"/>
      </w:pPr>
      <w:r>
        <w:rPr/>
        <w:t>公司将努力保持</w:t>
      </w:r>
      <w:r>
        <w:rPr>
          <w:spacing w:val="-38"/>
        </w:rPr>
        <w:t> </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spacing w:val="-4"/>
        </w:rPr>
        <w:t>业务市场份额领先和行业领先的地位，努力提升市场占有率。另一方，新业务经过若干年的探索，</w:t>
      </w:r>
      <w:r>
        <w:rPr/>
        <w:t> 商业模式逐步清晰，产品状态基本稳定，在众多试点项目的成功落地后，</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年有望出现显著的业绩增长，新业务的销售 收入占比预期将有明显提升。</w:t>
      </w:r>
    </w:p>
    <w:p>
      <w:pPr>
        <w:pStyle w:val="BodyText"/>
        <w:spacing w:line="309" w:lineRule="auto" w:before="70"/>
        <w:ind w:left="154" w:right="1131" w:firstLine="360"/>
        <w:jc w:val="both"/>
      </w:pPr>
      <w:r>
        <w:rPr>
          <w:spacing w:val="-2"/>
        </w:rPr>
        <w:t>随着市场竞争加剧和利润压力增大，产品成本优化与费用合理控制仍是公司持续努力的方向，内部运营效率也需要同步</w:t>
      </w:r>
      <w:r>
        <w:rPr/>
        <w:t> </w:t>
      </w:r>
      <w:r>
        <w:rPr>
          <w:spacing w:val="-2"/>
        </w:rPr>
        <w:t>提升。围绕公司中长期战略，研发体系将进一步完善，建立创新激励及科研成果转化机制，通过资本运作快速提升对于新技</w:t>
      </w:r>
      <w:r>
        <w:rPr>
          <w:spacing w:val="-66"/>
        </w:rPr>
        <w:t> </w:t>
      </w:r>
      <w:r>
        <w:rPr>
          <w:spacing w:val="-66"/>
        </w:rPr>
      </w:r>
      <w:r>
        <w:rPr/>
        <w:t>术的整合能力。</w:t>
      </w:r>
      <w:r>
        <w:rPr>
          <w:rFonts w:ascii="Times New Roman" w:hAnsi="Times New Roman" w:cs="Times New Roman" w:eastAsia="Times New Roman" w:hint="default"/>
        </w:rPr>
        <w:t>2018 </w:t>
      </w:r>
      <w:r>
        <w:rPr/>
        <w:t>年内，公司将研发不少于 </w:t>
      </w:r>
      <w:r>
        <w:rPr>
          <w:rFonts w:ascii="Times New Roman" w:hAnsi="Times New Roman" w:cs="Times New Roman" w:eastAsia="Times New Roman" w:hint="default"/>
        </w:rPr>
        <w:t>10 </w:t>
      </w:r>
      <w:r>
        <w:rPr/>
        <w:t>款带有</w:t>
      </w:r>
      <w:r>
        <w:rPr>
          <w:spacing w:val="-68"/>
        </w:rPr>
        <w:t> </w:t>
      </w:r>
      <w:r>
        <w:rPr>
          <w:rFonts w:ascii="Times New Roman" w:hAnsi="Times New Roman" w:cs="Times New Roman" w:eastAsia="Times New Roman" w:hint="default"/>
          <w:spacing w:val="-4"/>
          <w:w w:val="99"/>
        </w:rPr>
        <w:t>AI</w:t>
      </w:r>
      <w:r>
        <w:rPr>
          <w:spacing w:val="-4"/>
          <w:w w:val="99"/>
        </w:rPr>
        <w:t>（人工智能）、云平台、大数据属性的产品，推出新一代高速公</w:t>
      </w:r>
      <w:r>
        <w:rPr/>
        <w:t> 路基站产品和低成本</w:t>
      </w:r>
      <w:r>
        <w:rPr>
          <w:spacing w:val="-46"/>
        </w:rPr>
        <w:t> </w:t>
      </w:r>
      <w:r>
        <w:rPr>
          <w:rFonts w:ascii="Times New Roman" w:hAnsi="Times New Roman" w:cs="Times New Roman" w:eastAsia="Times New Roman" w:hint="default"/>
        </w:rPr>
        <w:t>OBU</w:t>
      </w:r>
      <w:r>
        <w:rPr/>
        <w:t>，加强对于视频识别算法的研究，打造</w:t>
      </w:r>
      <w:r>
        <w:rPr>
          <w:rFonts w:ascii="Times New Roman" w:hAnsi="Times New Roman" w:cs="Times New Roman" w:eastAsia="Times New Roman" w:hint="default"/>
        </w:rPr>
        <w:t>“</w:t>
      </w:r>
      <w:r>
        <w:rPr/>
        <w:t>金溢大脑</w:t>
      </w:r>
      <w:r>
        <w:rPr>
          <w:rFonts w:ascii="Times New Roman" w:hAnsi="Times New Roman" w:cs="Times New Roman" w:eastAsia="Times New Roman" w:hint="default"/>
        </w:rPr>
        <w:t>”</w:t>
      </w:r>
      <w:r>
        <w:rPr/>
        <w:t>深度学习平台，并配合交通部信息技术国密化 进程，建立面向终端的安全保密机制。</w:t>
      </w:r>
    </w:p>
    <w:p>
      <w:pPr>
        <w:pStyle w:val="Heading4"/>
        <w:spacing w:line="240" w:lineRule="auto" w:before="65"/>
        <w:ind w:right="1235"/>
        <w:jc w:val="left"/>
        <w:rPr>
          <w:b w:val="0"/>
          <w:bCs w:val="0"/>
        </w:rPr>
      </w:pPr>
      <w:r>
        <w:rPr>
          <w:rFonts w:ascii="Times New Roman" w:hAnsi="Times New Roman" w:cs="Times New Roman" w:eastAsia="Times New Roman" w:hint="default"/>
        </w:rPr>
        <w:t>3</w:t>
      </w:r>
      <w:r>
        <w:rPr/>
        <w:t>、为达到上述经营目标拟采取的策略和行动</w:t>
      </w:r>
      <w:r>
        <w:rPr>
          <w:b w:val="0"/>
          <w:bCs w:val="0"/>
        </w:rPr>
      </w:r>
    </w:p>
    <w:p>
      <w:pPr>
        <w:pStyle w:val="BodyText"/>
        <w:spacing w:line="338" w:lineRule="auto" w:before="102"/>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）业务策略</w:t>
      </w:r>
      <w:r>
        <w:rPr>
          <w:rFonts w:ascii="宋体" w:hAnsi="宋体" w:cs="宋体" w:eastAsia="宋体" w:hint="default"/>
          <w:b/>
          <w:bCs/>
          <w:w w:val="99"/>
        </w:rPr>
        <w:t> </w:t>
      </w:r>
      <w:r>
        <w:rPr>
          <w:spacing w:val="-2"/>
        </w:rPr>
        <w:t>在主营业务方面，为适应激烈的价格竞争，公司将进一步优化产品成本和控制内部运营费用，加强精细化管理和内部财</w:t>
      </w:r>
    </w:p>
    <w:p>
      <w:pPr>
        <w:pStyle w:val="BodyText"/>
        <w:spacing w:line="300" w:lineRule="auto" w:before="2"/>
        <w:ind w:right="1170"/>
        <w:jc w:val="both"/>
      </w:pPr>
      <w:r>
        <w:rPr/>
        <w:t>务核算，实现合理利润，保持市场领先地位。同时，将针对路径识别领域推行灵活的销售策略，推进大客</w:t>
      </w:r>
      <w:r>
        <w:rPr>
          <w:rFonts w:ascii="Times New Roman" w:hAnsi="Times New Roman" w:cs="Times New Roman" w:eastAsia="Times New Roman" w:hint="default"/>
        </w:rPr>
        <w:t>/</w:t>
      </w:r>
      <w:r>
        <w:rPr/>
        <w:t>货车市场、计重 车道防逃费市场、高速公路加油站市场等深化应用，获取新利润增长点。为加强本地化服务能力，公司将新设</w:t>
      </w:r>
      <w:r>
        <w:rPr>
          <w:spacing w:val="-45"/>
        </w:rPr>
        <w:t> </w:t>
      </w:r>
      <w:r>
        <w:rPr>
          <w:rFonts w:ascii="Times New Roman" w:hAnsi="Times New Roman" w:cs="Times New Roman" w:eastAsia="Times New Roman" w:hint="default"/>
        </w:rPr>
        <w:t>5-10</w:t>
      </w:r>
      <w:r>
        <w:rPr>
          <w:rFonts w:ascii="Times New Roman" w:hAnsi="Times New Roman" w:cs="Times New Roman" w:eastAsia="Times New Roman" w:hint="default"/>
          <w:spacing w:val="-1"/>
        </w:rPr>
        <w:t> </w:t>
      </w:r>
      <w:r>
        <w:rPr/>
        <w:t>个服务 网点，并通过资本手段寻求与产业链上下游之间的深度合作。</w:t>
      </w:r>
    </w:p>
    <w:p>
      <w:pPr>
        <w:pStyle w:val="BodyText"/>
        <w:spacing w:line="302" w:lineRule="auto" w:before="71"/>
        <w:ind w:left="154" w:right="1132" w:firstLine="360"/>
        <w:jc w:val="both"/>
      </w:pPr>
      <w:r>
        <w:rPr/>
        <w:t>在</w:t>
      </w:r>
      <w:r>
        <w:rPr>
          <w:spacing w:val="-72"/>
        </w:rPr>
        <w:t> </w:t>
      </w:r>
      <w:r>
        <w:rPr>
          <w:rFonts w:ascii="Times New Roman" w:hAnsi="Times New Roman" w:cs="Times New Roman" w:eastAsia="Times New Roman" w:hint="default"/>
        </w:rPr>
        <w:t>ETC+</w:t>
      </w:r>
      <w:r>
        <w:rPr/>
        <w:t>方面，公司将加强与银行、运营商、保险等相关方的联系，建立新型销售渠道，在确保产品性能和服务领先的 同时，通过平台效应为客户提供更多增值服务。</w:t>
      </w:r>
    </w:p>
    <w:p>
      <w:pPr>
        <w:pStyle w:val="BodyText"/>
        <w:spacing w:line="302" w:lineRule="auto" w:before="68"/>
        <w:ind w:right="1132" w:firstLine="360"/>
        <w:jc w:val="both"/>
      </w:pPr>
      <w:r>
        <w:rPr/>
        <w:t>在汽车电子业务方面，首先是密切跟踪汽车企业的</w:t>
      </w:r>
      <w:r>
        <w:rPr>
          <w:spacing w:val="-58"/>
        </w:rPr>
        <w:t> </w:t>
      </w:r>
      <w:r>
        <w:rPr>
          <w:rFonts w:ascii="Times New Roman" w:hAnsi="Times New Roman" w:cs="Times New Roman" w:eastAsia="Times New Roman" w:hint="default"/>
        </w:rPr>
        <w:t>ETC</w:t>
      </w:r>
      <w:r>
        <w:rPr>
          <w:rFonts w:ascii="Times New Roman" w:hAnsi="Times New Roman" w:cs="Times New Roman" w:eastAsia="Times New Roman" w:hint="default"/>
          <w:spacing w:val="-14"/>
        </w:rPr>
        <w:t> </w:t>
      </w:r>
      <w:r>
        <w:rPr/>
        <w:t>前装需求，其次是利用车路协同行业研发中心平台，以</w:t>
      </w:r>
      <w:r>
        <w:rPr>
          <w:spacing w:val="-59"/>
        </w:rPr>
        <w:t> </w:t>
      </w:r>
      <w:r>
        <w:rPr>
          <w:rFonts w:ascii="Times New Roman" w:hAnsi="Times New Roman" w:cs="Times New Roman" w:eastAsia="Times New Roman" w:hint="default"/>
        </w:rPr>
        <w:t>V2X</w:t>
      </w:r>
      <w:r>
        <w:rPr>
          <w:rFonts w:ascii="Times New Roman" w:hAnsi="Times New Roman" w:cs="Times New Roman" w:eastAsia="Times New Roman" w:hint="default"/>
          <w:spacing w:val="-14"/>
        </w:rPr>
        <w:t> </w:t>
      </w:r>
      <w:r>
        <w:rPr/>
        <w:t>路 侧设备和运营车辆为切入点，开发</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多场景应用，探索最优商业模式，打造国内</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领域第一品牌影响力。</w:t>
      </w:r>
    </w:p>
    <w:p>
      <w:pPr>
        <w:pStyle w:val="BodyText"/>
        <w:spacing w:line="240" w:lineRule="auto" w:before="49"/>
        <w:ind w:left="514" w:right="0"/>
        <w:jc w:val="left"/>
      </w:pPr>
      <w:r>
        <w:rPr/>
        <w:t>在电子汽车标识业务方面，公司将组建强有力的销售团队，参与国内多区域试点项目，同时研发符合国际标准的整体解</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both"/>
      </w:pPr>
      <w:r>
        <w:rPr/>
        <w:t>决方案，同步开拓海外应用市场。</w:t>
      </w:r>
    </w:p>
    <w:p>
      <w:pPr>
        <w:pStyle w:val="BodyText"/>
        <w:spacing w:line="300" w:lineRule="auto" w:before="115"/>
        <w:ind w:right="1130" w:firstLine="360"/>
        <w:jc w:val="both"/>
      </w:pPr>
      <w:r>
        <w:rPr>
          <w:spacing w:val="-4"/>
        </w:rPr>
        <w:t>在城市停车方面，目前推出了多种解决方案供客户选择，包括</w:t>
      </w:r>
      <w:r>
        <w:rPr>
          <w:spacing w:val="-22"/>
        </w:rPr>
        <w:t> </w:t>
      </w:r>
      <w:r>
        <w:rPr>
          <w:rFonts w:ascii="Times New Roman" w:hAnsi="Times New Roman" w:cs="Times New Roman" w:eastAsia="Times New Roman" w:hint="default"/>
          <w:spacing w:val="-7"/>
        </w:rPr>
        <w:t>ETC+</w:t>
      </w:r>
      <w:r>
        <w:rPr>
          <w:spacing w:val="-7"/>
        </w:rPr>
        <w:t>车牌识别、纯车牌识别、电子车牌、</w:t>
      </w:r>
      <w:r>
        <w:rPr>
          <w:rFonts w:ascii="Times New Roman" w:hAnsi="Times New Roman" w:cs="Times New Roman" w:eastAsia="Times New Roman" w:hint="default"/>
          <w:spacing w:val="-7"/>
        </w:rPr>
        <w:t>UWB</w:t>
      </w:r>
      <w:r>
        <w:rPr>
          <w:spacing w:val="-7"/>
        </w:rPr>
        <w:t>（超宽带）</w:t>
      </w:r>
      <w:r>
        <w:rPr/>
        <w:t> 和</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等，能实现路内外一体化的设备提供、工程建设和运营服务，未来也将与相关方合作成立各地的停车运营公司，开 展停车运营。</w:t>
      </w:r>
    </w:p>
    <w:p>
      <w:pPr>
        <w:pStyle w:val="BodyText"/>
        <w:spacing w:line="309" w:lineRule="auto" w:before="71"/>
        <w:ind w:right="1131" w:firstLine="360"/>
        <w:jc w:val="both"/>
      </w:pPr>
      <w:r>
        <w:rPr/>
        <w:t>在国际业务方面，主要销售</w:t>
      </w:r>
      <w:r>
        <w:rPr>
          <w:spacing w:val="-53"/>
        </w:rPr>
        <w:t> </w:t>
      </w:r>
      <w:r>
        <w:rPr>
          <w:rFonts w:ascii="Times New Roman" w:hAnsi="Times New Roman" w:cs="Times New Roman" w:eastAsia="Times New Roman" w:hint="default"/>
        </w:rPr>
        <w:t>V2X</w:t>
      </w:r>
      <w:r>
        <w:rPr/>
        <w:t>、智慧停车、</w:t>
      </w:r>
      <w:r>
        <w:rPr>
          <w:rFonts w:ascii="Times New Roman" w:hAnsi="Times New Roman" w:cs="Times New Roman" w:eastAsia="Times New Roman" w:hint="default"/>
        </w:rPr>
        <w:t>ETC</w:t>
      </w:r>
      <w:r>
        <w:rPr/>
        <w:t>、</w:t>
      </w:r>
      <w:r>
        <w:rPr>
          <w:rFonts w:ascii="Times New Roman" w:hAnsi="Times New Roman" w:cs="Times New Roman" w:eastAsia="Times New Roman" w:hint="default"/>
        </w:rPr>
        <w:t>RFID</w:t>
      </w:r>
      <w:r>
        <w:rPr>
          <w:rFonts w:ascii="Times New Roman" w:hAnsi="Times New Roman" w:cs="Times New Roman" w:eastAsia="Times New Roman" w:hint="default"/>
          <w:spacing w:val="-9"/>
        </w:rPr>
        <w:t> </w:t>
      </w:r>
      <w:r>
        <w:rPr/>
        <w:t>等成熟产品和系统，重点区域包括东南亚、北美和亚非拉地 </w:t>
      </w:r>
      <w:r>
        <w:rPr>
          <w:spacing w:val="-2"/>
        </w:rPr>
        <w:t>区，公司需调研产品在国外市场的适配度，补足产品品类短板，并构建面向海外客户的一揽子解决方案能力，同时更多参与</w:t>
      </w:r>
      <w:r>
        <w:rPr>
          <w:spacing w:val="-66"/>
        </w:rPr>
        <w:t> </w:t>
      </w:r>
      <w:r>
        <w:rPr>
          <w:spacing w:val="-66"/>
        </w:rPr>
      </w:r>
      <w:r>
        <w:rPr/>
        <w:t>全球各大区域最具影响力的交通展会，提升品牌认知度。</w:t>
      </w:r>
    </w:p>
    <w:p>
      <w:pPr>
        <w:pStyle w:val="BodyText"/>
        <w:spacing w:line="338" w:lineRule="auto" w:before="64"/>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）投资策略</w:t>
      </w:r>
      <w:r>
        <w:rPr>
          <w:rFonts w:ascii="宋体" w:hAnsi="宋体" w:cs="宋体" w:eastAsia="宋体" w:hint="default"/>
          <w:b/>
          <w:bCs/>
          <w:w w:val="99"/>
        </w:rPr>
        <w:t> </w:t>
      </w:r>
      <w:r>
        <w:rPr>
          <w:spacing w:val="-2"/>
        </w:rPr>
        <w:t>为适应上市后企业资本运作的需要，公司计划引进投资类高端人才，组建投资管理专业团队，围绕集团战略，对产业联</w:t>
      </w:r>
    </w:p>
    <w:p>
      <w:pPr>
        <w:pStyle w:val="BodyText"/>
        <w:spacing w:line="319" w:lineRule="auto" w:before="2"/>
        <w:ind w:left="154" w:right="1131"/>
        <w:jc w:val="both"/>
      </w:pPr>
      <w:r>
        <w:rPr>
          <w:spacing w:val="-2"/>
        </w:rPr>
        <w:t>盟、垂直孵化器和产投基金等运作方式进行探索，同时加强与高校、科研院所的合作，打造产学研用金一体化的协同创新发</w:t>
      </w:r>
      <w:r>
        <w:rPr>
          <w:spacing w:val="-66"/>
        </w:rPr>
        <w:t> </w:t>
      </w:r>
      <w:r>
        <w:rPr>
          <w:spacing w:val="-66"/>
        </w:rPr>
      </w:r>
      <w:r>
        <w:rPr>
          <w:spacing w:val="-5"/>
        </w:rPr>
        <w:t>展平台。同时，公司未来将在审慎评估风险的基础上，以达到战略协同为目的，积极寻找参与产业链上下游优质企业的投资、</w:t>
      </w:r>
      <w:r>
        <w:rPr>
          <w:spacing w:val="-81"/>
        </w:rPr>
        <w:t> </w:t>
      </w:r>
      <w:r>
        <w:rPr>
          <w:spacing w:val="-81"/>
        </w:rPr>
      </w:r>
      <w:r>
        <w:rPr/>
        <w:t>并购的机会，进一步优化产业布局，提升集团业务规模与市场竞争力。</w:t>
      </w:r>
    </w:p>
    <w:p>
      <w:pPr>
        <w:pStyle w:val="BodyText"/>
        <w:spacing w:line="338" w:lineRule="auto" w:before="58"/>
        <w:ind w:left="514" w:right="1032"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）研发策略</w:t>
      </w:r>
      <w:r>
        <w:rPr>
          <w:rFonts w:ascii="宋体" w:hAnsi="宋体" w:cs="宋体" w:eastAsia="宋体" w:hint="default"/>
          <w:b/>
          <w:bCs/>
          <w:w w:val="99"/>
        </w:rPr>
        <w:t> </w:t>
      </w:r>
      <w:r>
        <w:rPr/>
        <w:t>为提升研发创新的有效性，公司将成立产品委员会，持续规范产品需求导入流程，加强需求评审，完善项目评价机制。</w:t>
      </w:r>
    </w:p>
    <w:p>
      <w:pPr>
        <w:pStyle w:val="BodyText"/>
        <w:spacing w:line="304" w:lineRule="auto" w:before="2"/>
        <w:ind w:left="154" w:right="1132"/>
        <w:jc w:val="left"/>
      </w:pPr>
      <w:r>
        <w:rPr>
          <w:spacing w:val="-1"/>
        </w:rPr>
        <w:t>在开发过程中，采用应用开发平台概念和项目</w:t>
      </w:r>
      <w:r>
        <w:rPr>
          <w:spacing w:val="-40"/>
        </w:rPr>
        <w:t> </w:t>
      </w:r>
      <w:r>
        <w:rPr>
          <w:rFonts w:ascii="Times New Roman" w:hAnsi="Times New Roman" w:cs="Times New Roman" w:eastAsia="Times New Roman" w:hint="default"/>
          <w:spacing w:val="-2"/>
        </w:rPr>
        <w:t>ROI</w:t>
      </w:r>
      <w:r>
        <w:rPr>
          <w:spacing w:val="-2"/>
        </w:rPr>
        <w:t>（投资回报率）管理方法，优化产品管理流程，强化项目核算，在保持不</w:t>
      </w:r>
      <w:r>
        <w:rPr/>
        <w:t> 低于年销售收入</w:t>
      </w:r>
      <w:r>
        <w:rPr>
          <w:spacing w:val="-46"/>
        </w:rPr>
        <w:t> </w:t>
      </w:r>
      <w:r>
        <w:rPr>
          <w:rFonts w:ascii="Times New Roman" w:hAnsi="Times New Roman" w:cs="Times New Roman" w:eastAsia="Times New Roman" w:hint="default"/>
        </w:rPr>
        <w:t>10%</w:t>
      </w:r>
      <w:r>
        <w:rPr/>
        <w:t>的研发投入的前提下，大幅提高投入产出比。此外，公司</w:t>
      </w:r>
      <w:r>
        <w:rPr>
          <w:spacing w:val="-46"/>
        </w:rPr>
        <w:t> </w:t>
      </w:r>
      <w:r>
        <w:rPr>
          <w:rFonts w:ascii="Times New Roman" w:hAnsi="Times New Roman" w:cs="Times New Roman" w:eastAsia="Times New Roman" w:hint="default"/>
        </w:rPr>
        <w:t>2018 </w:t>
      </w:r>
      <w:r>
        <w:rPr/>
        <w:t>年将重点完成</w:t>
      </w:r>
      <w:r>
        <w:rPr>
          <w:spacing w:val="-46"/>
        </w:rPr>
        <w:t> </w:t>
      </w:r>
      <w:r>
        <w:rPr>
          <w:rFonts w:ascii="Times New Roman" w:hAnsi="Times New Roman" w:cs="Times New Roman" w:eastAsia="Times New Roman" w:hint="default"/>
        </w:rPr>
        <w:t>IPD</w:t>
      </w:r>
      <w:r>
        <w:rPr/>
        <w:t>（集成产品开发）流 程建设专项，导入</w:t>
      </w:r>
      <w:r>
        <w:rPr>
          <w:spacing w:val="-47"/>
        </w:rPr>
        <w:t> </w:t>
      </w:r>
      <w:r>
        <w:rPr>
          <w:rFonts w:ascii="Times New Roman" w:hAnsi="Times New Roman" w:cs="Times New Roman" w:eastAsia="Times New Roman" w:hint="default"/>
        </w:rPr>
        <w:t>PLM</w:t>
      </w:r>
      <w:r>
        <w:rPr/>
        <w:t>（产品生命周期管理）管理系统和</w:t>
      </w:r>
      <w:r>
        <w:rPr>
          <w:spacing w:val="-47"/>
        </w:rPr>
        <w:t> </w:t>
      </w:r>
      <w:r>
        <w:rPr>
          <w:rFonts w:ascii="Times New Roman" w:hAnsi="Times New Roman" w:cs="Times New Roman" w:eastAsia="Times New Roman" w:hint="default"/>
        </w:rPr>
        <w:t>CMMI</w:t>
      </w:r>
      <w:r>
        <w:rPr/>
        <w:t>（软件能力成熟度集成模型）体系，加强对研发过程和软</w:t>
      </w:r>
      <w:r>
        <w:rPr>
          <w:w w:val="99"/>
        </w:rPr>
        <w:t> </w:t>
      </w:r>
      <w:r>
        <w:rPr/>
        <w:t>件品质的控制能力。为适应汽车前装产品的需求，公司还将制定面向汽车电子的产品可靠性设计、测试和评价标准，增加</w:t>
      </w:r>
      <w:r>
        <w:rPr>
          <w:w w:val="99"/>
        </w:rPr>
        <w:t> </w:t>
      </w:r>
      <w:r>
        <w:rPr>
          <w:rFonts w:ascii="Times New Roman" w:hAnsi="Times New Roman" w:cs="Times New Roman" w:eastAsia="Times New Roman" w:hint="default"/>
        </w:rPr>
        <w:t>ICT</w:t>
      </w:r>
      <w:r>
        <w:rPr/>
        <w:t>、</w:t>
      </w:r>
      <w:r>
        <w:rPr>
          <w:rFonts w:ascii="Times New Roman" w:hAnsi="Times New Roman" w:cs="Times New Roman" w:eastAsia="Times New Roman" w:hint="default"/>
        </w:rPr>
        <w:t>X-ray</w:t>
      </w:r>
      <w:r>
        <w:rPr/>
        <w:t>、</w:t>
      </w:r>
      <w:r>
        <w:rPr>
          <w:rFonts w:ascii="Times New Roman" w:hAnsi="Times New Roman" w:cs="Times New Roman" w:eastAsia="Times New Roman" w:hint="default"/>
        </w:rPr>
        <w:t>EMC</w:t>
      </w:r>
      <w:r>
        <w:rPr>
          <w:rFonts w:ascii="Times New Roman" w:hAnsi="Times New Roman" w:cs="Times New Roman" w:eastAsia="Times New Roman" w:hint="default"/>
          <w:spacing w:val="-3"/>
        </w:rPr>
        <w:t> </w:t>
      </w:r>
      <w:r>
        <w:rPr/>
        <w:t>暗室等检测设备。</w:t>
      </w:r>
    </w:p>
    <w:p>
      <w:pPr>
        <w:pStyle w:val="BodyText"/>
        <w:spacing w:line="338" w:lineRule="auto" w:before="48"/>
        <w:ind w:left="514" w:right="1126"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）供应链策略</w:t>
      </w:r>
      <w:r>
        <w:rPr>
          <w:rFonts w:ascii="宋体" w:hAnsi="宋体" w:cs="宋体" w:eastAsia="宋体" w:hint="default"/>
          <w:b/>
          <w:bCs/>
          <w:w w:val="99"/>
        </w:rPr>
        <w:t> </w:t>
      </w:r>
      <w:r>
        <w:rPr>
          <w:spacing w:val="-1"/>
        </w:rPr>
        <w:t>公司将增设</w:t>
      </w:r>
      <w:r>
        <w:rPr>
          <w:rFonts w:ascii="Times New Roman" w:hAnsi="Times New Roman" w:cs="Times New Roman" w:eastAsia="Times New Roman" w:hint="default"/>
          <w:spacing w:val="-1"/>
        </w:rPr>
        <w:t>“</w:t>
      </w:r>
      <w:r>
        <w:rPr>
          <w:spacing w:val="-1"/>
        </w:rPr>
        <w:t>智能制造部</w:t>
      </w:r>
      <w:r>
        <w:rPr>
          <w:rFonts w:ascii="Times New Roman" w:hAnsi="Times New Roman" w:cs="Times New Roman" w:eastAsia="Times New Roman" w:hint="default"/>
          <w:spacing w:val="-1"/>
        </w:rPr>
        <w:t>”</w:t>
      </w:r>
      <w:r>
        <w:rPr>
          <w:spacing w:val="-1"/>
        </w:rPr>
        <w:t>，规划和实施</w:t>
      </w:r>
      <w:r>
        <w:rPr>
          <w:rFonts w:ascii="Times New Roman" w:hAnsi="Times New Roman" w:cs="Times New Roman" w:eastAsia="Times New Roman" w:hint="default"/>
          <w:spacing w:val="-1"/>
        </w:rPr>
        <w:t>“</w:t>
      </w:r>
      <w:r>
        <w:rPr>
          <w:spacing w:val="-1"/>
        </w:rPr>
        <w:t>智能工厂</w:t>
      </w:r>
      <w:r>
        <w:rPr>
          <w:rFonts w:ascii="Times New Roman" w:hAnsi="Times New Roman" w:cs="Times New Roman" w:eastAsia="Times New Roman" w:hint="default"/>
          <w:spacing w:val="-1"/>
        </w:rPr>
        <w:t>”</w:t>
      </w:r>
      <w:r>
        <w:rPr>
          <w:spacing w:val="-1"/>
        </w:rPr>
        <w:t>建设，进一步提升产线自动化改造的力度，大幅度提升人均产出，同</w:t>
      </w:r>
    </w:p>
    <w:p>
      <w:pPr>
        <w:pStyle w:val="BodyText"/>
        <w:spacing w:line="231" w:lineRule="exact"/>
        <w:ind w:right="0"/>
        <w:jc w:val="both"/>
        <w:rPr>
          <w:rFonts w:ascii="Times New Roman" w:hAnsi="Times New Roman" w:cs="Times New Roman" w:eastAsia="Times New Roman" w:hint="default"/>
        </w:rPr>
      </w:pPr>
      <w:r>
        <w:rPr/>
        <w:t>时全面改造柔性车间，以适应季度性产量波动。公司将以专项形式开展</w:t>
      </w:r>
      <w:r>
        <w:rPr>
          <w:rFonts w:ascii="Times New Roman" w:hAnsi="Times New Roman" w:cs="Times New Roman" w:eastAsia="Times New Roman" w:hint="default"/>
        </w:rPr>
        <w:t>“</w:t>
      </w:r>
      <w:r>
        <w:rPr/>
        <w:t>大供应链体系建设</w:t>
      </w:r>
      <w:r>
        <w:rPr>
          <w:rFonts w:ascii="Times New Roman" w:hAnsi="Times New Roman" w:cs="Times New Roman" w:eastAsia="Times New Roman" w:hint="default"/>
        </w:rPr>
        <w:t>”</w:t>
      </w:r>
      <w:r>
        <w:rPr/>
        <w:t>，促进</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渠道</w:t>
      </w:r>
      <w:r>
        <w:rPr>
          <w:rFonts w:ascii="Times New Roman" w:hAnsi="Times New Roman" w:cs="Times New Roman" w:eastAsia="Times New Roman" w:hint="default"/>
        </w:rPr>
        <w:t>+</w:t>
      </w:r>
      <w:r>
        <w:rPr/>
        <w:t>采购</w:t>
      </w:r>
      <w:r>
        <w:rPr>
          <w:rFonts w:ascii="Times New Roman" w:hAnsi="Times New Roman" w:cs="Times New Roman" w:eastAsia="Times New Roman" w:hint="default"/>
        </w:rPr>
        <w:t>+</w:t>
      </w:r>
      <w:r>
        <w:rPr/>
        <w:t>在库</w:t>
      </w:r>
      <w:r>
        <w:rPr>
          <w:rFonts w:ascii="Times New Roman" w:hAnsi="Times New Roman" w:cs="Times New Roman" w:eastAsia="Times New Roman" w:hint="default"/>
        </w:rPr>
        <w:t>”</w:t>
      </w:r>
    </w:p>
    <w:p>
      <w:pPr>
        <w:pStyle w:val="BodyText"/>
        <w:spacing w:line="302" w:lineRule="auto" w:before="63"/>
        <w:ind w:right="1184"/>
        <w:jc w:val="both"/>
      </w:pPr>
      <w:r>
        <w:rPr/>
        <w:t>的一体化管理，加强控制长周期物料风险和对供应商质量的管控工作，杜绝重大来料质量不良的发生。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年，公司将完 成佛山基建项目的基建工程，并做好后续投产前的人员设备物资的准备。</w:t>
      </w:r>
    </w:p>
    <w:p>
      <w:pPr>
        <w:pStyle w:val="BodyText"/>
        <w:spacing w:line="338" w:lineRule="auto" w:before="69"/>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）人才策略</w:t>
      </w:r>
      <w:r>
        <w:rPr>
          <w:rFonts w:ascii="宋体" w:hAnsi="宋体" w:cs="宋体" w:eastAsia="宋体" w:hint="default"/>
          <w:b/>
          <w:bCs/>
          <w:w w:val="99"/>
        </w:rPr>
        <w:t> </w:t>
      </w:r>
      <w:r>
        <w:rPr>
          <w:spacing w:val="-6"/>
        </w:rPr>
        <w:t>新的发展时期需要引入新的人才，公司在战略、业务、投资、品牌、技术、国际市场等方面均有较大的人才缺口，因此，</w:t>
      </w:r>
    </w:p>
    <w:p>
      <w:pPr>
        <w:pStyle w:val="BodyText"/>
        <w:spacing w:line="309" w:lineRule="auto" w:before="2"/>
        <w:ind w:left="154" w:right="1131"/>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spacing w:val="-3"/>
        </w:rPr>
        <w:t>将不遗余力地招揽人才。尤其在新业务中，带头人对市场的理解、对产品的理解、综合运营能力直接决定业务的成败，</w:t>
      </w:r>
      <w:r>
        <w:rPr>
          <w:spacing w:val="-85"/>
        </w:rPr>
        <w:t> </w:t>
      </w:r>
      <w:r>
        <w:rPr>
          <w:spacing w:val="-85"/>
        </w:rPr>
      </w:r>
      <w:r>
        <w:rPr>
          <w:spacing w:val="-2"/>
        </w:rPr>
        <w:t>因此更需要精兵强将。公司将探索导入事业合伙人机制，有效吸引高端人才和激发团队的创业热情。另一方面，公司也非常</w:t>
      </w:r>
      <w:r>
        <w:rPr>
          <w:spacing w:val="-66"/>
        </w:rPr>
        <w:t> </w:t>
      </w:r>
      <w:r>
        <w:rPr>
          <w:spacing w:val="-66"/>
        </w:rPr>
      </w:r>
      <w:r>
        <w:rPr/>
        <w:t>重视发挥现有团队的潜能，积极开展任职资格体系搭建工作，于年内正式开展相关评价，为员工个人发展提供明确通道。</w:t>
      </w:r>
    </w:p>
    <w:p>
      <w:pPr>
        <w:pStyle w:val="BodyText"/>
        <w:spacing w:line="338" w:lineRule="auto" w:before="65"/>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）管理策略</w:t>
      </w:r>
      <w:r>
        <w:rPr>
          <w:rFonts w:ascii="宋体" w:hAnsi="宋体" w:cs="宋体" w:eastAsia="宋体" w:hint="default"/>
          <w:b/>
          <w:bCs/>
          <w:w w:val="99"/>
        </w:rPr>
        <w:t> </w:t>
      </w:r>
      <w:r>
        <w:rPr>
          <w:spacing w:val="-2"/>
        </w:rPr>
        <w:t>公司将以市场为导向，重新审视和优化经营计划管理的全流程，对集团化的组织运营机制进行研究，提升集团平台管理</w:t>
      </w:r>
    </w:p>
    <w:p>
      <w:pPr>
        <w:pStyle w:val="BodyText"/>
        <w:spacing w:line="319" w:lineRule="auto" w:before="2"/>
        <w:ind w:left="154" w:right="1130"/>
        <w:jc w:val="both"/>
      </w:pPr>
      <w:r>
        <w:rPr>
          <w:spacing w:val="-2"/>
        </w:rPr>
        <w:t>水平和服务能力。同时，加强对业务、项目、产品的财务核算，采取有效措施降低管理费用和降低库存，建立并逐步完善标</w:t>
      </w:r>
      <w:r>
        <w:rPr>
          <w:spacing w:val="-68"/>
        </w:rPr>
        <w:t> </w:t>
      </w:r>
      <w:r>
        <w:rPr>
          <w:spacing w:val="-68"/>
        </w:rPr>
      </w:r>
      <w:r>
        <w:rPr/>
        <w:t>准成本管理，为推行预算管理和提升投入产出效益夯实基础。</w:t>
      </w:r>
    </w:p>
    <w:p>
      <w:pPr>
        <w:pStyle w:val="BodyText"/>
        <w:spacing w:line="300" w:lineRule="auto" w:before="55"/>
        <w:ind w:right="1029" w:firstLine="360"/>
        <w:jc w:val="left"/>
      </w:pPr>
      <w:r>
        <w:rPr>
          <w:spacing w:val="-4"/>
        </w:rPr>
        <w:t>高效管理离不开信息化系统支撑，公司计划推行移动办公，强化</w:t>
      </w:r>
      <w:r>
        <w:rPr>
          <w:spacing w:val="-42"/>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spacing w:val="-3"/>
        </w:rPr>
        <w:t>系统和产品信息管理系统的功能，新导入</w:t>
      </w:r>
      <w:r>
        <w:rPr>
          <w:spacing w:val="-43"/>
        </w:rPr>
        <w:t> </w:t>
      </w:r>
      <w:r>
        <w:rPr>
          <w:rFonts w:ascii="Times New Roman" w:hAnsi="Times New Roman" w:cs="Times New Roman" w:eastAsia="Times New Roman" w:hint="default"/>
          <w:spacing w:val="-10"/>
        </w:rPr>
        <w:t>PLM</w:t>
      </w:r>
      <w:r>
        <w:rPr>
          <w:spacing w:val="-10"/>
        </w:rPr>
        <w:t>（产</w:t>
      </w:r>
      <w:r>
        <w:rPr>
          <w:spacing w:val="1"/>
        </w:rPr>
        <w:t> </w:t>
      </w:r>
      <w:r>
        <w:rPr/>
        <w:t>品生命周期管理）系统 和</w:t>
      </w:r>
      <w:r>
        <w:rPr>
          <w:spacing w:val="-36"/>
        </w:rPr>
        <w:t> </w:t>
      </w:r>
      <w:r>
        <w:rPr>
          <w:rFonts w:ascii="Times New Roman" w:hAnsi="Times New Roman" w:cs="Times New Roman" w:eastAsia="Times New Roman" w:hint="default"/>
        </w:rPr>
        <w:t>CRM</w:t>
      </w:r>
      <w:r>
        <w:rPr/>
        <w:t>（客户关系管理系统）系统，全面打通销售、研发、生产、服务的数据流，实现高效办公、</w:t>
      </w:r>
      <w:r>
        <w:rPr>
          <w:spacing w:val="1"/>
        </w:rPr>
        <w:t> </w:t>
      </w:r>
      <w:r>
        <w:rPr/>
        <w:t>精准营销和敏捷服务。</w:t>
      </w:r>
    </w:p>
    <w:p>
      <w:pPr>
        <w:pStyle w:val="Heading4"/>
        <w:spacing w:line="240" w:lineRule="auto"/>
        <w:ind w:right="1235"/>
        <w:jc w:val="left"/>
        <w:rPr>
          <w:b w:val="0"/>
          <w:bCs w:val="0"/>
        </w:rPr>
      </w:pPr>
      <w:r>
        <w:rPr/>
        <w:t>（四）可能面临的风险和应对措施</w:t>
      </w:r>
      <w:r>
        <w:rPr>
          <w:b w:val="0"/>
          <w:bCs w:val="0"/>
        </w:rPr>
      </w:r>
    </w:p>
    <w:p>
      <w:pPr>
        <w:pStyle w:val="BodyText"/>
        <w:spacing w:line="338" w:lineRule="auto" w:before="116"/>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、季节性波动风险</w:t>
      </w:r>
      <w:r>
        <w:rPr>
          <w:rFonts w:ascii="宋体" w:hAnsi="宋体" w:cs="宋体" w:eastAsia="宋体" w:hint="default"/>
          <w:b/>
          <w:bCs/>
          <w:w w:val="99"/>
        </w:rPr>
        <w:t> </w:t>
      </w:r>
      <w:r>
        <w:rPr>
          <w:spacing w:val="-4"/>
        </w:rPr>
        <w:t>公司专注于智能交通和物联网行业，下游客户主要是高速公路业内的交通管理部门、高速公路运营公司及系统集成商等。</w:t>
      </w:r>
    </w:p>
    <w:p>
      <w:pPr>
        <w:pStyle w:val="BodyText"/>
        <w:spacing w:line="316" w:lineRule="auto" w:before="2"/>
        <w:ind w:left="154" w:right="1133"/>
        <w:jc w:val="both"/>
      </w:pPr>
      <w:r>
        <w:rPr>
          <w:spacing w:val="-5"/>
        </w:rPr>
        <w:t>一方面，因公司的客户实行预算制管理，每个自然年度的上半年主要进行资金的预算、审批，采购计划的制定，项目的招标、</w:t>
      </w:r>
      <w:r>
        <w:rPr>
          <w:spacing w:val="-79"/>
        </w:rPr>
        <w:t> </w:t>
      </w:r>
      <w:r>
        <w:rPr>
          <w:spacing w:val="-79"/>
        </w:rPr>
      </w:r>
      <w:r>
        <w:rPr>
          <w:spacing w:val="-2"/>
        </w:rPr>
        <w:t>投标及合同签订事宜，下半年才开始项目具体的设备采购、建设、施工、验收等；另一方面，上半年节假日较多，会在一定</w:t>
      </w:r>
      <w:r>
        <w:rPr>
          <w:spacing w:val="-72"/>
        </w:rPr>
        <w:t> </w:t>
      </w:r>
      <w:r>
        <w:rPr>
          <w:spacing w:val="-72"/>
        </w:rPr>
      </w:r>
      <w:r>
        <w:rPr>
          <w:spacing w:val="-2"/>
        </w:rPr>
        <w:t>程度上影响相关工作的进度。以上两方面因素导致公司的营业收入呈现明显的季节性特征，通常上半年收入较少，大部分的</w:t>
      </w:r>
    </w:p>
    <w:p>
      <w:pPr>
        <w:spacing w:after="0" w:line="316"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both"/>
      </w:pPr>
      <w:r>
        <w:rPr/>
        <w:t>收入在下半年实现。因此，投资者不能简单地以公司某一季度或中期的财务数据来推算公司全年的财务状况和经营成果。</w:t>
      </w:r>
    </w:p>
    <w:p>
      <w:pPr>
        <w:pStyle w:val="Heading4"/>
        <w:spacing w:line="240" w:lineRule="auto" w:before="116"/>
        <w:ind w:right="1235"/>
        <w:jc w:val="left"/>
        <w:rPr>
          <w:b w:val="0"/>
          <w:bCs w:val="0"/>
        </w:rPr>
      </w:pPr>
      <w:r>
        <w:rPr>
          <w:rFonts w:ascii="Times New Roman" w:hAnsi="Times New Roman" w:cs="Times New Roman" w:eastAsia="Times New Roman" w:hint="default"/>
        </w:rPr>
        <w:t>2</w:t>
      </w:r>
      <w:r>
        <w:rPr/>
        <w:t>、技术风险</w:t>
      </w:r>
      <w:r>
        <w:rPr>
          <w:b w:val="0"/>
          <w:bCs w:val="0"/>
        </w:rPr>
      </w:r>
    </w:p>
    <w:p>
      <w:pPr>
        <w:pStyle w:val="Heading4"/>
        <w:spacing w:line="240" w:lineRule="auto" w:before="103"/>
        <w:ind w:right="1235"/>
        <w:jc w:val="left"/>
        <w:rPr>
          <w:b w:val="0"/>
          <w:bCs w:val="0"/>
        </w:rPr>
      </w:pPr>
      <w:r>
        <w:rPr/>
        <w:t>（</w:t>
      </w:r>
      <w:r>
        <w:rPr>
          <w:rFonts w:ascii="Times New Roman" w:hAnsi="Times New Roman" w:cs="Times New Roman" w:eastAsia="Times New Roman" w:hint="default"/>
        </w:rPr>
        <w:t>1</w:t>
      </w:r>
      <w:r>
        <w:rPr/>
        <w:t>）行业技术发展方向变化导致技术替代的风险</w:t>
      </w:r>
      <w:r>
        <w:rPr>
          <w:b w:val="0"/>
          <w:bCs w:val="0"/>
        </w:rPr>
      </w:r>
    </w:p>
    <w:p>
      <w:pPr>
        <w:pStyle w:val="BodyText"/>
        <w:spacing w:line="300" w:lineRule="auto" w:before="101"/>
        <w:ind w:right="1111" w:firstLine="360"/>
        <w:jc w:val="left"/>
      </w:pPr>
      <w:r>
        <w:rPr/>
        <w:t>公司目前的</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产品集</w:t>
      </w:r>
      <w:r>
        <w:rPr>
          <w:rFonts w:ascii="Times New Roman" w:hAnsi="Times New Roman" w:cs="Times New Roman" w:eastAsia="Times New Roman" w:hint="default"/>
        </w:rPr>
        <w:t>“</w:t>
      </w:r>
      <w:r>
        <w:rPr/>
        <w:t>车辆识别</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电子支付</w:t>
      </w:r>
      <w:r>
        <w:rPr>
          <w:rFonts w:ascii="Times New Roman" w:hAnsi="Times New Roman" w:cs="Times New Roman" w:eastAsia="Times New Roman" w:hint="default"/>
        </w:rPr>
        <w:t>”</w:t>
      </w:r>
      <w:r>
        <w:rPr/>
        <w:t>于一体，具有节能环保、高效便捷、低运营成本等优势。近年来，随 着移动支付的快速发展，移动支付在公共出行场景的应用也正在加速落地，移动支付也开始进驻高速公路。视频识别</w:t>
      </w:r>
      <w:r>
        <w:rPr>
          <w:rFonts w:ascii="Times New Roman" w:hAnsi="Times New Roman" w:cs="Times New Roman" w:eastAsia="Times New Roman" w:hint="default"/>
        </w:rPr>
        <w:t>+</w:t>
      </w:r>
      <w:r>
        <w:rPr/>
        <w:t>移动 支付新型收费识别模式的出现，对现行</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用户的发展会产生一定的冲击。但在高速公路领域，</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技术还是最安全可靠 和方便快捷的电子不停车收费技术，</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spacing w:val="-4"/>
        </w:rPr>
        <w:t>已经实现全国联网，全国通用，拥有庞大的用户群，同时</w:t>
      </w:r>
      <w:r>
        <w:rPr>
          <w:spacing w:val="-51"/>
        </w:rPr>
        <w:t> </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spacing w:val="-7"/>
        </w:rPr>
        <w:t>安全、快捷、绿色、</w:t>
      </w:r>
      <w:r>
        <w:rPr/>
        <w:t> 高效的不停车通行体验，被社会公众认可。而视频识别</w:t>
      </w:r>
      <w:r>
        <w:rPr>
          <w:rFonts w:ascii="Times New Roman" w:hAnsi="Times New Roman" w:cs="Times New Roman" w:eastAsia="Times New Roman" w:hint="default"/>
        </w:rPr>
        <w:t>+</w:t>
      </w:r>
      <w:r>
        <w:rPr/>
        <w:t>移动支付目前只应用于人工收费车道，视频的识别效率、移动支付 的网络依赖性决定了在使用体验及应用效果上是不能取代</w:t>
      </w:r>
      <w:r>
        <w:rPr>
          <w:spacing w:val="-46"/>
        </w:rPr>
        <w:t> </w:t>
      </w:r>
      <w:r>
        <w:rPr>
          <w:rFonts w:ascii="Times New Roman" w:hAnsi="Times New Roman" w:cs="Times New Roman" w:eastAsia="Times New Roman" w:hint="default"/>
        </w:rPr>
        <w:t>ETC</w:t>
      </w:r>
      <w:r>
        <w:rPr/>
        <w:t>，只能是作为</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的一种补充。</w:t>
      </w:r>
    </w:p>
    <w:p>
      <w:pPr>
        <w:pStyle w:val="BodyText"/>
        <w:spacing w:line="307" w:lineRule="auto" w:before="51"/>
        <w:ind w:right="1131" w:firstLine="360"/>
        <w:jc w:val="both"/>
      </w:pPr>
      <w:r>
        <w:rPr>
          <w:spacing w:val="-2"/>
        </w:rPr>
        <w:t>为应对新兴技术替代风险，保持在新技术领域的竞争力，公司持续保持高强度的研发投入，近三年，公司的研发费用占</w:t>
      </w:r>
      <w:r>
        <w:rPr/>
        <w:t> 当期收入的比例均高于</w:t>
      </w:r>
      <w:r>
        <w:rPr>
          <w:spacing w:val="-46"/>
        </w:rPr>
        <w:t> </w:t>
      </w:r>
      <w:r>
        <w:rPr>
          <w:rFonts w:ascii="Times New Roman" w:hAnsi="Times New Roman" w:cs="Times New Roman" w:eastAsia="Times New Roman" w:hint="default"/>
        </w:rPr>
        <w:t>10%</w:t>
      </w:r>
      <w:r>
        <w:rPr/>
        <w:t>，相当一部分投入到新兴技术的研发中，如</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技术在停车场和城市内多车道自由流的应用、 视频识别技术</w:t>
      </w:r>
      <w:r>
        <w:rPr>
          <w:rFonts w:ascii="Times New Roman" w:hAnsi="Times New Roman" w:cs="Times New Roman" w:eastAsia="Times New Roman" w:hint="default"/>
        </w:rPr>
        <w:t>+</w:t>
      </w:r>
      <w:r>
        <w:rPr/>
        <w:t>第三方支付</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并存停车场管理系统技术、电子汽车标识技术等，保持在新技术领域的竞争力。公司同时 在智慧公路和车路协同前沿技术上开展研究，积极参与国家智慧公路和车路协同的试点示范工程。</w:t>
      </w:r>
    </w:p>
    <w:p>
      <w:pPr>
        <w:spacing w:line="338" w:lineRule="auto" w:before="67"/>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）技术泄密或被侵权及技术人员流失的风险</w:t>
      </w:r>
      <w:r>
        <w:rPr>
          <w:rFonts w:ascii="宋体" w:hAnsi="宋体" w:cs="宋体" w:eastAsia="宋体" w:hint="default"/>
          <w:b/>
          <w:bCs/>
          <w:w w:val="99"/>
          <w:sz w:val="18"/>
          <w:szCs w:val="18"/>
        </w:rPr>
        <w:t> </w:t>
      </w:r>
      <w:r>
        <w:rPr>
          <w:rFonts w:ascii="宋体" w:hAnsi="宋体" w:cs="宋体" w:eastAsia="宋体" w:hint="default"/>
          <w:spacing w:val="-4"/>
          <w:sz w:val="18"/>
          <w:szCs w:val="18"/>
        </w:rPr>
        <w:t>公司所处行业是知识经济时代的代表性产业，是近年来我国增长速度最快的高新技术行业之一。经过多年的积累和发展，</w:t>
      </w:r>
    </w:p>
    <w:p>
      <w:pPr>
        <w:pStyle w:val="BodyText"/>
        <w:spacing w:line="314" w:lineRule="auto" w:before="2"/>
        <w:ind w:right="1131"/>
        <w:jc w:val="both"/>
      </w:pPr>
      <w:r>
        <w:rPr>
          <w:spacing w:val="-2"/>
        </w:rPr>
        <w:t>公司掌握了智能交通领域内的多项关键技术。技术优势是公司核心竞争力的重要体现。公司重视对核心技术的保护，虽然与</w:t>
      </w:r>
      <w:r>
        <w:rPr>
          <w:spacing w:val="-66"/>
        </w:rPr>
        <w:t> </w:t>
      </w:r>
      <w:r>
        <w:rPr>
          <w:spacing w:val="-66"/>
        </w:rPr>
      </w:r>
      <w:r>
        <w:rPr/>
        <w:t>相关核心技术人员以及因业务关系知悉技术秘密的相关人员签订了保密及</w:t>
      </w:r>
      <w:r>
        <w:rPr>
          <w:rFonts w:ascii="Times New Roman" w:hAnsi="Times New Roman" w:cs="Times New Roman" w:eastAsia="Times New Roman" w:hint="default"/>
        </w:rPr>
        <w:t>/</w:t>
      </w:r>
      <w:r>
        <w:rPr/>
        <w:t>或竞业限制协议，但是如果发生公司核心技术人 </w:t>
      </w:r>
      <w:r>
        <w:rPr>
          <w:spacing w:val="-2"/>
        </w:rPr>
        <w:t>员离职后继续从事与公司业务相同或相似的工作，或者关键岗位技术人员发生泄密事件，将有可能削弱公司的技术优势，进</w:t>
      </w:r>
      <w:r>
        <w:rPr>
          <w:spacing w:val="-66"/>
        </w:rPr>
        <w:t> </w:t>
      </w:r>
      <w:r>
        <w:rPr>
          <w:spacing w:val="-66"/>
        </w:rPr>
      </w:r>
      <w:r>
        <w:rPr>
          <w:spacing w:val="-2"/>
        </w:rPr>
        <w:t>而对经营带来不利影响。此外，公司仍可能存在知识产权被侵犯，进而对公司经营造成不利影响的风险。公司将加大知识产</w:t>
      </w:r>
      <w:r>
        <w:rPr>
          <w:spacing w:val="-66"/>
        </w:rPr>
        <w:t> </w:t>
      </w:r>
      <w:r>
        <w:rPr>
          <w:spacing w:val="-66"/>
        </w:rPr>
      </w:r>
      <w:r>
        <w:rPr/>
        <w:t>权的保护力度，对于可能出现的严重侵犯公司知识产权的情形，公司将通过法律手段保护自身合法权益。</w:t>
      </w:r>
    </w:p>
    <w:p>
      <w:pPr>
        <w:pStyle w:val="BodyText"/>
        <w:spacing w:line="319" w:lineRule="auto" w:before="59"/>
        <w:ind w:right="1131" w:firstLine="360"/>
        <w:jc w:val="both"/>
      </w:pPr>
      <w:r>
        <w:rPr>
          <w:spacing w:val="-2"/>
        </w:rPr>
        <w:t>核心技术人员是公司保持技术优势的基础，公司一直对高水平的软、硬件开发与应用人才有较大的需求，随着业内技术</w:t>
      </w:r>
      <w:r>
        <w:rPr/>
        <w:t> </w:t>
      </w:r>
      <w:r>
        <w:rPr>
          <w:spacing w:val="-5"/>
        </w:rPr>
        <w:t>的不断更新，公司业务所处行业的市场竞争不断加剧，相关技术人才的竞争也日趋激烈，公司将不断完善人力资源管理体系，</w:t>
      </w:r>
      <w:r>
        <w:rPr>
          <w:spacing w:val="-79"/>
        </w:rPr>
        <w:t> </w:t>
      </w:r>
      <w:r>
        <w:rPr>
          <w:spacing w:val="-79"/>
        </w:rPr>
      </w:r>
      <w:r>
        <w:rPr>
          <w:spacing w:val="-2"/>
        </w:rPr>
        <w:t>采取一系列吸引和稳定核心技术人员的措施，包括核心技术人员持股、提高核心技术人员福利待遇、增加培训机会、创造良</w:t>
      </w:r>
      <w:r>
        <w:rPr>
          <w:spacing w:val="-66"/>
        </w:rPr>
        <w:t> </w:t>
      </w:r>
      <w:r>
        <w:rPr>
          <w:spacing w:val="-66"/>
        </w:rPr>
      </w:r>
      <w:r>
        <w:rPr/>
        <w:t>好的工作和文化氛围等。</w:t>
      </w:r>
    </w:p>
    <w:p>
      <w:pPr>
        <w:pStyle w:val="BodyText"/>
        <w:spacing w:line="319" w:lineRule="auto" w:before="56"/>
        <w:ind w:right="1132" w:firstLine="360"/>
        <w:jc w:val="both"/>
      </w:pPr>
      <w:r>
        <w:rPr>
          <w:spacing w:val="-2"/>
        </w:rPr>
        <w:t>公司将加大知识产权的保护力度，对于可能出现的严重侵犯公司知识产权的情形，公司将通过法律手段保护自身合法权</w:t>
      </w:r>
      <w:r>
        <w:rPr/>
        <w:t> 益。</w:t>
      </w:r>
    </w:p>
    <w:p>
      <w:pPr>
        <w:spacing w:line="338" w:lineRule="auto" w:before="5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、报告期内对单一行业依赖的风险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公司目前业务主要服务于高速公路智能交通系统行业，主要产品集中应用于高速公路不停车收费系统。目前国内大部分</w:t>
      </w:r>
    </w:p>
    <w:p>
      <w:pPr>
        <w:pStyle w:val="BodyText"/>
        <w:spacing w:line="319" w:lineRule="auto" w:before="2"/>
        <w:ind w:right="1033"/>
        <w:jc w:val="left"/>
      </w:pPr>
      <w:r>
        <w:rPr/>
        <w:t>智能交通系统项目需求方或投资方是各级交通、公安和市政等公共事业主管部门，其他企业和个人市场需求比例相对较小。</w:t>
      </w:r>
      <w:r>
        <w:rPr>
          <w:spacing w:val="-85"/>
        </w:rPr>
        <w:t> </w:t>
      </w:r>
      <w:r>
        <w:rPr>
          <w:spacing w:val="-85"/>
        </w:rPr>
      </w:r>
      <w:r>
        <w:rPr>
          <w:spacing w:val="-2"/>
        </w:rPr>
        <w:t>虽然各方面对智能交通行业给予厚望，但公共事业支出仍然受到财政预算、宏观政策的影响，特别是国家高速公路路网和城</w:t>
      </w:r>
      <w:r>
        <w:rPr>
          <w:spacing w:val="-66"/>
        </w:rPr>
        <w:t> </w:t>
      </w:r>
      <w:r>
        <w:rPr>
          <w:spacing w:val="-66"/>
        </w:rPr>
      </w:r>
      <w:r>
        <w:rPr>
          <w:spacing w:val="-2"/>
        </w:rPr>
        <w:t>市道路设施的建设投入规划与公司的业务机会存在紧密联系。公司当前及未来一段时期的经营业绩仍然与各地高速公路建设</w:t>
      </w:r>
      <w:r>
        <w:rPr>
          <w:spacing w:val="-64"/>
        </w:rPr>
        <w:t> </w:t>
      </w:r>
      <w:r>
        <w:rPr>
          <w:spacing w:val="-64"/>
        </w:rPr>
      </w:r>
      <w:r>
        <w:rPr/>
        <w:t>进度密切相关。从智能交通产品品种来看，公司产品相对单一，对高速公路行业存在较大依赖，抵御市场风险的能力偏弱。</w:t>
      </w:r>
      <w:r>
        <w:rPr>
          <w:spacing w:val="-84"/>
        </w:rPr>
        <w:t> </w:t>
      </w:r>
      <w:r>
        <w:rPr>
          <w:spacing w:val="-84"/>
        </w:rPr>
      </w:r>
      <w:r>
        <w:rPr>
          <w:spacing w:val="-2"/>
        </w:rPr>
        <w:t>公司在多项新业务（智慧公路、车路协同、汽车电子标识、汽车电子行业）已有战略布局和技术储备，未来将加大市场开拓</w:t>
      </w:r>
      <w:r>
        <w:rPr>
          <w:spacing w:val="-68"/>
        </w:rPr>
        <w:t> </w:t>
      </w:r>
      <w:r>
        <w:rPr>
          <w:spacing w:val="-68"/>
        </w:rPr>
      </w:r>
      <w:r>
        <w:rPr/>
        <w:t>力度，积极培育成为新的业绩增长点。</w:t>
      </w:r>
    </w:p>
    <w:p>
      <w:pPr>
        <w:spacing w:line="338" w:lineRule="auto" w:before="58"/>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、行业政策对公司经营带来的风险</w:t>
      </w:r>
      <w:r>
        <w:rPr>
          <w:rFonts w:ascii="宋体" w:hAnsi="宋体" w:cs="宋体" w:eastAsia="宋体" w:hint="default"/>
          <w:b/>
          <w:bCs/>
          <w:w w:val="99"/>
          <w:sz w:val="18"/>
          <w:szCs w:val="18"/>
        </w:rPr>
        <w:t> </w:t>
      </w:r>
      <w:r>
        <w:rPr>
          <w:rFonts w:ascii="宋体" w:hAnsi="宋体" w:cs="宋体" w:eastAsia="宋体" w:hint="default"/>
          <w:spacing w:val="-2"/>
          <w:sz w:val="18"/>
          <w:szCs w:val="18"/>
        </w:rPr>
        <w:t>根据《公路法》及《收费公路管理条例》的有关规定，公路收费标准由政府制定，经营性公路的最长收费期限不得超过</w:t>
      </w:r>
    </w:p>
    <w:p>
      <w:pPr>
        <w:pStyle w:val="BodyText"/>
        <w:spacing w:line="240" w:lineRule="auto" w:before="2"/>
        <w:ind w:right="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年。近几年，国家陆续出台了二级公路免费试点等多项收费公路政策，特别是</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年交通运输部等五部委办联合开展的</w:t>
      </w:r>
    </w:p>
    <w:p>
      <w:pPr>
        <w:pStyle w:val="BodyText"/>
        <w:spacing w:line="300" w:lineRule="auto" w:before="63"/>
        <w:ind w:left="154" w:right="1130"/>
        <w:jc w:val="both"/>
      </w:pPr>
      <w:r>
        <w:rPr/>
        <w:t>收费公路专项清理工作和</w:t>
      </w:r>
      <w:r>
        <w:rPr>
          <w:rFonts w:ascii="Times New Roman" w:hAnsi="Times New Roman" w:cs="Times New Roman" w:eastAsia="Times New Roman" w:hint="default"/>
        </w:rPr>
        <w:t>“</w:t>
      </w:r>
      <w:r>
        <w:rPr/>
        <w:t>绿色通道</w:t>
      </w:r>
      <w:r>
        <w:rPr>
          <w:rFonts w:ascii="Times New Roman" w:hAnsi="Times New Roman" w:cs="Times New Roman" w:eastAsia="Times New Roman" w:hint="default"/>
        </w:rPr>
        <w:t>”</w:t>
      </w:r>
      <w:r>
        <w:rPr/>
        <w:t>政策，以及</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日出台的重大节假日免收小型客车通行费政策。</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12"/>
        </w:rPr>
        <w:t>年《交</w:t>
      </w:r>
      <w:r>
        <w:rPr/>
        <w:t> </w:t>
      </w:r>
      <w:r>
        <w:rPr>
          <w:spacing w:val="-3"/>
        </w:rPr>
        <w:t>通运输部关于开展全国高速公路电子不停车收费联网工作的通知》的出台对整个</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spacing w:val="-6"/>
        </w:rPr>
        <w:t>行业出现了较强的市场刺激，导致</w:t>
      </w:r>
      <w:r>
        <w:rPr>
          <w:spacing w:val="-46"/>
        </w:rPr>
        <w:t> </w:t>
      </w:r>
      <w:r>
        <w:rPr>
          <w:rFonts w:ascii="Times New Roman" w:hAnsi="Times New Roman" w:cs="Times New Roman" w:eastAsia="Times New Roman" w:hint="default"/>
        </w:rPr>
        <w:t>2015 </w:t>
      </w:r>
      <w:r>
        <w:rPr/>
        <w:t>年公司业绩增长迅速。但随着</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年上半年全国</w:t>
      </w:r>
      <w:r>
        <w:rPr>
          <w:spacing w:val="-61"/>
        </w:rPr>
        <w:t>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联网工程的基本结束，这一政策刺激的影响正在减弱。上述政策的变 化可能将对高速公路运营方的投资建设计划产生影响，进而影响对公司</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产品的采购量。</w:t>
      </w:r>
    </w:p>
    <w:p>
      <w:pPr>
        <w:pStyle w:val="BodyText"/>
        <w:spacing w:line="300" w:lineRule="auto" w:before="51"/>
        <w:ind w:left="154" w:right="1144" w:firstLine="360"/>
        <w:jc w:val="left"/>
      </w:pPr>
      <w:r>
        <w:rPr/>
        <w:t>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现代综合交通运输体系发展规划》中也提出</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年，公路客车</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使用率达</w:t>
      </w:r>
      <w:r>
        <w:rPr>
          <w:spacing w:val="-46"/>
        </w:rPr>
        <w:t> </w:t>
      </w:r>
      <w:r>
        <w:rPr>
          <w:rFonts w:ascii="Times New Roman" w:hAnsi="Times New Roman" w:cs="Times New Roman" w:eastAsia="Times New Roman" w:hint="default"/>
        </w:rPr>
        <w:t>50%</w:t>
      </w:r>
      <w:r>
        <w:rPr/>
        <w:t>，且</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要成为主 导的高速公路收费方式，这对</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行业及公司业务发展具有重大指导意义。同时，收费公路通行费营改增工作，更是突出</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2"/>
        <w:jc w:val="both"/>
      </w:pPr>
      <w:r>
        <w:rPr/>
        <w:t>了</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2"/>
        </w:rPr>
        <w:t> </w:t>
      </w:r>
      <w:r>
        <w:rPr/>
        <w:t>的重要地位，这都是</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2"/>
        </w:rPr>
        <w:t> </w:t>
      </w:r>
      <w:r>
        <w:rPr/>
        <w:t>行业和公司业务发展的机遇，使公司能有效抵抗政策风险。随着智慧公路和新一代国家交 通控制网、多义性路径识别、汽车电子标识等新一轮政策的集中发布，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年的政策支持力度进一步增大，对公司业绩起 到积极影响。</w:t>
      </w:r>
    </w:p>
    <w:p>
      <w:pPr>
        <w:pStyle w:val="BodyText"/>
        <w:spacing w:line="338" w:lineRule="auto" w:before="71"/>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、市场竞争风险</w:t>
      </w:r>
      <w:r>
        <w:rPr>
          <w:rFonts w:ascii="宋体" w:hAnsi="宋体" w:cs="宋体" w:eastAsia="宋体" w:hint="default"/>
          <w:b/>
          <w:bCs/>
          <w:w w:val="99"/>
        </w:rPr>
        <w:t> </w:t>
      </w:r>
      <w:r>
        <w:rPr>
          <w:spacing w:val="-2"/>
        </w:rPr>
        <w:t>公司所处的行业产品毛利率较高，但需要较高的研发投入支撑行业技术不断进步。虽然公司目前具有较强的技术优势和</w:t>
      </w:r>
    </w:p>
    <w:p>
      <w:pPr>
        <w:pStyle w:val="BodyText"/>
        <w:spacing w:line="319" w:lineRule="auto" w:before="2"/>
        <w:ind w:left="154" w:right="1130"/>
        <w:jc w:val="both"/>
      </w:pPr>
      <w:r>
        <w:rPr>
          <w:spacing w:val="-2"/>
        </w:rPr>
        <w:t>市场占有率的优势，但随着其他同行业厂商在市场拓展和技术研发的不断投入和积累，公司能否继续保持上述竞争优势存在</w:t>
      </w:r>
      <w:r>
        <w:rPr>
          <w:spacing w:val="-63"/>
        </w:rPr>
        <w:t> </w:t>
      </w:r>
      <w:r>
        <w:rPr>
          <w:spacing w:val="-63"/>
        </w:rPr>
      </w:r>
      <w:r>
        <w:rPr>
          <w:spacing w:val="-2"/>
        </w:rPr>
        <w:t>一定风险。随着市场竞争的程度增加，可能会影响公司的盈利能力。同时，市场上新进入者有可能会采用低价策略增加其市</w:t>
      </w:r>
      <w:r>
        <w:rPr>
          <w:spacing w:val="-66"/>
        </w:rPr>
        <w:t> </w:t>
      </w:r>
      <w:r>
        <w:rPr>
          <w:spacing w:val="-66"/>
        </w:rPr>
      </w:r>
      <w:r>
        <w:rPr/>
        <w:t>场份额，从而可能造成市场的平均价格的下滑，相应影响公司的盈利能力。</w:t>
      </w:r>
    </w:p>
    <w:p>
      <w:pPr>
        <w:pStyle w:val="BodyText"/>
        <w:spacing w:line="307" w:lineRule="auto" w:before="55"/>
        <w:ind w:right="1130" w:firstLine="360"/>
        <w:jc w:val="both"/>
      </w:pPr>
      <w:r>
        <w:rPr>
          <w:spacing w:val="-2"/>
        </w:rPr>
        <w:t>面对市场竞争风险，公司将持续</w:t>
      </w:r>
      <w:r>
        <w:rPr>
          <w:rFonts w:ascii="Times New Roman" w:hAnsi="Times New Roman" w:cs="Times New Roman" w:eastAsia="Times New Roman" w:hint="default"/>
          <w:spacing w:val="-2"/>
        </w:rPr>
        <w:t>“</w:t>
      </w:r>
      <w:r>
        <w:rPr>
          <w:spacing w:val="-2"/>
        </w:rPr>
        <w:t>固老拓新</w:t>
      </w:r>
      <w:r>
        <w:rPr>
          <w:rFonts w:ascii="Times New Roman" w:hAnsi="Times New Roman" w:cs="Times New Roman" w:eastAsia="Times New Roman" w:hint="default"/>
          <w:spacing w:val="-2"/>
        </w:rPr>
        <w:t>”</w:t>
      </w:r>
      <w:r>
        <w:rPr>
          <w:spacing w:val="-2"/>
        </w:rPr>
        <w:t>，通过有效的市场和产品策略、拓展新应用和推进前装业务，保持市场领先</w:t>
      </w:r>
      <w:r>
        <w:rPr/>
        <w:t> </w:t>
      </w:r>
      <w:r>
        <w:rPr>
          <w:spacing w:val="-2"/>
        </w:rPr>
        <w:t>优势和龙头地位。一方面会针对行业更激烈的竞争态势，在市场营销的网络、渠道、团队、策略等方面做好全面布局，及时</w:t>
      </w:r>
      <w:r>
        <w:rPr>
          <w:spacing w:val="-68"/>
        </w:rPr>
        <w:t> </w:t>
      </w:r>
      <w:r>
        <w:rPr>
          <w:spacing w:val="-68"/>
        </w:rPr>
      </w:r>
      <w:r>
        <w:rPr/>
        <w:t>变更市场策略；同时，在</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全国联网的形势下，用户规模和使用范围进一步扩大，对产品的功能、性价比、可靠性、支 </w:t>
      </w:r>
      <w:r>
        <w:rPr>
          <w:spacing w:val="-2"/>
        </w:rPr>
        <w:t>持和服务等，将提出更高的要求，公司将继续加大研发投入，持续改进产品和提升用户服务；另外，公司将根据行业最新发</w:t>
      </w:r>
      <w:r>
        <w:rPr>
          <w:spacing w:val="-66"/>
        </w:rPr>
        <w:t> </w:t>
      </w:r>
      <w:r>
        <w:rPr>
          <w:spacing w:val="-66"/>
        </w:rPr>
      </w:r>
      <w:r>
        <w:rPr/>
        <w:t>展态势，寻找新的发展机会，大力发展</w:t>
      </w:r>
      <w:r>
        <w:rPr>
          <w:spacing w:val="-66"/>
        </w:rPr>
        <w:t> </w:t>
      </w:r>
      <w:r>
        <w:rPr>
          <w:rFonts w:ascii="Times New Roman" w:hAnsi="Times New Roman" w:cs="Times New Roman" w:eastAsia="Times New Roman" w:hint="default"/>
        </w:rPr>
        <w:t>ETC</w:t>
      </w:r>
      <w:r>
        <w:rPr>
          <w:rFonts w:ascii="Times New Roman" w:hAnsi="Times New Roman" w:cs="Times New Roman" w:eastAsia="Times New Roman" w:hint="default"/>
          <w:spacing w:val="-21"/>
        </w:rPr>
        <w:t> </w:t>
      </w:r>
      <w:r>
        <w:rPr/>
        <w:t>联云充值业务、路径识别业务等新业务，开拓</w:t>
      </w:r>
      <w:r>
        <w:rPr>
          <w:spacing w:val="-65"/>
        </w:rPr>
        <w:t> </w:t>
      </w:r>
      <w:r>
        <w:rPr>
          <w:rFonts w:ascii="Times New Roman" w:hAnsi="Times New Roman" w:cs="Times New Roman" w:eastAsia="Times New Roman" w:hint="default"/>
        </w:rPr>
        <w:t>OBU</w:t>
      </w:r>
      <w:r>
        <w:rPr>
          <w:rFonts w:ascii="Times New Roman" w:hAnsi="Times New Roman" w:cs="Times New Roman" w:eastAsia="Times New Roman" w:hint="default"/>
          <w:spacing w:val="-21"/>
        </w:rPr>
        <w:t> </w:t>
      </w:r>
      <w:r>
        <w:rPr/>
        <w:t>前装市场、并积极进行车路 协同探索研究，积极参与国家智慧高速公路建设等项目，以</w:t>
      </w:r>
      <w:r>
        <w:rPr>
          <w:rFonts w:ascii="Times New Roman" w:hAnsi="Times New Roman" w:cs="Times New Roman" w:eastAsia="Times New Roman" w:hint="default"/>
        </w:rPr>
        <w:t>“</w:t>
      </w:r>
      <w:r>
        <w:rPr/>
        <w:t>多头并进</w:t>
      </w:r>
      <w:r>
        <w:rPr>
          <w:rFonts w:ascii="Times New Roman" w:hAnsi="Times New Roman" w:cs="Times New Roman" w:eastAsia="Times New Roman" w:hint="default"/>
        </w:rPr>
        <w:t>”</w:t>
      </w:r>
      <w:r>
        <w:rPr/>
        <w:t>的策略降低业务风险，打好</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进城的规模化用户 基础。</w:t>
      </w:r>
    </w:p>
    <w:p>
      <w:pPr>
        <w:pStyle w:val="Heading4"/>
        <w:spacing w:line="240" w:lineRule="auto" w:before="65"/>
        <w:ind w:right="1235"/>
        <w:jc w:val="left"/>
        <w:rPr>
          <w:b w:val="0"/>
          <w:bCs w:val="0"/>
        </w:rPr>
      </w:pPr>
      <w:r>
        <w:rPr>
          <w:rFonts w:ascii="Times New Roman" w:hAnsi="Times New Roman" w:cs="Times New Roman" w:eastAsia="Times New Roman" w:hint="default"/>
        </w:rPr>
        <w:t>6</w:t>
      </w:r>
      <w:r>
        <w:rPr/>
        <w:t>、新业务拓展及技术创新风险</w:t>
      </w:r>
      <w:r>
        <w:rPr>
          <w:b w:val="0"/>
          <w:bCs w:val="0"/>
        </w:rPr>
      </w:r>
    </w:p>
    <w:p>
      <w:pPr>
        <w:pStyle w:val="BodyText"/>
        <w:spacing w:line="314" w:lineRule="auto" w:before="102"/>
        <w:ind w:left="154" w:right="1131" w:firstLine="360"/>
        <w:jc w:val="both"/>
      </w:pPr>
      <w:r>
        <w:rPr/>
        <w:t>公司近年来积极发展新业务，将公司的产品从</w:t>
      </w:r>
      <w:r>
        <w:rPr>
          <w:spacing w:val="-61"/>
        </w:rPr>
        <w:t>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spacing w:val="-4"/>
        </w:rPr>
        <w:t>向智慧公路、车路协同、城市智慧停车、城市交通管理等方向延伸，</w:t>
      </w:r>
      <w:r>
        <w:rPr/>
        <w:t> </w:t>
      </w:r>
      <w:r>
        <w:rPr>
          <w:spacing w:val="-2"/>
        </w:rPr>
        <w:t>拓宽城市交通、车联网的应用场景，但上述新业务领域尚缺乏典型成功案例，市场对新技术新产品的接受程度不高，商业模</w:t>
      </w:r>
      <w:r>
        <w:rPr>
          <w:spacing w:val="-66"/>
        </w:rPr>
        <w:t> </w:t>
      </w:r>
      <w:r>
        <w:rPr>
          <w:spacing w:val="-66"/>
        </w:rPr>
      </w:r>
      <w:r>
        <w:rPr>
          <w:spacing w:val="-2"/>
        </w:rPr>
        <w:t>式尚未成熟，关键应用场景有待挖掘，同时，有些新技术还需经过大规模验证才能最终推向市场，这些问题成为制约上述技</w:t>
      </w:r>
      <w:r>
        <w:rPr>
          <w:spacing w:val="-66"/>
        </w:rPr>
        <w:t> </w:t>
      </w:r>
      <w:r>
        <w:rPr>
          <w:spacing w:val="-66"/>
        </w:rPr>
      </w:r>
      <w:r>
        <w:rPr>
          <w:spacing w:val="-2"/>
        </w:rPr>
        <w:t>术和产品大规模推广应用的重要原因，公司为新的业务发展投入大量资本和人力，如新业务市场拓展进度不如预期或公司的</w:t>
      </w:r>
      <w:r>
        <w:rPr>
          <w:spacing w:val="-64"/>
        </w:rPr>
        <w:t> </w:t>
      </w:r>
      <w:r>
        <w:rPr>
          <w:spacing w:val="-64"/>
        </w:rPr>
      </w:r>
      <w:r>
        <w:rPr>
          <w:spacing w:val="-2"/>
        </w:rPr>
        <w:t>技术创新最终未能被市场采纳，新增的技术研发及业务发展投入将对公司业绩造成拖累，公司业绩将可能出现剧烈下滑的风</w:t>
      </w:r>
      <w:r>
        <w:rPr>
          <w:spacing w:val="-64"/>
        </w:rPr>
        <w:t> </w:t>
      </w:r>
      <w:r>
        <w:rPr>
          <w:spacing w:val="-64"/>
        </w:rPr>
      </w:r>
      <w:r>
        <w:rPr/>
        <w:t>险。</w:t>
      </w:r>
    </w:p>
    <w:p>
      <w:pPr>
        <w:pStyle w:val="BodyText"/>
        <w:spacing w:line="319" w:lineRule="auto" w:before="59"/>
        <w:ind w:left="154" w:right="1130" w:firstLine="360"/>
        <w:jc w:val="both"/>
      </w:pPr>
      <w:r>
        <w:rPr>
          <w:spacing w:val="-2"/>
        </w:rPr>
        <w:t>上述风险是绝大多数新产品和新技术推广都必然面对的，针对上述风险，公司将在新业务拓展及新技术产品开发之前做</w:t>
      </w:r>
      <w:r>
        <w:rPr/>
        <w:t> </w:t>
      </w:r>
      <w:r>
        <w:rPr>
          <w:spacing w:val="-2"/>
        </w:rPr>
        <w:t>好市场调研，把握技术发展趋势和市场需求方向，制定精准的战略规划和市场策略，同时加强产学研用金合作及与行业上下</w:t>
      </w:r>
      <w:r>
        <w:rPr>
          <w:spacing w:val="-66"/>
        </w:rPr>
        <w:t> </w:t>
      </w:r>
      <w:r>
        <w:rPr>
          <w:spacing w:val="-66"/>
        </w:rPr>
      </w:r>
      <w:r>
        <w:rPr/>
        <w:t>游伙伴的合作来分散风险。</w:t>
      </w:r>
    </w:p>
    <w:p>
      <w:pPr>
        <w:spacing w:line="338" w:lineRule="auto" w:before="5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、应收账款发生坏账的风险</w:t>
      </w:r>
      <w:r>
        <w:rPr>
          <w:rFonts w:ascii="宋体" w:hAnsi="宋体" w:cs="宋体" w:eastAsia="宋体" w:hint="default"/>
          <w:b/>
          <w:bCs/>
          <w:w w:val="99"/>
          <w:sz w:val="18"/>
          <w:szCs w:val="18"/>
        </w:rPr>
        <w:t> </w:t>
      </w:r>
      <w:r>
        <w:rPr>
          <w:rFonts w:ascii="宋体" w:hAnsi="宋体" w:cs="宋体" w:eastAsia="宋体" w:hint="default"/>
          <w:spacing w:val="-2"/>
          <w:sz w:val="18"/>
          <w:szCs w:val="18"/>
        </w:rPr>
        <w:t>随着公司业务规模的扩大，公司应收账款的余额相应增长，应收账款管理难度加大。虽然公司的客户主要为交通管理部</w:t>
      </w:r>
    </w:p>
    <w:p>
      <w:pPr>
        <w:pStyle w:val="BodyText"/>
        <w:spacing w:line="319" w:lineRule="auto" w:before="2"/>
        <w:ind w:right="1130"/>
        <w:jc w:val="both"/>
      </w:pPr>
      <w:r>
        <w:rPr>
          <w:spacing w:val="-2"/>
        </w:rPr>
        <w:t>门、高速公路运营公司、系统集成商及银行，信誉良好，但业务合同的执行期及结算周期一般较长，应收账款仍存在回收周</w:t>
      </w:r>
      <w:r>
        <w:rPr>
          <w:spacing w:val="-66"/>
        </w:rPr>
        <w:t> </w:t>
      </w:r>
      <w:r>
        <w:rPr>
          <w:spacing w:val="-66"/>
        </w:rPr>
      </w:r>
      <w:r>
        <w:rPr>
          <w:spacing w:val="-2"/>
        </w:rPr>
        <w:t>期过长，甚至逾期情况，以及存在不能按期收回、甚至发生坏账的风险；公司应收账款较大，将加剧公司运营资金压力，应</w:t>
      </w:r>
      <w:r>
        <w:rPr>
          <w:spacing w:val="-67"/>
        </w:rPr>
        <w:t> </w:t>
      </w:r>
      <w:r>
        <w:rPr>
          <w:spacing w:val="-67"/>
        </w:rPr>
      </w:r>
      <w:r>
        <w:rPr/>
        <w:t>收账款发生损失将对公司的财务状况和经营成果产生不利影响。</w:t>
      </w:r>
    </w:p>
    <w:p>
      <w:pPr>
        <w:pStyle w:val="BodyText"/>
        <w:spacing w:line="319" w:lineRule="auto" w:before="55"/>
        <w:ind w:left="154" w:right="1133" w:firstLine="360"/>
        <w:jc w:val="both"/>
      </w:pPr>
      <w:r>
        <w:rPr>
          <w:spacing w:val="-2"/>
        </w:rPr>
        <w:t>针对上述风险，公司将进一步完善风险控制和制定政策约束，对销售人员进一步强化应收账款的考核指标；专门成立应</w:t>
      </w:r>
      <w:r>
        <w:rPr/>
        <w:t> 收账款催收小组，加强对应收账款的跟踪、催收，降低公司应收账款总额和坏账风险。</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235"/>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t>报告期内普通股利润分配政策，特别是现金分红政策的制定、执行或调整情况</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为完善和健全公司利润分配决策和监督机制，增加利润分配决策透明度和可操作性，积极回报投资者，引导投资者树立</w:t>
      </w:r>
    </w:p>
    <w:p>
      <w:pPr>
        <w:pStyle w:val="BodyText"/>
        <w:spacing w:line="316" w:lineRule="auto" w:before="2"/>
        <w:ind w:right="1048"/>
        <w:jc w:val="left"/>
      </w:pPr>
      <w:r>
        <w:rPr>
          <w:spacing w:val="-2"/>
        </w:rPr>
        <w:t>长期投资和理性投资理念，根据中国证监会《关于进一步落实上市公司现金分红有关事项的通知》、《上市公司监管指引第</w:t>
      </w:r>
      <w:r>
        <w:rPr>
          <w:spacing w:val="-66"/>
        </w:rPr>
        <w:t> </w:t>
      </w:r>
      <w:r>
        <w:rPr>
          <w:spacing w:val="-66"/>
        </w:rPr>
      </w:r>
      <w:r>
        <w:rPr>
          <w:rFonts w:ascii="宋体" w:hAnsi="宋体" w:cs="宋体" w:eastAsia="宋体" w:hint="default"/>
        </w:rPr>
        <w:t>3</w:t>
      </w:r>
      <w:r>
        <w:rPr>
          <w:rFonts w:ascii="宋体" w:hAnsi="宋体" w:cs="宋体" w:eastAsia="宋体" w:hint="default"/>
          <w:spacing w:val="-12"/>
        </w:rPr>
        <w:t> </w:t>
      </w:r>
      <w:r>
        <w:rPr/>
        <w:t>号</w:t>
      </w:r>
      <w:r>
        <w:rPr>
          <w:rFonts w:ascii="宋体" w:hAnsi="宋体" w:cs="宋体" w:eastAsia="宋体" w:hint="default"/>
        </w:rPr>
        <w:t>--</w:t>
      </w:r>
      <w:r>
        <w:rPr/>
        <w:t>上市公司现金分红》等文件精神和《公司章程》等相关规定，并综合考虑公司盈利能力、经营发展规划、股东回报、</w:t>
      </w:r>
      <w:r>
        <w:rPr>
          <w:spacing w:val="-82"/>
        </w:rPr>
        <w:t> </w:t>
      </w:r>
      <w:r>
        <w:rPr>
          <w:spacing w:val="-82"/>
        </w:rPr>
      </w:r>
      <w:r>
        <w:rPr/>
        <w:t>社会资金成本以及外部融资环境等因素，公司特制定了《深圳市金溢科技股份有限公司首次公开发行人民币普通股</w:t>
      </w:r>
      <w:r>
        <w:rPr>
          <w:rFonts w:ascii="宋体" w:hAnsi="宋体" w:cs="宋体" w:eastAsia="宋体" w:hint="default"/>
        </w:rPr>
        <w:t>(A</w:t>
      </w:r>
      <w:r>
        <w:rPr>
          <w:rFonts w:ascii="宋体" w:hAnsi="宋体" w:cs="宋体" w:eastAsia="宋体" w:hint="default"/>
          <w:spacing w:val="-58"/>
        </w:rPr>
        <w:t> </w:t>
      </w:r>
      <w:r>
        <w:rPr/>
        <w:t>股</w:t>
      </w:r>
      <w:r>
        <w:rPr>
          <w:rFonts w:ascii="宋体" w:hAnsi="宋体" w:cs="宋体" w:eastAsia="宋体" w:hint="default"/>
        </w:rPr>
        <w:t>)</w:t>
      </w:r>
      <w:r>
        <w:rPr/>
        <w:t>并 </w:t>
      </w:r>
      <w:r>
        <w:rPr>
          <w:spacing w:val="-3"/>
        </w:rPr>
        <w:t>上市后三年股东分红回报规划》，对</w:t>
      </w:r>
      <w:r>
        <w:rPr>
          <w:spacing w:val="-55"/>
        </w:rPr>
        <w:t> </w:t>
      </w:r>
      <w:r>
        <w:rPr>
          <w:rFonts w:ascii="宋体" w:hAnsi="宋体" w:cs="宋体" w:eastAsia="宋体" w:hint="default"/>
        </w:rPr>
        <w:t>2017</w:t>
      </w:r>
      <w:r>
        <w:rPr>
          <w:rFonts w:ascii="宋体" w:hAnsi="宋体" w:cs="宋体" w:eastAsia="宋体" w:hint="default"/>
          <w:spacing w:val="-54"/>
        </w:rPr>
        <w:t> </w:t>
      </w:r>
      <w:r>
        <w:rPr/>
        <w:t>年到</w:t>
      </w:r>
      <w:r>
        <w:rPr>
          <w:spacing w:val="-55"/>
        </w:rPr>
        <w:t> </w:t>
      </w:r>
      <w:r>
        <w:rPr>
          <w:rFonts w:ascii="宋体" w:hAnsi="宋体" w:cs="宋体" w:eastAsia="宋体" w:hint="default"/>
        </w:rPr>
        <w:t>2019</w:t>
      </w:r>
      <w:r>
        <w:rPr>
          <w:rFonts w:ascii="宋体" w:hAnsi="宋体" w:cs="宋体" w:eastAsia="宋体" w:hint="default"/>
          <w:spacing w:val="-55"/>
        </w:rPr>
        <w:t> </w:t>
      </w:r>
      <w:r>
        <w:rPr/>
        <w:t>年期间公司的利润分配形式、利润分配周期、利润分配比例和利润分配</w:t>
      </w:r>
    </w:p>
    <w:p>
      <w:pPr>
        <w:pStyle w:val="BodyText"/>
        <w:spacing w:line="240" w:lineRule="auto" w:before="19"/>
        <w:ind w:right="0"/>
        <w:jc w:val="left"/>
      </w:pPr>
      <w:r>
        <w:rPr/>
        <w:t>方案提出了明确的要求。该规划已经公司第一届董事会第五次会议和</w:t>
      </w:r>
      <w:r>
        <w:rPr>
          <w:spacing w:val="-45"/>
        </w:rPr>
        <w:t> </w:t>
      </w:r>
      <w:r>
        <w:rPr>
          <w:rFonts w:ascii="宋体" w:hAnsi="宋体" w:cs="宋体" w:eastAsia="宋体" w:hint="default"/>
        </w:rPr>
        <w:t>2015</w:t>
      </w:r>
      <w:r>
        <w:rPr>
          <w:rFonts w:ascii="宋体" w:hAnsi="宋体" w:cs="宋体" w:eastAsia="宋体" w:hint="default"/>
          <w:spacing w:val="-46"/>
        </w:rPr>
        <w:t> </w:t>
      </w:r>
      <w:r>
        <w:rPr/>
        <w:t>年第一次临时股东大会审议通过。详情请见公司</w:t>
      </w:r>
    </w:p>
    <w:p>
      <w:pPr>
        <w:pStyle w:val="BodyText"/>
        <w:spacing w:line="240" w:lineRule="auto" w:before="77"/>
        <w:ind w:right="1235"/>
        <w:jc w:val="left"/>
      </w:pPr>
      <w:r>
        <w:rPr/>
        <w:t>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6"/>
        </w:rPr>
        <w:t> </w:t>
      </w:r>
      <w:r>
        <w:rPr/>
        <w:t>月</w:t>
      </w:r>
      <w:r>
        <w:rPr>
          <w:spacing w:val="-45"/>
        </w:rPr>
        <w:t> </w:t>
      </w:r>
      <w:r>
        <w:rPr>
          <w:rFonts w:ascii="宋体" w:hAnsi="宋体" w:cs="宋体" w:eastAsia="宋体" w:hint="default"/>
        </w:rPr>
        <w:t>28</w:t>
      </w:r>
      <w:r>
        <w:rPr>
          <w:rFonts w:ascii="宋体" w:hAnsi="宋体" w:cs="宋体" w:eastAsia="宋体" w:hint="default"/>
          <w:spacing w:val="-46"/>
        </w:rPr>
        <w:t> </w:t>
      </w:r>
      <w:r>
        <w:rPr/>
        <w:t>日在巨潮资讯网（</w:t>
      </w:r>
      <w:r>
        <w:rPr>
          <w:rFonts w:ascii="宋体" w:hAnsi="宋体" w:cs="宋体" w:eastAsia="宋体" w:hint="default"/>
        </w:rPr>
        <w:t>http://www.cninfo.com.cn)</w:t>
      </w:r>
      <w:r>
        <w:rPr/>
        <w:t>上披露的《首次公开发行股票招股说明书》。</w:t>
      </w:r>
    </w:p>
    <w:p>
      <w:pPr>
        <w:pStyle w:val="BodyText"/>
        <w:spacing w:line="316" w:lineRule="auto" w:before="115"/>
        <w:ind w:right="1131" w:firstLine="360"/>
        <w:jc w:val="both"/>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9</w:t>
      </w:r>
      <w:r>
        <w:rPr/>
        <w:t>日，公司召开第一届董事会第二十三次会议，审议通过了《</w:t>
      </w:r>
      <w:r>
        <w:rPr>
          <w:rFonts w:ascii="宋体" w:hAnsi="宋体" w:cs="宋体" w:eastAsia="宋体" w:hint="default"/>
        </w:rPr>
        <w:t>2016</w:t>
      </w:r>
      <w:r>
        <w:rPr/>
        <w:t>年年度利润分配方案》，以截至</w:t>
      </w:r>
      <w:r>
        <w:rPr>
          <w:rFonts w:ascii="宋体" w:hAnsi="宋体" w:cs="宋体" w:eastAsia="宋体" w:hint="default"/>
        </w:rPr>
        <w:t>2016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88,280,000</w:t>
      </w:r>
      <w:r>
        <w:rPr>
          <w:spacing w:val="-2"/>
        </w:rPr>
        <w:t>股为基数，向全体股东以每</w:t>
      </w:r>
      <w:r>
        <w:rPr>
          <w:rFonts w:ascii="宋体" w:hAnsi="宋体" w:cs="宋体" w:eastAsia="宋体" w:hint="default"/>
          <w:spacing w:val="-2"/>
        </w:rPr>
        <w:t>10</w:t>
      </w:r>
      <w:r>
        <w:rPr>
          <w:spacing w:val="-2"/>
        </w:rPr>
        <w:t>股派发人民币</w:t>
      </w:r>
      <w:r>
        <w:rPr>
          <w:rFonts w:ascii="宋体" w:hAnsi="宋体" w:cs="宋体" w:eastAsia="宋体" w:hint="default"/>
          <w:spacing w:val="-2"/>
        </w:rPr>
        <w:t>3.00</w:t>
      </w:r>
      <w:r>
        <w:rPr>
          <w:spacing w:val="-2"/>
        </w:rPr>
        <w:t>元（含税）的现金红利，合计派发现金红利</w:t>
      </w:r>
      <w:r>
        <w:rPr>
          <w:spacing w:val="-46"/>
        </w:rPr>
        <w:t> </w:t>
      </w:r>
      <w:r>
        <w:rPr>
          <w:spacing w:val="-46"/>
        </w:rPr>
      </w:r>
      <w:r>
        <w:rPr/>
        <w:t>人民币</w:t>
      </w:r>
      <w:r>
        <w:rPr>
          <w:rFonts w:ascii="宋体" w:hAnsi="宋体" w:cs="宋体" w:eastAsia="宋体" w:hint="default"/>
        </w:rPr>
        <w:t>26,484,000.00</w:t>
      </w:r>
      <w:r>
        <w:rPr/>
        <w:t>元，不送红股，不进行资本公积金转增股本，剩余未分配利润</w:t>
      </w:r>
      <w:r>
        <w:rPr>
          <w:rFonts w:ascii="宋体" w:hAnsi="宋体" w:cs="宋体" w:eastAsia="宋体" w:hint="default"/>
        </w:rPr>
        <w:t>204,632,258.37</w:t>
      </w:r>
      <w:r>
        <w:rPr/>
        <w:t>元结转下一年度。</w:t>
      </w:r>
      <w:r>
        <w:rPr>
          <w:rFonts w:ascii="宋体" w:hAnsi="宋体" w:cs="宋体" w:eastAsia="宋体" w:hint="default"/>
        </w:rPr>
        <w:t>2017 </w:t>
      </w:r>
      <w:r>
        <w:rPr/>
        <w:t>年</w:t>
      </w:r>
      <w:r>
        <w:rPr>
          <w:rFonts w:ascii="宋体" w:hAnsi="宋体" w:cs="宋体" w:eastAsia="宋体" w:hint="default"/>
        </w:rPr>
        <w:t>3</w:t>
      </w:r>
      <w:r>
        <w:rPr/>
        <w:t>月</w:t>
      </w:r>
      <w:r>
        <w:rPr>
          <w:rFonts w:ascii="宋体" w:hAnsi="宋体" w:cs="宋体" w:eastAsia="宋体" w:hint="default"/>
        </w:rPr>
        <w:t>2</w:t>
      </w:r>
      <w:r>
        <w:rPr/>
        <w:t>日，公司召开</w:t>
      </w:r>
      <w:r>
        <w:rPr>
          <w:rFonts w:ascii="宋体" w:hAnsi="宋体" w:cs="宋体" w:eastAsia="宋体" w:hint="default"/>
        </w:rPr>
        <w:t>2016</w:t>
      </w:r>
      <w:r>
        <w:rPr/>
        <w:t>年年度股东大会批准了上述利润分配方案，上述利润分配已于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w:t>
      </w:r>
      <w:r>
        <w:rPr/>
        <w:t>日实施完毕。</w:t>
      </w:r>
    </w:p>
    <w:p>
      <w:pPr>
        <w:pStyle w:val="BodyText"/>
        <w:spacing w:line="319" w:lineRule="auto" w:before="19"/>
        <w:ind w:right="1040" w:firstLine="360"/>
        <w:jc w:val="left"/>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22</w:t>
      </w:r>
      <w:r>
        <w:rPr/>
        <w:t>日，公司召开第二届董事会第七次会议，审议通过了《</w:t>
      </w:r>
      <w:r>
        <w:rPr>
          <w:rFonts w:ascii="宋体" w:hAnsi="宋体" w:cs="宋体" w:eastAsia="宋体" w:hint="default"/>
        </w:rPr>
        <w:t>2017</w:t>
      </w:r>
      <w:r>
        <w:rPr/>
        <w:t>年半年度利润分配预案》，以截至</w:t>
      </w:r>
      <w:r>
        <w:rPr>
          <w:rFonts w:ascii="宋体" w:hAnsi="宋体" w:cs="宋体" w:eastAsia="宋体" w:hint="default"/>
        </w:rPr>
        <w:t>2017 </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日的总股本</w:t>
      </w:r>
      <w:r>
        <w:rPr>
          <w:rFonts w:ascii="宋体" w:hAnsi="宋体" w:cs="宋体" w:eastAsia="宋体" w:hint="default"/>
          <w:spacing w:val="-2"/>
        </w:rPr>
        <w:t>117,800,000</w:t>
      </w:r>
      <w:r>
        <w:rPr>
          <w:spacing w:val="-2"/>
        </w:rPr>
        <w:t>股为基数，向全体股东以每</w:t>
      </w:r>
      <w:r>
        <w:rPr>
          <w:rFonts w:ascii="宋体" w:hAnsi="宋体" w:cs="宋体" w:eastAsia="宋体" w:hint="default"/>
          <w:spacing w:val="-2"/>
        </w:rPr>
        <w:t>10</w:t>
      </w:r>
      <w:r>
        <w:rPr>
          <w:spacing w:val="-2"/>
        </w:rPr>
        <w:t>股派发人民币</w:t>
      </w:r>
      <w:r>
        <w:rPr>
          <w:rFonts w:ascii="宋体" w:hAnsi="宋体" w:cs="宋体" w:eastAsia="宋体" w:hint="default"/>
          <w:spacing w:val="-2"/>
        </w:rPr>
        <w:t>2.00</w:t>
      </w:r>
      <w:r>
        <w:rPr>
          <w:spacing w:val="-2"/>
        </w:rPr>
        <w:t>元（含税）的现金红利，合计派发现金红利</w:t>
      </w:r>
      <w:r>
        <w:rPr>
          <w:spacing w:val="-46"/>
        </w:rPr>
        <w:t> </w:t>
      </w:r>
      <w:r>
        <w:rPr>
          <w:spacing w:val="-46"/>
        </w:rPr>
      </w:r>
      <w:r>
        <w:rPr/>
        <w:t>人民币</w:t>
      </w:r>
      <w:r>
        <w:rPr>
          <w:rFonts w:ascii="宋体" w:hAnsi="宋体" w:cs="宋体" w:eastAsia="宋体" w:hint="default"/>
        </w:rPr>
        <w:t>23,560,000.00</w:t>
      </w:r>
      <w:r>
        <w:rPr/>
        <w:t>元，不送红股，不进行资本公积金转增股本，剩余未分配利润</w:t>
      </w:r>
      <w:r>
        <w:rPr>
          <w:rFonts w:ascii="宋体" w:hAnsi="宋体" w:cs="宋体" w:eastAsia="宋体" w:hint="default"/>
        </w:rPr>
        <w:t>234,689,722.56</w:t>
      </w:r>
      <w:r>
        <w:rPr/>
        <w:t>元结转下一年度。</w:t>
      </w:r>
      <w:r>
        <w:rPr>
          <w:rFonts w:ascii="宋体" w:hAnsi="宋体" w:cs="宋体" w:eastAsia="宋体" w:hint="default"/>
        </w:rPr>
        <w:t>2017 </w:t>
      </w:r>
      <w:r>
        <w:rPr/>
        <w:t>年</w:t>
      </w:r>
      <w:r>
        <w:rPr>
          <w:rFonts w:ascii="宋体" w:hAnsi="宋体" w:cs="宋体" w:eastAsia="宋体" w:hint="default"/>
        </w:rPr>
        <w:t>10</w:t>
      </w:r>
      <w:r>
        <w:rPr/>
        <w:t>月</w:t>
      </w:r>
      <w:r>
        <w:rPr>
          <w:rFonts w:ascii="宋体" w:hAnsi="宋体" w:cs="宋体" w:eastAsia="宋体" w:hint="default"/>
        </w:rPr>
        <w:t>13</w:t>
      </w:r>
      <w:r>
        <w:rPr/>
        <w:t>日，公司召开</w:t>
      </w:r>
      <w:r>
        <w:rPr>
          <w:rFonts w:ascii="宋体" w:hAnsi="宋体" w:cs="宋体" w:eastAsia="宋体" w:hint="default"/>
        </w:rPr>
        <w:t>2017</w:t>
      </w:r>
      <w:r>
        <w:rPr/>
        <w:t>年第三次临时股东大会批准了上述利润分配预案。上述利润分配已于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27</w:t>
      </w:r>
      <w:r>
        <w:rPr/>
        <w:t>日实施完毕，</w:t>
      </w:r>
      <w:r>
        <w:rPr>
          <w:spacing w:val="-84"/>
        </w:rPr>
        <w:t> </w:t>
      </w:r>
      <w:r>
        <w:rPr/>
        <w:t>详情请见公司于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日发布的《关于</w:t>
      </w:r>
      <w:r>
        <w:rPr>
          <w:rFonts w:ascii="宋体" w:hAnsi="宋体" w:cs="宋体" w:eastAsia="宋体" w:hint="default"/>
        </w:rPr>
        <w:t>2017</w:t>
      </w:r>
      <w:r>
        <w:rPr/>
        <w:t>年半年度权益分派实施的公告》（公告编号：</w:t>
      </w:r>
      <w:r>
        <w:rPr>
          <w:rFonts w:ascii="宋体" w:hAnsi="宋体" w:cs="宋体" w:eastAsia="宋体" w:hint="default"/>
        </w:rPr>
        <w:t>2017-048</w:t>
      </w:r>
      <w:r>
        <w:rPr/>
        <w:t>）。</w:t>
      </w:r>
    </w:p>
    <w:p>
      <w:pPr>
        <w:pStyle w:val="BodyText"/>
        <w:spacing w:line="240" w:lineRule="auto" w:before="17"/>
        <w:ind w:left="513" w:right="0"/>
        <w:jc w:val="left"/>
      </w:pPr>
      <w:r>
        <w:rPr/>
        <w:t>报告期内</w:t>
      </w:r>
      <w:r>
        <w:rPr>
          <w:spacing w:val="-88"/>
        </w:rPr>
        <w:t>，</w:t>
      </w:r>
      <w:r>
        <w:rPr/>
        <w:t>公司利润分</w:t>
      </w:r>
      <w:r>
        <w:rPr>
          <w:spacing w:val="-1"/>
        </w:rPr>
        <w:t>配</w:t>
      </w:r>
      <w:r>
        <w:rPr/>
        <w:t>政策的制定及执行情况</w:t>
      </w:r>
      <w:r>
        <w:rPr>
          <w:spacing w:val="-88"/>
        </w:rPr>
        <w:t>，</w:t>
      </w:r>
      <w:r>
        <w:rPr/>
        <w:t>符合中国证监</w:t>
      </w:r>
      <w:r>
        <w:rPr>
          <w:spacing w:val="-88"/>
        </w:rPr>
        <w:t>会</w:t>
      </w:r>
      <w:r>
        <w:rPr/>
        <w:t>《关于进一步落实上市公司现金分红有关事项的通知</w:t>
      </w:r>
      <w:r>
        <w:rPr>
          <w:spacing w:val="-88"/>
        </w:rPr>
        <w:t>》</w:t>
      </w:r>
      <w:r>
        <w:rPr/>
        <w:t>、</w:t>
      </w:r>
    </w:p>
    <w:p>
      <w:pPr>
        <w:pStyle w:val="BodyText"/>
        <w:spacing w:line="316" w:lineRule="auto" w:before="76"/>
        <w:ind w:right="1123"/>
        <w:jc w:val="left"/>
      </w:pPr>
      <w:r>
        <w:rPr/>
        <w:t>《上市公司监管指引第</w:t>
      </w:r>
      <w:r>
        <w:rPr>
          <w:rFonts w:ascii="宋体" w:hAnsi="宋体" w:cs="宋体" w:eastAsia="宋体" w:hint="default"/>
        </w:rPr>
        <w:t>3</w:t>
      </w:r>
      <w:r>
        <w:rPr/>
        <w:t>号</w:t>
      </w:r>
      <w:r>
        <w:rPr>
          <w:rFonts w:ascii="宋体" w:hAnsi="宋体" w:cs="宋体" w:eastAsia="宋体" w:hint="default"/>
        </w:rPr>
        <w:t>--</w:t>
      </w:r>
      <w:r>
        <w:rPr/>
        <w:t>上市公司现金分红》和《公司章程》等相关规定，分红标准和比例明确清晰，相关决策程序和 机制完备，独立董事尽职履责，充分维护了中小股东的合法权益。</w:t>
      </w: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0"/>
        <w:ind w:left="154" w:right="123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513" w:right="123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年度利润分配预案</w:t>
      </w:r>
    </w:p>
    <w:p>
      <w:pPr>
        <w:pStyle w:val="BodyText"/>
        <w:spacing w:line="240" w:lineRule="auto" w:before="101"/>
        <w:ind w:left="514" w:right="0"/>
        <w:jc w:val="left"/>
      </w:pPr>
      <w:r>
        <w:rPr/>
        <w:t>以公司现有总股本</w:t>
      </w:r>
      <w:r>
        <w:rPr>
          <w:spacing w:val="-47"/>
        </w:rPr>
        <w:t> </w:t>
      </w:r>
      <w:r>
        <w:rPr>
          <w:rFonts w:ascii="Times New Roman" w:hAnsi="Times New Roman" w:cs="Times New Roman" w:eastAsia="Times New Roman" w:hint="default"/>
        </w:rPr>
        <w:t>117,800,000</w:t>
      </w:r>
      <w:r>
        <w:rPr>
          <w:rFonts w:ascii="Times New Roman" w:hAnsi="Times New Roman" w:cs="Times New Roman" w:eastAsia="Times New Roman" w:hint="default"/>
          <w:spacing w:val="-10"/>
        </w:rPr>
        <w:t> </w:t>
      </w:r>
      <w:r>
        <w:rPr/>
        <w:t>股为基数，向全体股东以每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股派发人民币</w:t>
      </w:r>
      <w:r>
        <w:rPr>
          <w:spacing w:val="-47"/>
        </w:rPr>
        <w:t> </w:t>
      </w:r>
      <w:r>
        <w:rPr>
          <w:rFonts w:ascii="Times New Roman" w:hAnsi="Times New Roman" w:cs="Times New Roman" w:eastAsia="Times New Roman" w:hint="default"/>
        </w:rPr>
        <w:t>3.00</w:t>
      </w:r>
      <w:r>
        <w:rPr>
          <w:rFonts w:ascii="Times New Roman" w:hAnsi="Times New Roman" w:cs="Times New Roman" w:eastAsia="Times New Roman" w:hint="default"/>
          <w:spacing w:val="-10"/>
        </w:rPr>
        <w:t> </w:t>
      </w:r>
      <w:r>
        <w:rPr/>
        <w:t>元（含税）的现金红利，合计派发现</w:t>
      </w:r>
    </w:p>
    <w:p>
      <w:pPr>
        <w:pStyle w:val="BodyText"/>
        <w:spacing w:line="338" w:lineRule="auto" w:before="64"/>
        <w:ind w:left="513" w:right="1118" w:hanging="360"/>
        <w:jc w:val="left"/>
      </w:pPr>
      <w:r>
        <w:rPr/>
        <w:t>金红利</w:t>
      </w:r>
      <w:r>
        <w:rPr>
          <w:spacing w:val="-47"/>
        </w:rPr>
        <w:t> </w:t>
      </w:r>
      <w:r>
        <w:rPr>
          <w:rFonts w:ascii="Times New Roman" w:hAnsi="Times New Roman" w:cs="Times New Roman" w:eastAsia="Times New Roman" w:hint="default"/>
        </w:rPr>
        <w:t>35,340,000.00</w:t>
      </w:r>
      <w:r>
        <w:rPr>
          <w:rFonts w:ascii="Times New Roman" w:hAnsi="Times New Roman" w:cs="Times New Roman" w:eastAsia="Times New Roman" w:hint="default"/>
          <w:spacing w:val="-10"/>
        </w:rPr>
        <w:t> </w:t>
      </w:r>
      <w:r>
        <w:rPr/>
        <w:t>元，不送红股，不进行资本公积金转增股本。剩余未分配利润</w:t>
      </w:r>
      <w:r>
        <w:rPr>
          <w:spacing w:val="-47"/>
        </w:rPr>
        <w:t> </w:t>
      </w:r>
      <w:r>
        <w:rPr>
          <w:rFonts w:ascii="Times New Roman" w:hAnsi="Times New Roman" w:cs="Times New Roman" w:eastAsia="Times New Roman" w:hint="default"/>
        </w:rPr>
        <w:t>228,399,944.51</w:t>
      </w:r>
      <w:r>
        <w:rPr>
          <w:rFonts w:ascii="Times New Roman" w:hAnsi="Times New Roman" w:cs="Times New Roman" w:eastAsia="Times New Roman" w:hint="default"/>
          <w:spacing w:val="-9"/>
        </w:rPr>
        <w:t> </w:t>
      </w:r>
      <w:r>
        <w:rPr/>
        <w:t>元结转下一年度。 </w:t>
      </w:r>
      <w:r>
        <w:rPr>
          <w:spacing w:val="-5"/>
        </w:rPr>
        <w:t>若在分配方案实施前公司总股本由于可转债转股、股份回购、股权激励行权、再融资新增股份上市等原因而发生变化的，</w:t>
      </w:r>
    </w:p>
    <w:p>
      <w:pPr>
        <w:pStyle w:val="BodyText"/>
        <w:spacing w:line="240" w:lineRule="auto" w:before="4"/>
        <w:ind w:right="1235"/>
        <w:jc w:val="left"/>
      </w:pPr>
      <w:r>
        <w:rPr/>
        <w:t>分配比例将按分派总额不变的原则相应调整。</w:t>
      </w:r>
    </w:p>
    <w:p>
      <w:pPr>
        <w:spacing w:after="0" w:line="240" w:lineRule="auto"/>
        <w:jc w:val="left"/>
        <w:sectPr>
          <w:headerReference w:type="default" r:id="rId12"/>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513" w:right="123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年半年度利润分配方案</w:t>
      </w:r>
    </w:p>
    <w:p>
      <w:pPr>
        <w:pStyle w:val="BodyText"/>
        <w:spacing w:line="240" w:lineRule="auto" w:before="101"/>
        <w:ind w:left="514" w:right="0"/>
        <w:jc w:val="left"/>
      </w:pPr>
      <w:r>
        <w:rPr/>
        <w:t>以截至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日的</w:t>
      </w:r>
      <w:r>
        <w:rPr>
          <w:spacing w:val="1"/>
        </w:rPr>
        <w:t>总</w:t>
      </w:r>
      <w:r>
        <w:rPr/>
        <w:t>股本</w:t>
      </w:r>
      <w:r>
        <w:rPr>
          <w:spacing w:val="-46"/>
        </w:rPr>
        <w:t> </w:t>
      </w:r>
      <w:r>
        <w:rPr>
          <w:rFonts w:ascii="Times New Roman" w:hAnsi="Times New Roman" w:cs="Times New Roman" w:eastAsia="Times New Roman" w:hint="default"/>
        </w:rPr>
        <w:t>117,800,0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股为基数</w:t>
      </w:r>
      <w:r>
        <w:rPr>
          <w:spacing w:val="-85"/>
        </w:rPr>
        <w:t>，</w:t>
      </w:r>
      <w:r>
        <w:rPr/>
        <w:t>向全体股东以每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股派发人民币</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spacing w:val="-85"/>
        </w:rPr>
        <w:t>元</w:t>
      </w:r>
      <w:r>
        <w:rPr/>
        <w:t>（含税</w:t>
      </w:r>
      <w:r>
        <w:rPr>
          <w:spacing w:val="-85"/>
        </w:rPr>
        <w:t>）</w:t>
      </w:r>
      <w:r>
        <w:rPr/>
        <w:t>的现金红利，</w:t>
      </w:r>
    </w:p>
    <w:p>
      <w:pPr>
        <w:pStyle w:val="BodyText"/>
        <w:spacing w:line="302" w:lineRule="auto" w:before="63"/>
        <w:ind w:left="154" w:right="1122"/>
        <w:jc w:val="left"/>
      </w:pPr>
      <w:r>
        <w:rPr/>
        <w:t>合计派发现金红利人民币</w:t>
      </w:r>
      <w:r>
        <w:rPr>
          <w:spacing w:val="-43"/>
        </w:rPr>
        <w:t> </w:t>
      </w:r>
      <w:r>
        <w:rPr>
          <w:rFonts w:ascii="Times New Roman" w:hAnsi="Times New Roman" w:cs="Times New Roman" w:eastAsia="Times New Roman" w:hint="default"/>
        </w:rPr>
        <w:t>23,560,000.00</w:t>
      </w:r>
      <w:r>
        <w:rPr>
          <w:rFonts w:ascii="Times New Roman" w:hAnsi="Times New Roman" w:cs="Times New Roman" w:eastAsia="Times New Roman" w:hint="default"/>
          <w:spacing w:val="-7"/>
        </w:rPr>
        <w:t> </w:t>
      </w:r>
      <w:r>
        <w:rPr>
          <w:spacing w:val="-3"/>
        </w:rPr>
        <w:t>元，不送红股，不进行资本公积金转增股本，剩余未分配利润</w:t>
      </w:r>
      <w:r>
        <w:rPr>
          <w:spacing w:val="-42"/>
        </w:rPr>
        <w:t> </w:t>
      </w:r>
      <w:r>
        <w:rPr>
          <w:rFonts w:ascii="Times New Roman" w:hAnsi="Times New Roman" w:cs="Times New Roman" w:eastAsia="Times New Roman" w:hint="default"/>
        </w:rPr>
        <w:t>234,689,722.56</w:t>
      </w:r>
      <w:r>
        <w:rPr>
          <w:rFonts w:ascii="Times New Roman" w:hAnsi="Times New Roman" w:cs="Times New Roman" w:eastAsia="Times New Roman" w:hint="default"/>
          <w:spacing w:val="-7"/>
        </w:rPr>
        <w:t> </w:t>
      </w:r>
      <w:r>
        <w:rPr/>
        <w:t>元结转 下一年度。</w:t>
      </w:r>
    </w:p>
    <w:p>
      <w:pPr>
        <w:pStyle w:val="BodyText"/>
        <w:spacing w:line="240" w:lineRule="auto" w:before="71"/>
        <w:ind w:left="514" w:right="123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年度利润分配方案</w:t>
      </w:r>
    </w:p>
    <w:p>
      <w:pPr>
        <w:pStyle w:val="BodyText"/>
        <w:spacing w:line="240" w:lineRule="auto" w:before="101"/>
        <w:ind w:left="514" w:right="0"/>
        <w:jc w:val="left"/>
      </w:pPr>
      <w:r>
        <w:rPr/>
        <w:t>以截至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日的总股本</w:t>
      </w:r>
      <w:r>
        <w:rPr>
          <w:spacing w:val="-47"/>
        </w:rPr>
        <w:t> </w:t>
      </w:r>
      <w:r>
        <w:rPr>
          <w:rFonts w:ascii="Times New Roman" w:hAnsi="Times New Roman" w:cs="Times New Roman" w:eastAsia="Times New Roman" w:hint="default"/>
        </w:rPr>
        <w:t>88,280,000</w:t>
      </w:r>
      <w:r>
        <w:rPr>
          <w:rFonts w:ascii="Times New Roman" w:hAnsi="Times New Roman" w:cs="Times New Roman" w:eastAsia="Times New Roman" w:hint="default"/>
          <w:spacing w:val="-10"/>
        </w:rPr>
        <w:t> </w:t>
      </w:r>
      <w:r>
        <w:rPr/>
        <w:t>股为基数，向全体股东以每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股派发人民币</w:t>
      </w:r>
      <w:r>
        <w:rPr>
          <w:spacing w:val="-18"/>
        </w:rPr>
        <w:t> </w:t>
      </w:r>
      <w:r>
        <w:rPr>
          <w:rFonts w:ascii="Times New Roman" w:hAnsi="Times New Roman" w:cs="Times New Roman" w:eastAsia="Times New Roman" w:hint="default"/>
        </w:rPr>
        <w:t>3.00</w:t>
      </w:r>
      <w:r>
        <w:rPr>
          <w:rFonts w:ascii="Times New Roman" w:hAnsi="Times New Roman" w:cs="Times New Roman" w:eastAsia="Times New Roman" w:hint="default"/>
          <w:spacing w:val="-10"/>
        </w:rPr>
        <w:t> </w:t>
      </w:r>
      <w:r>
        <w:rPr/>
        <w:t>元（含税）的现金红</w:t>
      </w:r>
    </w:p>
    <w:p>
      <w:pPr>
        <w:pStyle w:val="BodyText"/>
        <w:spacing w:line="240" w:lineRule="auto" w:before="63"/>
        <w:ind w:left="154" w:right="1235"/>
        <w:jc w:val="left"/>
        <w:rPr>
          <w:rFonts w:ascii="Times New Roman" w:hAnsi="Times New Roman" w:cs="Times New Roman" w:eastAsia="Times New Roman" w:hint="default"/>
        </w:rPr>
      </w:pPr>
      <w:r>
        <w:rPr/>
        <w:t>利，合计派发现金红利人民币</w:t>
      </w:r>
      <w:r>
        <w:rPr>
          <w:spacing w:val="-48"/>
        </w:rPr>
        <w:t> </w:t>
      </w:r>
      <w:r>
        <w:rPr>
          <w:rFonts w:ascii="Times New Roman" w:hAnsi="Times New Roman" w:cs="Times New Roman" w:eastAsia="Times New Roman" w:hint="default"/>
        </w:rPr>
        <w:t>26,484,000.00</w:t>
      </w:r>
      <w:r>
        <w:rPr>
          <w:rFonts w:ascii="Times New Roman" w:hAnsi="Times New Roman" w:cs="Times New Roman" w:eastAsia="Times New Roman" w:hint="default"/>
          <w:spacing w:val="-10"/>
        </w:rPr>
        <w:t> </w:t>
      </w:r>
      <w:r>
        <w:rPr/>
        <w:t>元，不送红股，不进行资本公积金转增股本，剩余未分配利润</w:t>
      </w:r>
      <w:r>
        <w:rPr>
          <w:spacing w:val="-47"/>
        </w:rPr>
        <w:t> </w:t>
      </w:r>
      <w:r>
        <w:rPr>
          <w:rFonts w:ascii="Times New Roman" w:hAnsi="Times New Roman" w:cs="Times New Roman" w:eastAsia="Times New Roman" w:hint="default"/>
        </w:rPr>
        <w:t>204,632,258.37</w:t>
      </w:r>
    </w:p>
    <w:p>
      <w:pPr>
        <w:pStyle w:val="BodyText"/>
        <w:spacing w:line="240" w:lineRule="auto" w:before="64"/>
        <w:ind w:left="154" w:right="1235"/>
        <w:jc w:val="left"/>
      </w:pPr>
      <w:r>
        <w:rPr/>
        <w:t>元结转下一年度。</w:t>
      </w:r>
    </w:p>
    <w:p>
      <w:pPr>
        <w:pStyle w:val="BodyText"/>
        <w:spacing w:line="240" w:lineRule="auto" w:before="116"/>
        <w:ind w:left="514" w:right="1235"/>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年度利润分配方案</w:t>
      </w:r>
    </w:p>
    <w:p>
      <w:pPr>
        <w:pStyle w:val="BodyText"/>
        <w:spacing w:line="240" w:lineRule="auto" w:before="102"/>
        <w:ind w:left="514" w:right="0"/>
        <w:jc w:val="left"/>
      </w:pPr>
      <w:r>
        <w:rPr/>
        <w:t>以截至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w:t>
      </w:r>
      <w:r>
        <w:rPr>
          <w:spacing w:val="1"/>
        </w:rPr>
        <w:t>总</w:t>
      </w:r>
      <w:r>
        <w:rPr/>
        <w:t>股本</w:t>
      </w:r>
      <w:r>
        <w:rPr>
          <w:spacing w:val="-46"/>
        </w:rPr>
        <w:t> </w:t>
      </w:r>
      <w:r>
        <w:rPr>
          <w:rFonts w:ascii="Times New Roman" w:hAnsi="Times New Roman" w:cs="Times New Roman" w:eastAsia="Times New Roman" w:hint="default"/>
        </w:rPr>
        <w:t>88,280,0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股为基数</w:t>
      </w:r>
      <w:r>
        <w:rPr>
          <w:spacing w:val="-85"/>
        </w:rPr>
        <w:t>，</w:t>
      </w:r>
      <w:r>
        <w:rPr/>
        <w:t>向全体股东以每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股派发人民币</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spacing w:val="-85"/>
        </w:rPr>
        <w:t>元</w:t>
      </w:r>
      <w:r>
        <w:rPr/>
        <w:t>（含税</w:t>
      </w:r>
      <w:r>
        <w:rPr>
          <w:spacing w:val="-85"/>
        </w:rPr>
        <w:t>）</w:t>
      </w:r>
      <w:r>
        <w:rPr/>
        <w:t>的现金红利，</w:t>
      </w:r>
    </w:p>
    <w:p>
      <w:pPr>
        <w:pStyle w:val="BodyText"/>
        <w:spacing w:line="302" w:lineRule="auto" w:before="63"/>
        <w:ind w:left="154" w:right="1122"/>
        <w:jc w:val="left"/>
      </w:pPr>
      <w:r>
        <w:rPr/>
        <w:t>合计派发现金红利人民币</w:t>
      </w:r>
      <w:r>
        <w:rPr>
          <w:spacing w:val="-43"/>
        </w:rPr>
        <w:t> </w:t>
      </w:r>
      <w:r>
        <w:rPr>
          <w:rFonts w:ascii="Times New Roman" w:hAnsi="Times New Roman" w:cs="Times New Roman" w:eastAsia="Times New Roman" w:hint="default"/>
        </w:rPr>
        <w:t>44,140,000.00</w:t>
      </w:r>
      <w:r>
        <w:rPr>
          <w:rFonts w:ascii="Times New Roman" w:hAnsi="Times New Roman" w:cs="Times New Roman" w:eastAsia="Times New Roman" w:hint="default"/>
          <w:spacing w:val="-7"/>
        </w:rPr>
        <w:t> </w:t>
      </w:r>
      <w:r>
        <w:rPr>
          <w:spacing w:val="-3"/>
        </w:rPr>
        <w:t>元，不送红股，不进行资本公积金转增股本，剩余未分配利润</w:t>
      </w:r>
      <w:r>
        <w:rPr>
          <w:spacing w:val="-42"/>
        </w:rPr>
        <w:t> </w:t>
      </w:r>
      <w:r>
        <w:rPr>
          <w:rFonts w:ascii="Times New Roman" w:hAnsi="Times New Roman" w:cs="Times New Roman" w:eastAsia="Times New Roman" w:hint="default"/>
        </w:rPr>
        <w:t>115,219,635.14</w:t>
      </w:r>
      <w:r>
        <w:rPr>
          <w:rFonts w:ascii="Times New Roman" w:hAnsi="Times New Roman" w:cs="Times New Roman" w:eastAsia="Times New Roman" w:hint="default"/>
          <w:spacing w:val="-7"/>
        </w:rPr>
        <w:t> </w:t>
      </w:r>
      <w:r>
        <w:rPr/>
        <w:t>元结转 下一年度。</w:t>
      </w:r>
    </w:p>
    <w:p>
      <w:pPr>
        <w:pStyle w:val="BodyText"/>
        <w:spacing w:line="240" w:lineRule="auto" w:before="69"/>
        <w:ind w:left="514" w:right="1235"/>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年半年度利润分配方案</w:t>
      </w:r>
    </w:p>
    <w:p>
      <w:pPr>
        <w:pStyle w:val="BodyText"/>
        <w:spacing w:line="240" w:lineRule="auto" w:before="101"/>
        <w:ind w:left="514" w:right="0"/>
        <w:jc w:val="left"/>
      </w:pPr>
      <w:r>
        <w:rPr/>
        <w:t>以截至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日的总股本</w:t>
      </w:r>
      <w:r>
        <w:rPr>
          <w:spacing w:val="-46"/>
        </w:rPr>
        <w:t> </w:t>
      </w:r>
      <w:r>
        <w:rPr>
          <w:rFonts w:ascii="Times New Roman" w:hAnsi="Times New Roman" w:cs="Times New Roman" w:eastAsia="Times New Roman" w:hint="default"/>
        </w:rPr>
        <w:t>88,280,000</w:t>
      </w:r>
      <w:r>
        <w:rPr>
          <w:rFonts w:ascii="Times New Roman" w:hAnsi="Times New Roman" w:cs="Times New Roman" w:eastAsia="Times New Roman" w:hint="default"/>
          <w:spacing w:val="-9"/>
        </w:rPr>
        <w:t> </w:t>
      </w:r>
      <w:r>
        <w:rPr>
          <w:spacing w:val="-5"/>
        </w:rPr>
        <w:t>股为基数，向全体股东以每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股派发人民币</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spacing w:val="-10"/>
        </w:rPr>
        <w:t>元（含税）的现金红利，</w:t>
      </w:r>
    </w:p>
    <w:p>
      <w:pPr>
        <w:pStyle w:val="BodyText"/>
        <w:spacing w:line="302" w:lineRule="auto" w:before="63"/>
        <w:ind w:right="1147"/>
        <w:jc w:val="left"/>
      </w:pPr>
      <w:r>
        <w:rPr/>
        <w:t>合计派发现金红利人民币</w:t>
      </w:r>
      <w:r>
        <w:rPr>
          <w:spacing w:val="-47"/>
        </w:rPr>
        <w:t> </w:t>
      </w:r>
      <w:r>
        <w:rPr>
          <w:rFonts w:ascii="Times New Roman" w:hAnsi="Times New Roman" w:cs="Times New Roman" w:eastAsia="Times New Roman" w:hint="default"/>
        </w:rPr>
        <w:t>17,656,000.00</w:t>
      </w:r>
      <w:r>
        <w:rPr>
          <w:rFonts w:ascii="Times New Roman" w:hAnsi="Times New Roman" w:cs="Times New Roman" w:eastAsia="Times New Roman" w:hint="default"/>
          <w:spacing w:val="-10"/>
        </w:rPr>
        <w:t> </w:t>
      </w:r>
      <w:r>
        <w:rPr/>
        <w:t>元，不送红股，不进行资本公积金转增股本，剩余未分配利润</w:t>
      </w:r>
      <w:r>
        <w:rPr>
          <w:spacing w:val="-47"/>
        </w:rPr>
        <w:t> </w:t>
      </w:r>
      <w:r>
        <w:rPr>
          <w:rFonts w:ascii="Times New Roman" w:hAnsi="Times New Roman" w:cs="Times New Roman" w:eastAsia="Times New Roman" w:hint="default"/>
        </w:rPr>
        <w:t>88,422,318.28</w:t>
      </w:r>
      <w:r>
        <w:rPr>
          <w:rFonts w:ascii="Times New Roman" w:hAnsi="Times New Roman" w:cs="Times New Roman" w:eastAsia="Times New Roman" w:hint="default"/>
          <w:spacing w:val="-10"/>
        </w:rPr>
        <w:t> </w:t>
      </w:r>
      <w:r>
        <w:rPr/>
        <w:t>元结转 下一年度。</w:t>
      </w:r>
    </w:p>
    <w:p>
      <w:pPr>
        <w:spacing w:line="240" w:lineRule="auto" w:before="11"/>
        <w:rPr>
          <w:rFonts w:ascii="宋体" w:hAnsi="宋体" w:cs="宋体" w:eastAsia="宋体" w:hint="default"/>
          <w:sz w:val="28"/>
          <w:szCs w:val="28"/>
        </w:rPr>
      </w:pPr>
    </w:p>
    <w:p>
      <w:pPr>
        <w:pStyle w:val="BodyText"/>
        <w:spacing w:line="240" w:lineRule="auto" w:before="44"/>
        <w:ind w:left="154" w:right="1235"/>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89,417,850.55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121,642,814.86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139,698,090.88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235"/>
        <w:jc w:val="left"/>
      </w:pPr>
      <w:r>
        <w:rPr/>
        <w:t>公司报告期内盈利且母公司可供普通股股东分配利润为正但未提出普通股现金红利分配预案</w:t>
      </w:r>
    </w:p>
    <w:p>
      <w:pPr>
        <w:pStyle w:val="BodyText"/>
        <w:spacing w:line="240" w:lineRule="auto" w:before="117"/>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263,739,944.51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0" w:right="1140"/>
        <w:jc w:val="right"/>
      </w:pPr>
      <w:r>
        <w:rPr/>
        <w:pict>
          <v:shape style="position:absolute;margin-left:56.459999pt;margin-top:-125.548309pt;width:479.2pt;height:227.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33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91,852,984.60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元，加上年初未分配利润</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231,116,258.37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元，并扣减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年内累计现金分红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50,044,000.00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元，提取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9,185,298.46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年末母公司可供股东分配利润为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263,739,944.51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根据《公司法》和《公司章程》等相关规定，董事会拟定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年度利润分配预案如下：以公司现有总股本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117,800,000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股为基数，向全体股东以每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元（含税）的现金红利，合计派发现金红利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35,340,000.00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元，不送红股</w:t>
                        </w:r>
                      </w:p>
                      <w:p>
                        <w:pPr>
                          <w:pStyle w:val="TableParagraph"/>
                          <w:spacing w:line="338" w:lineRule="auto" w:before="64"/>
                          <w:ind w:left="382" w:right="23" w:hanging="360"/>
                          <w:jc w:val="left"/>
                          <w:rPr>
                            <w:rFonts w:ascii="宋体" w:hAnsi="宋体" w:cs="宋体" w:eastAsia="宋体" w:hint="default"/>
                            <w:sz w:val="18"/>
                            <w:szCs w:val="18"/>
                          </w:rPr>
                        </w:pPr>
                        <w:r>
                          <w:rPr>
                            <w:rFonts w:ascii="宋体" w:hAnsi="宋体" w:cs="宋体" w:eastAsia="宋体" w:hint="default"/>
                            <w:sz w:val="18"/>
                            <w:szCs w:val="18"/>
                          </w:rPr>
                          <w:t>不进行资本公积金转增股本。剩余未分配利润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228,399,944.51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元结转下一年度。 </w:t>
                        </w:r>
                        <w:r>
                          <w:rPr>
                            <w:rFonts w:ascii="宋体" w:hAnsi="宋体" w:cs="宋体" w:eastAsia="宋体" w:hint="default"/>
                            <w:spacing w:val="-1"/>
                            <w:sz w:val="18"/>
                            <w:szCs w:val="18"/>
                          </w:rPr>
                          <w:t>若在分配方案实施前公司总股本由于可转债转股、股份回购、股权激励行权、再融资新增股份上市等原因而发生变化</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的，分配比例将按分派总额不变的原则相应调整。</w:t>
                        </w:r>
                      </w:p>
                      <w:p>
                        <w:pPr>
                          <w:pStyle w:val="TableParagraph"/>
                          <w:spacing w:line="302" w:lineRule="auto" w:before="116"/>
                          <w:ind w:left="22" w:right="23" w:firstLine="360"/>
                          <w:jc w:val="left"/>
                          <w:rPr>
                            <w:rFonts w:ascii="宋体" w:hAnsi="宋体" w:cs="宋体" w:eastAsia="宋体" w:hint="default"/>
                            <w:sz w:val="18"/>
                            <w:szCs w:val="18"/>
                          </w:rPr>
                        </w:pPr>
                        <w:r>
                          <w:rPr>
                            <w:rFonts w:ascii="宋体" w:hAnsi="宋体" w:cs="宋体" w:eastAsia="宋体" w:hint="default"/>
                            <w:sz w:val="18"/>
                            <w:szCs w:val="18"/>
                          </w:rPr>
                          <w:t>该预案已经公司第二届董事会第十二次会议审议通过，尚需提交</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年度股东大会审议。本次利润分配预案符合《公</w:t>
                        </w:r>
                        <w:r>
                          <w:rPr>
                            <w:rFonts w:ascii="宋体" w:hAnsi="宋体" w:cs="宋体" w:eastAsia="宋体" w:hint="default"/>
                            <w:sz w:val="18"/>
                            <w:szCs w:val="18"/>
                          </w:rPr>
                          <w:t> 司章程》及审议程序的规定，充分保护了中小投资者的合法权益，并已经公司独立董事发表了同意的独立意见。</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pStyle w:val="Heading2"/>
        <w:spacing w:line="240" w:lineRule="auto" w:before="30"/>
        <w:ind w:left="140" w:right="0"/>
        <w:jc w:val="left"/>
        <w:rPr>
          <w:b w:val="0"/>
          <w:bCs w:val="0"/>
        </w:rPr>
      </w:pPr>
      <w:r>
        <w:rPr/>
        <w:pict>
          <v:shape style="position:absolute;margin-left:561.668030pt;margin-top:263.380005pt;width:97.7pt;height:101.4pt;mso-position-horizontal-relative:page;mso-position-vertical-relative:page;z-index:-956848" type="#_x0000_t202" filled="false" stroked="false">
            <v:textbox inset="0,0,0,0">
              <w:txbxContent>
                <w:p>
                  <w:pPr>
                    <w:pStyle w:val="BodyText"/>
                    <w:spacing w:line="240" w:lineRule="auto" w:before="51"/>
                    <w:ind w:left="0" w:right="0"/>
                    <w:jc w:val="left"/>
                  </w:pPr>
                  <w:r>
                    <w:rPr/>
                    <w:t>朝莉承诺：</w:t>
                  </w:r>
                </w:p>
              </w:txbxContent>
            </v:textbox>
            <w10:wrap type="none"/>
          </v:shape>
        </w:pict>
      </w:r>
      <w:r>
        <w:rPr/>
        <w:pict>
          <v:group style="position:absolute;margin-left:70.5pt;margin-top:2.255627pt;width:701pt;height:.1pt;mso-position-horizontal-relative:page;mso-position-vertical-relative:paragraph;z-index:-95682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436"/>
        <w:gridCol w:w="2164"/>
        <w:gridCol w:w="1805"/>
        <w:gridCol w:w="5244"/>
        <w:gridCol w:w="1118"/>
        <w:gridCol w:w="1118"/>
        <w:gridCol w:w="111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2"/>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164" w:type="dxa"/>
            <w:tcBorders>
              <w:top w:val="single" w:sz="4" w:space="0" w:color="000000"/>
              <w:left w:val="single" w:sz="13" w:space="0" w:color="D2D2D2"/>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3"/>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2164" w:type="dxa"/>
            <w:tcBorders>
              <w:top w:val="single" w:sz="4" w:space="0" w:color="000000"/>
              <w:left w:val="single" w:sz="13" w:space="0" w:color="D2D2D2"/>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5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2164" w:type="dxa"/>
            <w:tcBorders>
              <w:top w:val="single" w:sz="4" w:space="0" w:color="000000"/>
              <w:left w:val="single" w:sz="13" w:space="0" w:color="D2D2D2"/>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524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2078" w:hRule="exact"/>
        </w:trPr>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00" w:lineRule="auto"/>
              <w:ind w:left="16"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实际控制人罗瑞发、刘咏平、杨成、王明宽、李娜、李 自金溢科技首次公开发行股票并在深圳证券交易所上市之日起三 </w:t>
            </w:r>
            <w:r>
              <w:rPr>
                <w:rFonts w:ascii="宋体" w:hAnsi="宋体" w:cs="宋体" w:eastAsia="宋体" w:hint="default"/>
                <w:spacing w:val="-2"/>
                <w:sz w:val="18"/>
                <w:szCs w:val="18"/>
              </w:rPr>
              <w:t>十六个月内，不转让或者委托他人管理本人直接或间接持有的金溢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科技本次发行前已发行的股份，也不由金溢科技回购本人直接或间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接持有的金溢科技本次发行前已发行的股份。若金溢科技上市后六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个月内股票连续二十个交易日的收盘价均低于发行价，或者上市后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六个月期末收盘价低于发行价的（自金溢科技股票上市六个月内， </w:t>
            </w:r>
            <w:r>
              <w:rPr>
                <w:rFonts w:ascii="宋体" w:hAnsi="宋体" w:cs="宋体" w:eastAsia="宋体" w:hint="default"/>
                <w:spacing w:val="-2"/>
                <w:sz w:val="18"/>
                <w:szCs w:val="18"/>
              </w:rPr>
              <w:t>公司发生过除权除息等事项的，则将发行价作除权除息调整后与收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盘价进行比较），则本人直接或间接持有的金溢科技股票锁定期限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自动延长六个月。在上述持股锁定期（包括延长的锁定期，下同） </w:t>
            </w:r>
            <w:r>
              <w:rPr>
                <w:rFonts w:ascii="宋体" w:hAnsi="宋体" w:cs="宋体" w:eastAsia="宋体" w:hint="default"/>
                <w:spacing w:val="-2"/>
                <w:sz w:val="18"/>
                <w:szCs w:val="18"/>
              </w:rPr>
              <w:t>届满后，在本人担任金溢科技董事、高级管理人员期间，每年转让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的股份不超过直接或间接持有的公司股份总数的百分之二十五；离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任后六个月内，不转让本人直接或间接持有的公司股份；在申报离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任六个月后的十二个月内通过证券交易所挂牌交易出售公司股份 的数量占本人所持公司股份总数的比例不超过百分之五十。</w:t>
            </w:r>
            <w:r>
              <w:rPr>
                <w:rFonts w:ascii="Times New Roman" w:hAnsi="Times New Roman" w:cs="Times New Roman" w:eastAsia="Times New Roman" w:hint="default"/>
                <w:sz w:val="18"/>
                <w:szCs w:val="18"/>
              </w:rPr>
              <w:t>"</w:t>
            </w:r>
          </w:p>
        </w:tc>
        <w:tc>
          <w:tcPr>
            <w:tcW w:w="1118" w:type="dxa"/>
            <w:vMerge w:val="restart"/>
            <w:tcBorders>
              <w:top w:val="single" w:sz="4" w:space="0" w:color="000000"/>
              <w:left w:val="single" w:sz="4" w:space="0" w:color="000000"/>
              <w:right w:val="single" w:sz="4" w:space="0" w:color="000000"/>
            </w:tcBorders>
          </w:tcPr>
          <w:p>
            <w:pPr>
              <w:pStyle w:val="TableParagraph"/>
              <w:spacing w:line="2028" w:lineRule="exact"/>
              <w:ind w:right="-51"/>
              <w:jc w:val="left"/>
              <w:rPr>
                <w:rFonts w:ascii="宋体" w:hAnsi="宋体" w:cs="宋体" w:eastAsia="宋体" w:hint="default"/>
                <w:sz w:val="20"/>
                <w:szCs w:val="20"/>
              </w:rPr>
            </w:pPr>
            <w:r>
              <w:rPr>
                <w:rFonts w:ascii="宋体" w:hAnsi="宋体" w:cs="宋体" w:eastAsia="宋体" w:hint="default"/>
                <w:position w:val="-40"/>
                <w:sz w:val="20"/>
                <w:szCs w:val="20"/>
              </w:rPr>
              <w:pict>
                <v:group style="width:55.45pt;height:101.4pt;mso-position-horizontal-relative:char;mso-position-vertical-relative:line" coordorigin="0,0" coordsize="1109,2028">
                  <v:group style="position:absolute;left:0;top:0;width:1109;height:2028" coordorigin="0,0" coordsize="1109,2028">
                    <v:shape style="position:absolute;left:0;top:0;width:1109;height:2028" coordorigin="0,0" coordsize="1109,2028" path="m0,2028l1109,2028,1109,0,0,0,0,2028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17" w:hRule="exact"/>
        </w:trPr>
        <w:tc>
          <w:tcPr>
            <w:tcW w:w="14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5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2164" w:type="dxa"/>
            <w:vMerge/>
            <w:tcBorders>
              <w:left w:val="single" w:sz="9" w:space="0" w:color="D2D2D2"/>
              <w:right w:val="single" w:sz="4" w:space="0" w:color="000000"/>
            </w:tcBorders>
          </w:tcPr>
          <w:p>
            <w:pPr/>
          </w:p>
        </w:tc>
        <w:tc>
          <w:tcPr>
            <w:tcW w:w="1805" w:type="dxa"/>
            <w:vMerge/>
            <w:tcBorders>
              <w:left w:val="single" w:sz="4" w:space="0" w:color="000000"/>
              <w:right w:val="single" w:sz="4" w:space="0" w:color="000000"/>
            </w:tcBorders>
          </w:tcPr>
          <w:p>
            <w:pPr/>
          </w:p>
        </w:tc>
        <w:tc>
          <w:tcPr>
            <w:tcW w:w="5244"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75" w:hRule="exact"/>
        </w:trPr>
        <w:tc>
          <w:tcPr>
            <w:tcW w:w="1436" w:type="dxa"/>
            <w:vMerge w:val="restart"/>
            <w:tcBorders>
              <w:top w:val="nil" w:sz="6" w:space="0" w:color="auto"/>
              <w:left w:val="single" w:sz="4" w:space="0" w:color="000000"/>
              <w:right w:val="single" w:sz="4" w:space="0" w:color="000000"/>
            </w:tcBorders>
            <w:shd w:val="clear" w:color="auto" w:fill="D2D2D2"/>
          </w:tcPr>
          <w:p>
            <w:pPr/>
          </w:p>
        </w:tc>
        <w:tc>
          <w:tcPr>
            <w:tcW w:w="2164" w:type="dxa"/>
            <w:vMerge/>
            <w:tcBorders>
              <w:left w:val="single" w:sz="9" w:space="0" w:color="D2D2D2"/>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403"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第一大股东敏行电子承诺：自金溢科技首次公开发行股票并在深</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2"/>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headerReference w:type="default" r:id="rId13"/>
          <w:footerReference w:type="default" r:id="rId14"/>
          <w:pgSz w:w="16840" w:h="11910" w:orient="landscape"/>
          <w:pgMar w:header="867" w:footer="979" w:top="1060" w:bottom="1160" w:left="1300" w:right="0"/>
          <w:pgNumType w:start="44"/>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2561"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圳证券交易所上市之日起三十六个月内，不转让或者委托他人管理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本公司直接或间接持有的金溢科技本次发行前已发行的股份，也不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由金溢科技回购本公司直接或间接持有的金溢科技本次发行前已 </w:t>
            </w:r>
            <w:r>
              <w:rPr>
                <w:rFonts w:ascii="宋体" w:hAnsi="宋体" w:cs="宋体" w:eastAsia="宋体" w:hint="default"/>
                <w:spacing w:val="-2"/>
                <w:sz w:val="18"/>
                <w:szCs w:val="18"/>
              </w:rPr>
              <w:t>发行的股份。若金溢科技上市后六个月内股票连续二十个交易日的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收盘价均低于发行价，或者上市后六个月期末收盘价低于发行价的</w:t>
            </w:r>
          </w:p>
          <w:p>
            <w:pPr>
              <w:pStyle w:val="TableParagraph"/>
              <w:spacing w:line="319" w:lineRule="auto" w:before="17"/>
              <w:ind w:left="2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（自金溢科技股票上市六个月内，公司发生过除权除息等事项的， </w:t>
            </w:r>
            <w:r>
              <w:rPr>
                <w:rFonts w:ascii="宋体" w:hAnsi="宋体" w:cs="宋体" w:eastAsia="宋体" w:hint="default"/>
                <w:spacing w:val="-4"/>
                <w:sz w:val="18"/>
                <w:szCs w:val="18"/>
              </w:rPr>
              <w:t>则将发行价作除权除息调整后与收盘价进行比较），则本公司直接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或间接持有的金溢科技股票锁定期限自动延长六个月。</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1650"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3" w:right="20"/>
              <w:jc w:val="both"/>
              <w:rPr>
                <w:rFonts w:ascii="宋体" w:hAnsi="宋体" w:cs="宋体" w:eastAsia="宋体" w:hint="default"/>
                <w:sz w:val="18"/>
                <w:szCs w:val="18"/>
              </w:rPr>
            </w:pPr>
            <w:r>
              <w:rPr>
                <w:rFonts w:ascii="宋体" w:hAnsi="宋体" w:cs="宋体" w:eastAsia="宋体" w:hint="default"/>
                <w:spacing w:val="-5"/>
                <w:sz w:val="18"/>
                <w:szCs w:val="18"/>
              </w:rPr>
              <w:t>深圳至为投资企业（有限合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深圳致璞投资企业（有</w:t>
            </w:r>
            <w:r>
              <w:rPr>
                <w:rFonts w:ascii="宋体" w:hAnsi="宋体" w:cs="宋体" w:eastAsia="宋体" w:hint="default"/>
                <w:sz w:val="18"/>
                <w:szCs w:val="18"/>
              </w:rPr>
              <w:t> 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公司重要股东至为投资和致璞投资承诺：自金溢科技首次公开发 </w:t>
            </w:r>
            <w:r>
              <w:rPr>
                <w:rFonts w:ascii="宋体" w:hAnsi="宋体" w:cs="宋体" w:eastAsia="宋体" w:hint="default"/>
                <w:spacing w:val="-2"/>
                <w:sz w:val="18"/>
                <w:szCs w:val="18"/>
              </w:rPr>
              <w:t>行股票并在深圳证券交易所上市之日起十二个月内，不转让或者委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托他人管理本企业直接或间接持有的金溢科技本次发行前已发行 </w:t>
            </w:r>
            <w:r>
              <w:rPr>
                <w:rFonts w:ascii="宋体" w:hAnsi="宋体" w:cs="宋体" w:eastAsia="宋体" w:hint="default"/>
                <w:spacing w:val="-2"/>
                <w:sz w:val="18"/>
                <w:szCs w:val="18"/>
              </w:rPr>
              <w:t>的股份，也不由金溢科技回购本企业直接或间接持有的金溢科技本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次发行前已发行的股份。</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770"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公司股东及高级管理人员蔡福春和刘厚军承诺：自金溢科技首次 </w:t>
            </w:r>
            <w:r>
              <w:rPr>
                <w:rFonts w:ascii="宋体" w:hAnsi="宋体" w:cs="宋体" w:eastAsia="宋体" w:hint="default"/>
                <w:spacing w:val="-2"/>
                <w:sz w:val="18"/>
                <w:szCs w:val="18"/>
              </w:rPr>
              <w:t>公开发行股票并在深圳证券交易所上市之日起十二个月内，不转让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或者委托他人管理本人直接或间接持有的金溢科技本次发行前已 </w:t>
            </w:r>
            <w:r>
              <w:rPr>
                <w:rFonts w:ascii="宋体" w:hAnsi="宋体" w:cs="宋体" w:eastAsia="宋体" w:hint="default"/>
                <w:spacing w:val="-2"/>
                <w:sz w:val="18"/>
                <w:szCs w:val="18"/>
              </w:rPr>
              <w:t>发行的股份，也不由金溢科技回购本人直接或间接持有的金溢科技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本次发行前已发行的股份。若金溢科技上市后六个月内股票连续二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十个交易日的收盘价均低于发行价，或者上市后六个月期末收盘价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低于发行价的（自金溢科技股票上市六个月内，公司发生过除权除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息等事项的，则将发行价作除权除息调整后与收盘价进行比较），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则本人直接或间接持有的金溢科技股票锁定期限自动延长六个月。 </w:t>
            </w:r>
            <w:r>
              <w:rPr>
                <w:rFonts w:ascii="宋体" w:hAnsi="宋体" w:cs="宋体" w:eastAsia="宋体" w:hint="default"/>
                <w:spacing w:val="-2"/>
                <w:sz w:val="18"/>
                <w:szCs w:val="18"/>
              </w:rPr>
              <w:t>在上述持股锁定期（包括延长的锁定期，下同）届满后，在本人担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任金溢科技董事及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或高级管理人员期间，每年转让的股份不超过直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接或间接持有的公司股份总数的百分之二十五；离任后六个月内， </w:t>
            </w:r>
            <w:r>
              <w:rPr>
                <w:rFonts w:ascii="宋体" w:hAnsi="宋体" w:cs="宋体" w:eastAsia="宋体" w:hint="default"/>
                <w:spacing w:val="-2"/>
                <w:sz w:val="18"/>
                <w:szCs w:val="18"/>
              </w:rPr>
              <w:t>不转让本人直接或间接持有的公司股份；在申报离任六个月后的十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二个月内通过证券交易所挂牌交易出售公司股份的数量占本人所 持公司股份总数的比例不超过百分之五十。</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公司股东及监事甘云龙和钟勇承诺：自金溢科技股票上市交易之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603.880005pt;margin-top:251.440002pt;width:55.45pt;height:39pt;mso-position-horizontal-relative:page;mso-position-vertical-relative:page;z-index:-956800" coordorigin="12078,5029" coordsize="1109,780">
            <v:shape style="position:absolute;left:12078;top:5029;width:1109;height:780" coordorigin="12078,5029" coordsize="1109,780" path="m12078,5809l13186,5809,13186,5029,12078,5029,12078,580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2561"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日起十二个月内，本人不转让或者委托他人管理本人直接或间接持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有的金溢科技公开发行股票前已发行股份，也不由金溢科技回购本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人直接或间接持有的该部分股份。自锁定期届满之日起，在本人担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任金溢科技监事期间，每年转让的股份不超过直接或间接持有的公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司股份总数的百分之二十五；离任后六个月内，不转让本人直接或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间接持有的公司股份；在申报离任六个月后的十二个月内通过证券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交易所挂牌交易出售公司股份的数量占本人所持公司股份总数的 比例不超过百分之五十。</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3" w:right="179"/>
              <w:jc w:val="left"/>
              <w:rPr>
                <w:rFonts w:ascii="宋体" w:hAnsi="宋体" w:cs="宋体" w:eastAsia="宋体" w:hint="default"/>
                <w:sz w:val="18"/>
                <w:szCs w:val="18"/>
              </w:rPr>
            </w:pPr>
            <w:r>
              <w:rPr>
                <w:rFonts w:ascii="宋体" w:hAnsi="宋体" w:cs="宋体" w:eastAsia="宋体" w:hint="default"/>
                <w:sz w:val="18"/>
                <w:szCs w:val="18"/>
              </w:rPr>
              <w:t>黄伟斌</w:t>
            </w:r>
            <w:r>
              <w:rPr>
                <w:rFonts w:ascii="Times New Roman" w:hAnsi="Times New Roman" w:cs="Times New Roman" w:eastAsia="Times New Roman" w:hint="default"/>
                <w:sz w:val="18"/>
                <w:szCs w:val="18"/>
              </w:rPr>
              <w:t>;</w:t>
            </w:r>
            <w:r>
              <w:rPr>
                <w:rFonts w:ascii="宋体" w:hAnsi="宋体" w:cs="宋体" w:eastAsia="宋体" w:hint="default"/>
                <w:sz w:val="18"/>
                <w:szCs w:val="18"/>
              </w:rPr>
              <w:t>李兴锐</w:t>
            </w:r>
            <w:r>
              <w:rPr>
                <w:rFonts w:ascii="Times New Roman" w:hAnsi="Times New Roman" w:cs="Times New Roman" w:eastAsia="Times New Roman" w:hint="default"/>
                <w:sz w:val="18"/>
                <w:szCs w:val="18"/>
              </w:rPr>
              <w:t>;</w:t>
            </w:r>
            <w:r>
              <w:rPr>
                <w:rFonts w:ascii="宋体" w:hAnsi="宋体" w:cs="宋体" w:eastAsia="宋体" w:hint="default"/>
                <w:sz w:val="18"/>
                <w:szCs w:val="18"/>
              </w:rPr>
              <w:t>王政</w:t>
            </w:r>
            <w:r>
              <w:rPr>
                <w:rFonts w:ascii="Times New Roman" w:hAnsi="Times New Roman" w:cs="Times New Roman" w:eastAsia="Times New Roman" w:hint="default"/>
                <w:sz w:val="18"/>
                <w:szCs w:val="18"/>
              </w:rPr>
              <w:t>;</w:t>
            </w:r>
            <w:r>
              <w:rPr>
                <w:rFonts w:ascii="宋体" w:hAnsi="宋体" w:cs="宋体" w:eastAsia="宋体" w:hint="default"/>
                <w:sz w:val="18"/>
                <w:szCs w:val="18"/>
              </w:rPr>
              <w:t>杨秋 英</w:t>
            </w:r>
            <w:r>
              <w:rPr>
                <w:rFonts w:ascii="Times New Roman" w:hAnsi="Times New Roman" w:cs="Times New Roman" w:eastAsia="Times New Roman" w:hint="default"/>
                <w:sz w:val="18"/>
                <w:szCs w:val="18"/>
              </w:rPr>
              <w:t>;</w:t>
            </w:r>
            <w:r>
              <w:rPr>
                <w:rFonts w:ascii="宋体" w:hAnsi="宋体" w:cs="宋体" w:eastAsia="宋体" w:hint="default"/>
                <w:sz w:val="18"/>
                <w:szCs w:val="18"/>
              </w:rPr>
              <w:t>朱和安</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公司其他股东李兴锐、黄伟斌、王政、杨秋英、朱和安承诺：自 </w:t>
            </w:r>
            <w:r>
              <w:rPr>
                <w:rFonts w:ascii="宋体" w:hAnsi="宋体" w:cs="宋体" w:eastAsia="宋体" w:hint="default"/>
                <w:spacing w:val="-2"/>
                <w:sz w:val="18"/>
                <w:szCs w:val="18"/>
              </w:rPr>
              <w:t>金溢科技股票上市交易之日起十二个月内，本人不转让或者委托他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人管理本人直接或间接持有的金溢科技公开发行股票前已发行股 份，也不由金溢科技回购本人直接或间接持有的该部分股份。</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74"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通过持有公司股东股权而间接持有公司股份的董事及高级管理人 员郑映虹承诺：在本人担任金溢科技董事及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或高级管理人员期间 </w:t>
            </w:r>
            <w:r>
              <w:rPr>
                <w:rFonts w:ascii="宋体" w:hAnsi="宋体" w:cs="宋体" w:eastAsia="宋体" w:hint="default"/>
                <w:spacing w:val="-2"/>
                <w:sz w:val="18"/>
                <w:szCs w:val="18"/>
              </w:rPr>
              <w:t>本人将向公司申报所持有的公司的股份及其变动情况，每年转让的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股份不超过直接或间接持有的公司股份总数的百分之二十五；离任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后六个月内，不转让本人直接或间接持有的公司股份；在申报离任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六个月后的十二个月内通过证券交易所挂牌交易出售公司股份的 数量占本人所持公司股份总数的比例不超过百分之五十。</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1"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0" w:lineRule="auto"/>
              <w:ind w:left="23" w:right="98"/>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深圳市敏行电子有限公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公司实际控制人罗瑞发、王明宽、杨成、刘咏平、李朝莉、李娜 </w:t>
            </w:r>
            <w:r>
              <w:rPr>
                <w:rFonts w:ascii="宋体" w:hAnsi="宋体" w:cs="宋体" w:eastAsia="宋体" w:hint="default"/>
                <w:spacing w:val="-3"/>
                <w:sz w:val="18"/>
                <w:szCs w:val="18"/>
              </w:rPr>
              <w:t>及第一大股东敏行电子承诺：自本人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本公司所持金溢科技股票的锁</w:t>
            </w:r>
            <w:r>
              <w:rPr>
                <w:rFonts w:ascii="宋体" w:hAnsi="宋体" w:cs="宋体" w:eastAsia="宋体" w:hint="default"/>
                <w:spacing w:val="-82"/>
                <w:sz w:val="18"/>
                <w:szCs w:val="18"/>
              </w:rPr>
              <w:t> </w:t>
            </w:r>
            <w:r>
              <w:rPr>
                <w:rFonts w:ascii="宋体" w:hAnsi="宋体" w:cs="宋体" w:eastAsia="宋体" w:hint="default"/>
                <w:spacing w:val="-2"/>
                <w:sz w:val="18"/>
                <w:szCs w:val="18"/>
              </w:rPr>
              <w:t>定期届满之日起二十四个月内，每十二个月内转让的金溢科技股份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总额不超过上一年度末本人（本公司）所持金溢科技股份数量的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本公司减持金溢科技股份时，将依照《中华人民共和国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公司法》、《中华人民共和国证券法》、中国证监会和深圳证券交易</w:t>
            </w:r>
            <w:r>
              <w:rPr>
                <w:rFonts w:ascii="宋体" w:hAnsi="宋体" w:cs="宋体" w:eastAsia="宋体" w:hint="default"/>
                <w:sz w:val="18"/>
                <w:szCs w:val="18"/>
              </w:rPr>
              <w:t> </w:t>
            </w:r>
            <w:r>
              <w:rPr>
                <w:rFonts w:ascii="宋体" w:hAnsi="宋体" w:cs="宋体" w:eastAsia="宋体" w:hint="default"/>
                <w:spacing w:val="-3"/>
                <w:sz w:val="18"/>
                <w:szCs w:val="18"/>
              </w:rPr>
              <w:t>所的相关规定执行，如实并及时申报本人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本公司持有的金溢科技股</w:t>
            </w:r>
            <w:r>
              <w:rPr>
                <w:rFonts w:ascii="宋体" w:hAnsi="宋体" w:cs="宋体" w:eastAsia="宋体" w:hint="default"/>
                <w:spacing w:val="-82"/>
                <w:sz w:val="18"/>
                <w:szCs w:val="18"/>
              </w:rPr>
              <w:t> </w:t>
            </w:r>
            <w:r>
              <w:rPr>
                <w:rFonts w:ascii="宋体" w:hAnsi="宋体" w:cs="宋体" w:eastAsia="宋体" w:hint="default"/>
                <w:spacing w:val="-3"/>
                <w:sz w:val="18"/>
                <w:szCs w:val="18"/>
              </w:rPr>
              <w:t>份及其变动情况。本人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本公司所持股票在锁定期届满后两年内减持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的，将提前五个交易日向金溢科技提交减持原因、减持数量、未来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减持计划、减持对金溢科技治理结构及持续经营影响的说明，并由</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88.700012pt;margin-top:328.960022pt;width:70.650pt;height:93.65pt;mso-position-horizontal-relative:page;mso-position-vertical-relative:page;z-index:-956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0"/>
                    <w:jc w:val="left"/>
                  </w:pPr>
                  <w:r>
                    <w:rPr/>
                    <w:t>的，</w:t>
                  </w:r>
                </w:p>
              </w:txbxContent>
            </v:textbox>
            <w10:wrap type="none"/>
          </v:shape>
        </w:pict>
      </w:r>
      <w:r>
        <w:rPr/>
        <w:pict>
          <v:group style="position:absolute;margin-left:603.880005pt;margin-top:57.180008pt;width:55.45pt;height:142.5pt;mso-position-horizontal-relative:page;mso-position-vertical-relative:page;z-index:-956752" coordorigin="12078,1144" coordsize="1109,2850">
            <v:shape style="position:absolute;left:12078;top:1144;width:1109;height:2850" coordorigin="12078,1144" coordsize="1109,2850" path="m12078,3993l13186,3993,13186,1144,12078,1144,12078,3993xe" filled="true" fillcolor="#ffffff" stroked="false">
              <v:path arrowok="t"/>
              <v:fill type="solid"/>
            </v:shape>
            <w10:wrap type="none"/>
          </v:group>
        </w:pict>
      </w:r>
      <w:r>
        <w:rPr/>
        <w:pict>
          <v:group style="position:absolute;margin-left:603.880005pt;margin-top:328.960022pt;width:55.45pt;height:93.65pt;mso-position-horizontal-relative:page;mso-position-vertical-relative:page;z-index:-956728" coordorigin="12078,6579" coordsize="1109,1873">
            <v:shape style="position:absolute;left:12078;top:6579;width:1109;height:1873" coordorigin="12078,6579" coordsize="1109,1873" path="m12078,8452l13186,8452,13186,6579,12078,6579,12078,8452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3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vMerge w:val="restart"/>
            <w:tcBorders>
              <w:top w:val="single" w:sz="15" w:space="0" w:color="000000"/>
              <w:left w:val="single" w:sz="4" w:space="0" w:color="000000"/>
              <w:right w:val="single" w:sz="4" w:space="0" w:color="000000"/>
            </w:tcBorders>
          </w:tcPr>
          <w:p>
            <w:pPr/>
          </w:p>
        </w:tc>
        <w:tc>
          <w:tcPr>
            <w:tcW w:w="1805" w:type="dxa"/>
            <w:vMerge w:val="restart"/>
            <w:tcBorders>
              <w:top w:val="single" w:sz="15" w:space="0" w:color="000000"/>
              <w:left w:val="single" w:sz="4" w:space="0" w:color="000000"/>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金溢科技在减持前三个交易日予以公告。减持将采用集中竞价、大</w:t>
            </w:r>
          </w:p>
        </w:tc>
        <w:tc>
          <w:tcPr>
            <w:tcW w:w="1118" w:type="dxa"/>
            <w:tcBorders>
              <w:top w:val="single" w:sz="15" w:space="0" w:color="000000"/>
              <w:left w:val="single" w:sz="4" w:space="0" w:color="000000"/>
              <w:bottom w:val="nil" w:sz="6" w:space="0" w:color="auto"/>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宗交易、协议转让等方式，且减持价格不低于发行价（如自公司首</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次公开发行股票至上述减持公告之日，公司发生过除权除息等事项</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的，发行价格应相应调整</w:t>
            </w:r>
            <w:r>
              <w:rPr>
                <w:rFonts w:ascii="宋体" w:hAnsi="宋体" w:cs="宋体" w:eastAsia="宋体" w:hint="default"/>
                <w:spacing w:val="-90"/>
                <w:sz w:val="18"/>
                <w:szCs w:val="18"/>
              </w:rPr>
              <w:t>）</w:t>
            </w:r>
            <w:r>
              <w:rPr>
                <w:rFonts w:ascii="宋体" w:hAnsi="宋体" w:cs="宋体" w:eastAsia="宋体" w:hint="default"/>
                <w:sz w:val="18"/>
                <w:szCs w:val="18"/>
              </w:rPr>
              <w:t>；如一个月内公开减持股数超过公司股</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的，将通过交易所大宗交易系统进行转让；若本人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司所持股票在锁定期届满后两年内减持价格低于发行价的，则减持</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价格与发行价之间的差额由金溢科技在现金分红时从分配当年及</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8"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以后年度本人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本公司应分得的现金分红税前金额中予以先行扣除</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5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且扣除的现金分红归金溢科技所有。</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公司重要股东至为投资和致璞投资的承诺：自本企业所持金溢科</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技股票的锁定期届满之日起二十四个月内，每十二个月内转让的金</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溢科技股份总额不超过上一年度末本企业所持金溢科技股份数量</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6"/>
                <w:sz w:val="18"/>
                <w:szCs w:val="18"/>
              </w:rPr>
              <w:t>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。本企业减持金溢科技股份时，将依照《中华人民共和国公</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0"/>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0"/>
                <w:sz w:val="18"/>
                <w:szCs w:val="18"/>
              </w:rPr>
              <w:t>》</w:t>
            </w:r>
            <w:r>
              <w:rPr>
                <w:rFonts w:ascii="宋体" w:hAnsi="宋体" w:cs="宋体" w:eastAsia="宋体" w:hint="default"/>
                <w:sz w:val="18"/>
                <w:szCs w:val="18"/>
              </w:rPr>
              <w:t>、中国证监会和深圳证券交易所</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pacing w:val="-5"/>
                <w:sz w:val="18"/>
                <w:szCs w:val="18"/>
              </w:rPr>
              <w:t>深圳至为投资企业（有限合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深圳致璞投资企业（有</w:t>
            </w:r>
            <w:r>
              <w:rPr>
                <w:rFonts w:ascii="宋体" w:hAnsi="宋体" w:cs="宋体" w:eastAsia="宋体" w:hint="default"/>
                <w:sz w:val="18"/>
                <w:szCs w:val="18"/>
              </w:rPr>
              <w:t> 限合伙）</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
              <w:jc w:val="both"/>
              <w:rPr>
                <w:rFonts w:ascii="宋体" w:hAnsi="宋体" w:cs="宋体" w:eastAsia="宋体" w:hint="default"/>
                <w:sz w:val="18"/>
                <w:szCs w:val="18"/>
              </w:rPr>
            </w:pPr>
            <w:r>
              <w:rPr>
                <w:rFonts w:ascii="宋体" w:hAnsi="宋体" w:cs="宋体" w:eastAsia="宋体" w:hint="default"/>
                <w:spacing w:val="-2"/>
                <w:sz w:val="18"/>
                <w:szCs w:val="18"/>
              </w:rPr>
              <w:t>的相关规定执行，如实并及时申报本企业持有的金溢科技股份及其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变动情况。本企业所持股票在锁定期届满后两年内减持的，将提前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五个交易日向金溢科技提交减持原因、减持数量、未来减持计划、 </w:t>
            </w:r>
            <w:r>
              <w:rPr>
                <w:rFonts w:ascii="宋体" w:hAnsi="宋体" w:cs="宋体" w:eastAsia="宋体" w:hint="default"/>
                <w:spacing w:val="-2"/>
                <w:sz w:val="18"/>
                <w:szCs w:val="18"/>
              </w:rPr>
              <w:t>减持对金溢科技治理结构及持续经营影响的说明，并由金溢科技在</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减持前三个交易日予以公告。减持将采用集中竞价、大宗交易、协</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议转让等方式；如一个月内公开减持股数超过公司股份总数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将通过交易所大宗交易系统进行转让。如本企业违反上述持股锁定</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期承诺或法律强制性规定而减持金溢科技股份的，本企业承诺违规</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减持金溢科技股份所得归金溢科技所有。</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公司股东及高级管理人员蔡福春和刘厚军承诺：本人减持金溢科</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技股份时</w:t>
            </w:r>
            <w:r>
              <w:rPr>
                <w:rFonts w:ascii="宋体" w:hAnsi="宋体" w:cs="宋体" w:eastAsia="宋体" w:hint="default"/>
                <w:spacing w:val="-11"/>
                <w:sz w:val="18"/>
                <w:szCs w:val="18"/>
              </w:rPr>
              <w:t>，</w:t>
            </w:r>
            <w:r>
              <w:rPr>
                <w:rFonts w:ascii="宋体" w:hAnsi="宋体" w:cs="宋体" w:eastAsia="宋体" w:hint="default"/>
                <w:sz w:val="18"/>
                <w:szCs w:val="18"/>
              </w:rPr>
              <w:t>将依</w:t>
            </w:r>
            <w:r>
              <w:rPr>
                <w:rFonts w:ascii="宋体" w:hAnsi="宋体" w:cs="宋体" w:eastAsia="宋体" w:hint="default"/>
                <w:spacing w:val="-11"/>
                <w:sz w:val="18"/>
                <w:szCs w:val="18"/>
              </w:rPr>
              <w:t>照</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《中华人民共和国证</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both"/>
              <w:rPr>
                <w:rFonts w:ascii="宋体" w:hAnsi="宋体" w:cs="宋体" w:eastAsia="宋体" w:hint="default"/>
                <w:sz w:val="18"/>
                <w:szCs w:val="18"/>
              </w:rPr>
            </w:pPr>
            <w:r>
              <w:rPr>
                <w:rFonts w:ascii="宋体" w:hAnsi="宋体" w:cs="宋体" w:eastAsia="宋体" w:hint="default"/>
                <w:spacing w:val="-4"/>
                <w:sz w:val="18"/>
                <w:szCs w:val="18"/>
              </w:rPr>
              <w:t>券法》、中国证监会和深圳证券交易所的相关规定执行，如实并及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时申报本人持有的金溢科技股份及其变动情况。如本人违反持股锁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定期承诺或法律强制性规定而减持金溢科技股份的，本人承诺违规</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减持金溢科技股份所得归金溢科技所有。本人所持股票在锁定期届</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满后两年内减持的，减持价格不低于发行价（如自公司首次公开发</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97.700012pt;margin-top:267.040009pt;width:61.65pt;height:93.6pt;mso-position-horizontal-relative:page;mso-position-vertical-relative:page;z-index:-956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603.880005pt;margin-top:267.040009pt;width:55.45pt;height:93.6pt;mso-position-horizontal-relative:page;mso-position-vertical-relative:page;z-index:-956680" coordorigin="12078,5341" coordsize="1109,1872">
            <v:shape style="position:absolute;left:12078;top:5341;width:1109;height:1872" coordorigin="12078,5341" coordsize="1109,1872" path="m12078,7213l13186,7213,13186,5341,12078,5341,12078,7213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3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vMerge w:val="restart"/>
            <w:tcBorders>
              <w:top w:val="single" w:sz="15" w:space="0" w:color="000000"/>
              <w:left w:val="single" w:sz="4" w:space="0" w:color="000000"/>
              <w:right w:val="single" w:sz="4" w:space="0" w:color="000000"/>
            </w:tcBorders>
          </w:tcPr>
          <w:p>
            <w:pPr/>
          </w:p>
        </w:tc>
        <w:tc>
          <w:tcPr>
            <w:tcW w:w="1805" w:type="dxa"/>
            <w:vMerge w:val="restart"/>
            <w:tcBorders>
              <w:top w:val="single" w:sz="15" w:space="0" w:color="000000"/>
              <w:left w:val="single" w:sz="4" w:space="0" w:color="000000"/>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行股票至上述减持公告之日，公司发生过除权除息等事项的，发行</w:t>
            </w: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价格应相应调整</w:t>
            </w:r>
            <w:r>
              <w:rPr>
                <w:rFonts w:ascii="宋体" w:hAnsi="宋体" w:cs="宋体" w:eastAsia="宋体" w:hint="default"/>
                <w:spacing w:val="-90"/>
                <w:sz w:val="18"/>
                <w:szCs w:val="18"/>
              </w:rPr>
              <w:t>）</w:t>
            </w:r>
            <w:r>
              <w:rPr>
                <w:rFonts w:ascii="宋体" w:hAnsi="宋体" w:cs="宋体" w:eastAsia="宋体" w:hint="default"/>
                <w:sz w:val="18"/>
                <w:szCs w:val="18"/>
              </w:rPr>
              <w:t>；若本人所持股票在锁定期届满后两年内减持价</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格低于发行价的，则减持价格与发行价之间的差额由金溢科技在现</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金分红时从分配当年及以后年度本人应分得的现金分红税前金额</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中予以先行扣除，且扣除的现金分红归金溢科技所有。上述承诺不</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因本人在金溢科技职务变动或离职而失效。</w:t>
            </w:r>
            <w:r>
              <w:rPr>
                <w:rFonts w:ascii="Times New Roman" w:hAnsi="Times New Roman" w:cs="Times New Roman" w:eastAsia="Times New Roman" w:hint="default"/>
                <w:sz w:val="18"/>
                <w:szCs w:val="18"/>
              </w:rPr>
              <w:t>"</w:t>
            </w: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公司股东及监事甘云龙、钟勇，公司其他股东李兴锐、黄伟斌、王</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政、杨秋英、朱和安和通过持有公司股东股权而间接持有公司股份</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28"/>
              <w:jc w:val="both"/>
              <w:rPr>
                <w:rFonts w:ascii="宋体" w:hAnsi="宋体" w:cs="宋体" w:eastAsia="宋体" w:hint="default"/>
                <w:sz w:val="18"/>
                <w:szCs w:val="18"/>
              </w:rPr>
            </w:pP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黄伟斌</w:t>
            </w:r>
            <w:r>
              <w:rPr>
                <w:rFonts w:ascii="Times New Roman" w:hAnsi="Times New Roman" w:cs="Times New Roman" w:eastAsia="Times New Roman" w:hint="default"/>
                <w:sz w:val="18"/>
                <w:szCs w:val="18"/>
              </w:rPr>
              <w:t>;</w:t>
            </w:r>
            <w:r>
              <w:rPr>
                <w:rFonts w:ascii="宋体" w:hAnsi="宋体" w:cs="宋体" w:eastAsia="宋体" w:hint="default"/>
                <w:sz w:val="18"/>
                <w:szCs w:val="18"/>
              </w:rPr>
              <w:t>李兴锐</w:t>
            </w:r>
            <w:r>
              <w:rPr>
                <w:rFonts w:ascii="Times New Roman" w:hAnsi="Times New Roman" w:cs="Times New Roman" w:eastAsia="Times New Roman" w:hint="default"/>
                <w:sz w:val="18"/>
                <w:szCs w:val="18"/>
              </w:rPr>
              <w:t>;</w:t>
            </w:r>
            <w:r>
              <w:rPr>
                <w:rFonts w:ascii="宋体" w:hAnsi="宋体" w:cs="宋体" w:eastAsia="宋体" w:hint="default"/>
                <w:sz w:val="18"/>
                <w:szCs w:val="18"/>
              </w:rPr>
              <w:t>王 政</w:t>
            </w:r>
            <w:r>
              <w:rPr>
                <w:rFonts w:ascii="Times New Roman" w:hAnsi="Times New Roman" w:cs="Times New Roman" w:eastAsia="Times New Roman" w:hint="default"/>
                <w:sz w:val="18"/>
                <w:szCs w:val="18"/>
              </w:rPr>
              <w:t>;</w:t>
            </w:r>
            <w:r>
              <w:rPr>
                <w:rFonts w:ascii="宋体" w:hAnsi="宋体" w:cs="宋体" w:eastAsia="宋体" w:hint="default"/>
                <w:sz w:val="18"/>
                <w:szCs w:val="18"/>
              </w:rPr>
              <w:t>杨秋英</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r>
              <w:rPr>
                <w:rFonts w:ascii="Times New Roman" w:hAnsi="Times New Roman" w:cs="Times New Roman" w:eastAsia="Times New Roman" w:hint="default"/>
                <w:sz w:val="18"/>
                <w:szCs w:val="18"/>
              </w:rPr>
              <w:t>;</w:t>
            </w:r>
            <w:r>
              <w:rPr>
                <w:rFonts w:ascii="宋体" w:hAnsi="宋体" w:cs="宋体" w:eastAsia="宋体" w:hint="default"/>
                <w:sz w:val="18"/>
                <w:szCs w:val="18"/>
              </w:rPr>
              <w:t>朱 和安</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的董事及高级管理人员郑映虹承诺：自锁定期届满之日起，本人减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持金溢科技股票时，将依照《中华人民共和国公司法》、《中华人民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共和国证券法》、中国证监会和证券交易所的相关规定执行。如本</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人违反持股锁定期承诺或法律强制性规定而减持金溢科技股份的，</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本人承诺违规减持股份所得归金溢科技所有。</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公司上市后三年的具体股东回报规划如下：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、公司将采取现金、</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或者股票、或者现金与股票相结合、或者法律法规允许的其他方式</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分配利润。在符合现金分红的条件下，公司应当优先采取现金分红</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的方式进行利润分配。公司原则上每年度进行一次利润分配；公司</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董事会还可以根据公司盈利及资金状况提议公司进行中期分红。</w:t>
            </w:r>
            <w:r>
              <w:rPr>
                <w:rFonts w:ascii="Times New Roman" w:hAnsi="Times New Roman" w:cs="Times New Roman" w:eastAsia="Times New Roman" w:hint="default"/>
                <w:sz w:val="18"/>
                <w:szCs w:val="18"/>
              </w:rPr>
              <w:t>2</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在同时满足以下条件时，公司可实施现金分红：①公司该年度实现</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49"/>
              <w:jc w:val="left"/>
              <w:rPr>
                <w:rFonts w:ascii="宋体" w:hAnsi="宋体" w:cs="宋体" w:eastAsia="宋体" w:hint="default"/>
                <w:sz w:val="18"/>
                <w:szCs w:val="18"/>
              </w:rPr>
            </w:pPr>
            <w:r>
              <w:rPr>
                <w:rFonts w:ascii="宋体" w:hAnsi="宋体" w:cs="宋体" w:eastAsia="宋体" w:hint="default"/>
                <w:sz w:val="18"/>
                <w:szCs w:val="18"/>
              </w:rPr>
              <w:t>深圳市金溢科技股份有限 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的可分配利润（即公司弥补亏损、提取公积金后所余的税后利润） </w:t>
            </w:r>
            <w:r>
              <w:rPr>
                <w:rFonts w:ascii="宋体" w:hAnsi="宋体" w:cs="宋体" w:eastAsia="宋体" w:hint="default"/>
                <w:spacing w:val="-2"/>
                <w:sz w:val="18"/>
                <w:szCs w:val="18"/>
              </w:rPr>
              <w:t>为正值；②审计机构对公司该年度财务报告出具标准无保留意见的</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、公司每年以现金方式分配的利润应不低于当年实现</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的可分配利润的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、公司业绩增长快速、经营情况良好且董</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事会认为公司股票价格与公司股本规模不匹配、发放股票股利有利</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于公司全体股东整体利益时，可以在满足现金分红的条件下，由公</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司董事会综合考虑公司成长性、每股净资产的摊薄等因素提出并实</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施股票股利分配方案。</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6"/>
                <w:sz w:val="18"/>
                <w:szCs w:val="18"/>
              </w:rPr>
              <w:t>关于同业竞争、关联交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易、资金占用方面的承</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实际控制人关于避免同业竞争的承诺：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、本人除直接或间接持有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金溢科技股权外，未直接或间接经营任何与金溢科技经营的业务构</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412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成竞争或可能构成竞争的业务，也未参与投资任何与金溢科技生产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的产品或经营的业务构成竞争或可能构成竞争的其他企业；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、在 </w:t>
            </w:r>
            <w:r>
              <w:rPr>
                <w:rFonts w:ascii="宋体" w:hAnsi="宋体" w:cs="宋体" w:eastAsia="宋体" w:hint="default"/>
                <w:spacing w:val="-2"/>
                <w:sz w:val="18"/>
                <w:szCs w:val="18"/>
              </w:rPr>
              <w:t>本人与金溢科技存在关联关系期间，本人不直接或间接经营任何与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金溢科技经营的业务构成竞争或可能构成竞争的业务，也不参与投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资任何与金溢科技的产品或经营的业务构成竞争或可能构成竞争 的其他企业；</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、如本人或本人控制的其他企业获得的商业机会与 金溢科技生产的产品或经营的业务构成同业竞争或可能构成同业 竞争的，本人将立即通知金溢科技，将该商业机会给与金溢科技， 以确保金溢科技及其全体股东利益不受损害；</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、本人保证，将不 利用金溢科技实际控制人的身份对金溢科技的正常经营活动进行 不正当的干预；</w:t>
            </w:r>
            <w:r>
              <w:rPr>
                <w:rFonts w:ascii="Times New Roman" w:hAnsi="Times New Roman" w:cs="Times New Roman" w:eastAsia="Times New Roman" w:hint="default"/>
                <w:sz w:val="18"/>
                <w:szCs w:val="18"/>
              </w:rPr>
              <w:t>5</w:t>
            </w:r>
            <w:r>
              <w:rPr>
                <w:rFonts w:ascii="宋体" w:hAnsi="宋体" w:cs="宋体" w:eastAsia="宋体" w:hint="default"/>
                <w:sz w:val="18"/>
                <w:szCs w:val="18"/>
              </w:rPr>
              <w:t>、如因本人未履行上述承诺，因而取得的相关收 </w:t>
            </w:r>
            <w:r>
              <w:rPr>
                <w:rFonts w:ascii="宋体" w:hAnsi="宋体" w:cs="宋体" w:eastAsia="宋体" w:hint="default"/>
                <w:spacing w:val="-2"/>
                <w:sz w:val="18"/>
                <w:szCs w:val="18"/>
              </w:rPr>
              <w:t>益将全部归金溢科技；如因本人未履行上述承诺而给金溢科技及其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他股东造成损失的，将给予金溢科技及其他股东全部赔偿。</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5355"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02" w:lineRule="auto"/>
              <w:ind w:left="23"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2"/>
              <w:jc w:val="both"/>
              <w:rPr>
                <w:rFonts w:ascii="宋体" w:hAnsi="宋体" w:cs="宋体" w:eastAsia="宋体" w:hint="default"/>
                <w:sz w:val="18"/>
                <w:szCs w:val="18"/>
              </w:rPr>
            </w:pPr>
            <w:r>
              <w:rPr>
                <w:rFonts w:ascii="宋体" w:hAnsi="宋体" w:cs="宋体" w:eastAsia="宋体" w:hint="default"/>
                <w:spacing w:val="-6"/>
                <w:sz w:val="18"/>
                <w:szCs w:val="18"/>
              </w:rPr>
              <w:t>关于同业竞争、关联交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易、资金占用方面的承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实际控制人关于规范和减少关联交易的确认与承诺：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、承诺人将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严格遵守相关法律法规及内部规章制度，不以任何方式占用或使用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公司的资产和资源，不以任何方式从事损害或可能损害公司及其他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股东利益的行为。如出现违反上述承诺与保证，而导致公司或其股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东的权益受到损害，将依法承担相应的赔偿责任。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 </w:t>
            </w:r>
            <w:r>
              <w:rPr>
                <w:rFonts w:ascii="宋体" w:hAnsi="宋体" w:cs="宋体" w:eastAsia="宋体" w:hint="default"/>
                <w:spacing w:val="-2"/>
                <w:sz w:val="18"/>
                <w:szCs w:val="18"/>
              </w:rPr>
              <w:t>股东期间，承诺人及承诺人控制的其他下属企业或公司将尽量避免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与公司发生关联交易；如与公司发生不可避免的关联交易，承诺人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及承诺人控制的其他下属企业或公司将严格按照《公司法》、《证券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8"/>
                <w:sz w:val="18"/>
                <w:szCs w:val="18"/>
              </w:rPr>
              <w:t>法》、《公司章程》和《关联交易决策制度》的规定规范关联交易行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为，并按有关规定履行信息披露义务和办理有关报批程序，保证不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通过关联交易损害公司及其股东的合法权益。</w:t>
            </w:r>
            <w:r>
              <w:rPr>
                <w:rFonts w:ascii="Times New Roman" w:hAnsi="Times New Roman" w:cs="Times New Roman" w:eastAsia="Times New Roman" w:hint="default"/>
                <w:sz w:val="18"/>
                <w:szCs w:val="18"/>
              </w:rPr>
              <w:t>3</w:t>
            </w:r>
            <w:r>
              <w:rPr>
                <w:rFonts w:ascii="宋体" w:hAnsi="宋体" w:cs="宋体" w:eastAsia="宋体" w:hint="default"/>
                <w:sz w:val="18"/>
                <w:szCs w:val="18"/>
              </w:rPr>
              <w:t>、在公司任职期间 </w:t>
            </w:r>
            <w:r>
              <w:rPr>
                <w:rFonts w:ascii="宋体" w:hAnsi="宋体" w:cs="宋体" w:eastAsia="宋体" w:hint="default"/>
                <w:spacing w:val="-2"/>
                <w:sz w:val="18"/>
                <w:szCs w:val="18"/>
              </w:rPr>
              <w:t>和离任后十二个月内，承诺人及承诺人控制的其他下属企业或公司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将尽量避免与公司发生关联交易，如与公司发生不可避免的关联交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易，承诺人及承诺人控制的其他下属企业或公司将严格按照《公司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3"/>
                <w:sz w:val="18"/>
                <w:szCs w:val="18"/>
              </w:rPr>
              <w:t>法》、《证券法》、《公司章程》和《关联交易决策制度》的规定规范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关联交易行为。如承诺人违反上述承诺，承诺人将在公司股东大会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及中国证监会指定报刊上公开说明未履行上述承诺的原因并向公</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1313"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pacing w:val="-2"/>
                <w:sz w:val="18"/>
                <w:szCs w:val="18"/>
              </w:rPr>
              <w:t>司股东和社会公众投资者道歉，并以违反上述承诺发生之日起当年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度或以后年度公司利润分配方案中承诺人享有的现金分红作为履 约担保，同时在履行承诺前，承诺人持有的公司股份将不得转让。</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508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6"/>
                <w:sz w:val="18"/>
                <w:szCs w:val="18"/>
              </w:rPr>
              <w:t>关于同业竞争、关联交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易、资金占用方面的承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第一大股东关于避免同业竞争的承诺：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、本公司除直接或间接持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有金溢科技股权外，未直接或间接经营任何与金溢科技经营的业务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构成竞争或可能构成竞争的业务，也未参与投资任何与金溢科技生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产的产品或经营的业务构成竞争或可能构成竞争的其他企业；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2"/>
                <w:sz w:val="18"/>
                <w:szCs w:val="18"/>
              </w:rPr>
              <w:t>在本公司与金溢科技存在关联关系期间，本公司不直接或间接经营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任何与金溢科技经营的业务构成竞争或可能构成竞争的业务，也不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参与投资任何与金溢科技的产品或经营的业务构成竞争或可能构 成竞争的其他企业；</w:t>
            </w:r>
            <w:r>
              <w:rPr>
                <w:rFonts w:ascii="Times New Roman" w:hAnsi="Times New Roman" w:cs="Times New Roman" w:eastAsia="Times New Roman" w:hint="default"/>
                <w:sz w:val="18"/>
                <w:szCs w:val="18"/>
              </w:rPr>
              <w:t>3</w:t>
            </w:r>
            <w:r>
              <w:rPr>
                <w:rFonts w:ascii="宋体" w:hAnsi="宋体" w:cs="宋体" w:eastAsia="宋体" w:hint="default"/>
                <w:sz w:val="18"/>
                <w:szCs w:val="18"/>
              </w:rPr>
              <w:t>、如本公司或本公司控制的其他企业获得的 商业机会与金溢科技生产的产品或经营的业务构成同业竞争或可 </w:t>
            </w:r>
            <w:r>
              <w:rPr>
                <w:rFonts w:ascii="宋体" w:hAnsi="宋体" w:cs="宋体" w:eastAsia="宋体" w:hint="default"/>
                <w:spacing w:val="-2"/>
                <w:sz w:val="18"/>
                <w:szCs w:val="18"/>
              </w:rPr>
              <w:t>能构成同业竞争的，本公司将立刻通知金溢科技，将该商业机会给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与金溢科技，以确保金溢科技及其全体股东利益不受损害；</w:t>
            </w:r>
            <w:r>
              <w:rPr>
                <w:rFonts w:ascii="Times New Roman" w:hAnsi="Times New Roman" w:cs="Times New Roman" w:eastAsia="Times New Roman" w:hint="default"/>
                <w:sz w:val="18"/>
                <w:szCs w:val="18"/>
              </w:rPr>
              <w:t>4</w:t>
            </w:r>
            <w:r>
              <w:rPr>
                <w:rFonts w:ascii="宋体" w:hAnsi="宋体" w:cs="宋体" w:eastAsia="宋体" w:hint="default"/>
                <w:sz w:val="18"/>
                <w:szCs w:val="18"/>
              </w:rPr>
              <w:t>、本 </w:t>
            </w:r>
            <w:r>
              <w:rPr>
                <w:rFonts w:ascii="宋体" w:hAnsi="宋体" w:cs="宋体" w:eastAsia="宋体" w:hint="default"/>
                <w:spacing w:val="-2"/>
                <w:sz w:val="18"/>
                <w:szCs w:val="18"/>
              </w:rPr>
              <w:t>公司保证，将不利用金溢科技第一大股东的身份对金溢科技的正常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经营活动进行不正当的干预；</w:t>
            </w:r>
            <w:r>
              <w:rPr>
                <w:rFonts w:ascii="Times New Roman" w:hAnsi="Times New Roman" w:cs="Times New Roman" w:eastAsia="Times New Roman" w:hint="default"/>
                <w:sz w:val="18"/>
                <w:szCs w:val="18"/>
              </w:rPr>
              <w:t>5</w:t>
            </w:r>
            <w:r>
              <w:rPr>
                <w:rFonts w:ascii="宋体" w:hAnsi="宋体" w:cs="宋体" w:eastAsia="宋体" w:hint="default"/>
                <w:sz w:val="18"/>
                <w:szCs w:val="18"/>
              </w:rPr>
              <w:t>、如因本公司未履行上述承诺，因 </w:t>
            </w:r>
            <w:r>
              <w:rPr>
                <w:rFonts w:ascii="宋体" w:hAnsi="宋体" w:cs="宋体" w:eastAsia="宋体" w:hint="default"/>
                <w:spacing w:val="-2"/>
                <w:sz w:val="18"/>
                <w:szCs w:val="18"/>
              </w:rPr>
              <w:t>而取得的相关收益将全部归金溢科技；如因本公司未履行上述承诺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而给金溢科技及其他股东造成损失的，将给予金溢科技及其他股东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全部赔偿。</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1"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6"/>
                <w:sz w:val="18"/>
                <w:szCs w:val="18"/>
              </w:rPr>
              <w:t>关于同业竞争、关联交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易、资金占用方面的承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第一大股东关于规范和减少关联交易的确认与承诺：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、承诺人将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严格遵守相关法律法规及内部规章制度，不以任何方式占用或使用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公司的资产和资源，不以任何方式从事损害或可能损害公司及其他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股东利益的行为。如出现违反上述承诺与保证，而导致公司或其股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东的权益受到损害，将依法承担相应的赔偿责任。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 </w:t>
            </w:r>
            <w:r>
              <w:rPr>
                <w:rFonts w:ascii="宋体" w:hAnsi="宋体" w:cs="宋体" w:eastAsia="宋体" w:hint="default"/>
                <w:spacing w:val="-2"/>
                <w:sz w:val="18"/>
                <w:szCs w:val="18"/>
              </w:rPr>
              <w:t>股东期间，承诺人及承诺人控制的其他下属企业或公司将尽量避免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与公司发生关联交易；如与公司发生不可避免的关联交易，承诺人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8"/>
                <w:sz w:val="18"/>
                <w:szCs w:val="18"/>
              </w:rPr>
              <w:t>及承诺人控制的其他下属企业或公司将严格按照《公司法》、《证券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8"/>
                <w:sz w:val="18"/>
                <w:szCs w:val="18"/>
              </w:rPr>
              <w:t>法》、《公司章程》和《关联交易决策制度》的规定规范关联交易行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为，并按有关规定履行信息披露义务和办理有关报批程序，保证不</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16.671021pt;margin-top:153.320007pt;width:142.65pt;height:170.6pt;mso-position-horizontal-relative:page;mso-position-vertical-relative:page;z-index:-956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配股等原因进行除权、</w:t>
                  </w:r>
                </w:p>
              </w:txbxContent>
            </v:textbox>
            <w10:wrap type="none"/>
          </v:shape>
        </w:pict>
      </w:r>
      <w:r>
        <w:rPr/>
        <w:pict>
          <v:group style="position:absolute;margin-left:603.880005pt;margin-top:153.320007pt;width:55.45pt;height:170.6pt;mso-position-horizontal-relative:page;mso-position-vertical-relative:page;z-index:-956632" coordorigin="12078,3066" coordsize="1109,3412">
            <v:shape style="position:absolute;left:12078;top:3066;width:1109;height:3412" coordorigin="12078,3066" coordsize="1109,3412" path="m12078,6478l13186,6478,13186,3066,12078,3066,12078,6478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3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vMerge w:val="restart"/>
            <w:tcBorders>
              <w:top w:val="single" w:sz="15" w:space="0" w:color="000000"/>
              <w:left w:val="single" w:sz="4" w:space="0" w:color="000000"/>
              <w:right w:val="single" w:sz="4" w:space="0" w:color="000000"/>
            </w:tcBorders>
          </w:tcPr>
          <w:p>
            <w:pPr/>
          </w:p>
        </w:tc>
        <w:tc>
          <w:tcPr>
            <w:tcW w:w="1805" w:type="dxa"/>
            <w:vMerge w:val="restart"/>
            <w:tcBorders>
              <w:top w:val="single" w:sz="15" w:space="0" w:color="000000"/>
              <w:left w:val="single" w:sz="4" w:space="0" w:color="000000"/>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通过关联交易损害公司及其股东的合法权益。如承诺人违反上述承</w:t>
            </w: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诺，承诺人将在公司股东大会及中国证监会指定报刊上公开说明未</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履行上述承诺的原因并向公司股东和社会公众投资者道歉，并以违</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反上述承诺发生之日起当年度或以后年度公司利润分配方案中承</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诺人享有的现金分红作为履约担保，同时在履行承诺前，承诺人持</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有的公司股份将不得转让。</w:t>
            </w:r>
            <w:r>
              <w:rPr>
                <w:rFonts w:ascii="Times New Roman" w:hAnsi="Times New Roman" w:cs="Times New Roman" w:eastAsia="Times New Roman" w:hint="default"/>
                <w:sz w:val="18"/>
                <w:szCs w:val="18"/>
              </w:rPr>
              <w:t>"</w:t>
            </w: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一、在稳定股价预案的预警条件满足时，即自公司股票正式挂牌</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上市之日起三年内，当公司股票连续五个交易日的收盘价（如果因</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派发现金红利、送股、转增股本、增发新股、</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除息的，须按照深圳证券交易所的有关规定作相应调整，下同）均</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低于公司上一个会计年度末经审计的每股净资产（每股净资产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并财务报表中的归属于母公司普通股股东权益合计数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份总数，下同）的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时，公司将在十个工作日内召开业绩说明</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会或投资者见面会，与投资者就公司经营状况、财务指标、发展战</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略进行深入沟通。二、在稳定股价预案的启动条件满足时，即自公</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司股票正式挂牌上市之日起三年内，当某一年度首次出现公司股票</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149"/>
              <w:jc w:val="left"/>
              <w:rPr>
                <w:rFonts w:ascii="宋体" w:hAnsi="宋体" w:cs="宋体" w:eastAsia="宋体" w:hint="default"/>
                <w:sz w:val="18"/>
                <w:szCs w:val="18"/>
              </w:rPr>
            </w:pPr>
            <w:r>
              <w:rPr>
                <w:rFonts w:ascii="宋体" w:hAnsi="宋体" w:cs="宋体" w:eastAsia="宋体" w:hint="default"/>
                <w:sz w:val="18"/>
                <w:szCs w:val="18"/>
              </w:rPr>
              <w:t>深圳市金溢科技股份有限 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连续二十个交易日的收盘价均低于公司上一个会计年度末经审计 </w:t>
            </w:r>
            <w:r>
              <w:rPr>
                <w:rFonts w:ascii="宋体" w:hAnsi="宋体" w:cs="宋体" w:eastAsia="宋体" w:hint="default"/>
                <w:spacing w:val="-2"/>
                <w:sz w:val="18"/>
                <w:szCs w:val="18"/>
              </w:rPr>
              <w:t>的每股净资产的情形时，本公司将自稳定股价方案公告之日起三个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月内，通过二级市场以集中竞价交易方式、要约方式或证券监督管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理部门认可的其他方式回购公司股份以稳定股价，具体措施如下：</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（一）公司为稳定股价之目的回购股份，应符合《上市公司回购社</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会公众股份管理办法（试行</w:t>
            </w:r>
            <w:r>
              <w:rPr>
                <w:rFonts w:ascii="宋体" w:hAnsi="宋体" w:cs="宋体" w:eastAsia="宋体" w:hint="default"/>
                <w:spacing w:val="-90"/>
                <w:sz w:val="18"/>
                <w:szCs w:val="18"/>
              </w:rPr>
              <w:t>）</w:t>
            </w:r>
            <w:r>
              <w:rPr>
                <w:rFonts w:ascii="宋体" w:hAnsi="宋体" w:cs="宋体" w:eastAsia="宋体" w:hint="default"/>
                <w:sz w:val="18"/>
                <w:szCs w:val="18"/>
              </w:rPr>
              <w:t>》及《关于上市公司以集中竞价交易</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方式回购股份的补充规定》等相关法律、法规的规定</w:t>
            </w:r>
            <w:r>
              <w:rPr>
                <w:rFonts w:ascii="宋体" w:hAnsi="宋体" w:cs="宋体" w:eastAsia="宋体" w:hint="default"/>
                <w:spacing w:val="-90"/>
                <w:sz w:val="18"/>
                <w:szCs w:val="18"/>
              </w:rPr>
              <w:t>。</w:t>
            </w:r>
            <w:r>
              <w:rPr>
                <w:rFonts w:ascii="宋体" w:hAnsi="宋体" w:cs="宋体" w:eastAsia="宋体" w:hint="default"/>
                <w:sz w:val="18"/>
                <w:szCs w:val="18"/>
              </w:rPr>
              <w:t>（二）公司</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董事会应于稳定股价启动条件触发十个交易日内制定股份回购方</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案，并及时履行相关内部决策程序。该股份回购计划还须经出席会</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议的股东所持表决权的三分之二以上通过</w:t>
            </w:r>
            <w:r>
              <w:rPr>
                <w:rFonts w:ascii="宋体" w:hAnsi="宋体" w:cs="宋体" w:eastAsia="宋体" w:hint="default"/>
                <w:spacing w:val="-90"/>
                <w:sz w:val="18"/>
                <w:szCs w:val="18"/>
              </w:rPr>
              <w:t>。</w:t>
            </w:r>
            <w:r>
              <w:rPr>
                <w:rFonts w:ascii="宋体" w:hAnsi="宋体" w:cs="宋体" w:eastAsia="宋体" w:hint="default"/>
                <w:sz w:val="18"/>
                <w:szCs w:val="18"/>
              </w:rPr>
              <w:t>（三）在股东大会审议</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通过股份回购方案后，公司应依法通知债权人，向证券监督管理部</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门、证券交易所等主管部门报送相关材料，办理审批或备案手续。</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在完成必需的审批、备案、信息披露等程序后，公司方可实施相应</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的股份回购方案</w:t>
            </w:r>
            <w:r>
              <w:rPr>
                <w:rFonts w:ascii="宋体" w:hAnsi="宋体" w:cs="宋体" w:eastAsia="宋体" w:hint="default"/>
                <w:spacing w:val="-90"/>
                <w:sz w:val="18"/>
                <w:szCs w:val="18"/>
              </w:rPr>
              <w:t>。</w:t>
            </w:r>
            <w:r>
              <w:rPr>
                <w:rFonts w:ascii="宋体" w:hAnsi="宋体" w:cs="宋体" w:eastAsia="宋体" w:hint="default"/>
                <w:sz w:val="18"/>
                <w:szCs w:val="18"/>
              </w:rPr>
              <w:t>（四）公司为稳定股价之目的进行股份回购的，</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11"/>
        <w:rPr>
          <w:rFonts w:ascii="Times New Roman" w:hAnsi="Times New Roman" w:cs="Times New Roman" w:eastAsia="Times New Roman" w:hint="default"/>
          <w:sz w:val="4"/>
          <w:szCs w:val="4"/>
        </w:rPr>
      </w:pPr>
      <w:r>
        <w:rPr/>
        <w:pict>
          <v:shape style="position:absolute;margin-left:534.703003pt;margin-top:57.180008pt;width:124.65pt;height:251.7pt;mso-position-horizontal-relative:page;mso-position-vertical-relative:page;z-index:-956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高级管理人员前，</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5058"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除应符合相关法律法规之要求之外，还应符合下列各项：</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公司用 于回购股份的资金总额累计不超过公司首次公开发行人民币普通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A </w:t>
            </w:r>
            <w:r>
              <w:rPr>
                <w:rFonts w:ascii="宋体" w:hAnsi="宋体" w:cs="宋体" w:eastAsia="宋体" w:hint="default"/>
                <w:spacing w:val="-4"/>
                <w:sz w:val="18"/>
                <w:szCs w:val="18"/>
              </w:rPr>
              <w:t>股）所募集资金的总额；</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公司单次回购方案的回购股份数 额不超过总股本的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，回购股份总额不超过总股本的</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。（五）</w:t>
            </w:r>
            <w:r>
              <w:rPr>
                <w:rFonts w:ascii="宋体" w:hAnsi="宋体" w:cs="宋体" w:eastAsia="宋体" w:hint="default"/>
                <w:sz w:val="18"/>
                <w:szCs w:val="18"/>
              </w:rPr>
              <w:t> </w:t>
            </w:r>
            <w:r>
              <w:rPr>
                <w:rFonts w:ascii="宋体" w:hAnsi="宋体" w:cs="宋体" w:eastAsia="宋体" w:hint="default"/>
                <w:spacing w:val="-2"/>
                <w:sz w:val="18"/>
                <w:szCs w:val="18"/>
              </w:rPr>
              <w:t>公司董事会公告回购股份预案后，公司股票若连续【五】个交易日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收盘价均超过每股净资产时，公司董事会可以做出决议终止回购股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份事宜。三、在稳定股价预案的停止条件满足时，即上述稳定股价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措施尚未正式实施前或实施期间内，如公司股票连续五个交易日收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盘价均高于每股净资产，或继续回购公司股份将导致公司股权分布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不符合上市条件的，公司将停止实施稳定股价措施。四、在稳定股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价启动条件触发时，如本公司未采取上述稳定股价的具体措施，本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公司将在股东大会及中国证监会指定报刊上公开说明未采取上述 稳定股价措施的具体原因并向公司股东和社会公众投资者致歉。 五、本公司在未来聘任新的董事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独立董事除外</w:t>
            </w:r>
            <w:r>
              <w:rPr>
                <w:rFonts w:ascii="Times New Roman" w:hAnsi="Times New Roman" w:cs="Times New Roman" w:eastAsia="Times New Roman" w:hint="default"/>
                <w:sz w:val="18"/>
                <w:szCs w:val="18"/>
              </w:rPr>
              <w:t>)</w:t>
            </w:r>
            <w:r>
              <w:rPr>
                <w:rFonts w:ascii="宋体" w:hAnsi="宋体" w:cs="宋体" w:eastAsia="宋体" w:hint="default"/>
                <w:sz w:val="18"/>
                <w:szCs w:val="18"/>
              </w:rPr>
              <w:t>、 将要求其签署承诺书，保证其履行公司首次公开发行上市时董事、 高级管理人员已做出的相应承诺。</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55.45pt;height:251.7pt;mso-position-horizontal-relative:char;mso-position-vertical-relative:line" coordorigin="0,0" coordsize="1109,5034">
                  <v:group style="position:absolute;left:0;top:0;width:1109;height:5034" coordorigin="0,0" coordsize="1109,5034">
                    <v:shape style="position:absolute;left:0;top:0;width:1109;height:5034" coordorigin="0,0" coordsize="1109,5034" path="m0,5034l1109,5034,1109,0,0,0,0,5034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4419"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0" w:lineRule="auto"/>
              <w:ind w:left="23" w:right="98"/>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深圳市敏行电子有限公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第一大股东、实际控制人关于稳定股价的承诺：一、本公司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同意公司制定的关于首次公开发行人民币普通股（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股）并上市后</w:t>
            </w:r>
            <w:r>
              <w:rPr>
                <w:rFonts w:ascii="宋体" w:hAnsi="宋体" w:cs="宋体" w:eastAsia="宋体" w:hint="default"/>
                <w:sz w:val="18"/>
                <w:szCs w:val="18"/>
              </w:rPr>
              <w:t> </w:t>
            </w:r>
            <w:r>
              <w:rPr>
                <w:rFonts w:ascii="宋体" w:hAnsi="宋体" w:cs="宋体" w:eastAsia="宋体" w:hint="default"/>
                <w:spacing w:val="-2"/>
                <w:sz w:val="18"/>
                <w:szCs w:val="18"/>
              </w:rPr>
              <w:t>三年内稳定股价的预案，并承诺于公司为稳定股价启动股份回购的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董事会及股东大会投赞成票；二、在稳定股价预案的启动条件满足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时，即自公司股票正式挂牌上市之日起三年内，当某一年度首次出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现公司股票连续二十个交易日的收盘价（如果因派发现金红利、送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股、转增股本、增发新股、配股等原因进行除权、除息的，须按照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深圳证券交易所的有关规定作相应调整，下同）低于公司上一个会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计年度末经审计的每股净资产（每股净资产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 属于母公司普通股股东权益合计数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 </w:t>
            </w:r>
            <w:r>
              <w:rPr>
                <w:rFonts w:ascii="宋体" w:hAnsi="宋体" w:cs="宋体" w:eastAsia="宋体" w:hint="default"/>
                <w:spacing w:val="-2"/>
                <w:sz w:val="18"/>
                <w:szCs w:val="18"/>
              </w:rPr>
              <w:t>情形时，若公司无法实施回购股票，或公司回购股票议案未获得董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事会或股东大会审议通过，或公司回购股票方案实施后再次触发稳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定股价预案的启动条件，本公司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本人将在符合《上市公司收购管理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办法》等法律法规的条件和要求的前提下，通过交易所集中竞价交</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6618"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易方式，采取以下稳定股价的措施</w:t>
            </w:r>
            <w:r>
              <w:rPr>
                <w:rFonts w:ascii="宋体" w:hAnsi="宋体" w:cs="宋体" w:eastAsia="宋体" w:hint="default"/>
                <w:spacing w:val="-90"/>
                <w:sz w:val="18"/>
                <w:szCs w:val="18"/>
              </w:rPr>
              <w:t>：</w:t>
            </w: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本人在稳定股价 启动条件触发十个交易日内</w:t>
            </w:r>
            <w:r>
              <w:rPr>
                <w:rFonts w:ascii="宋体" w:hAnsi="宋体" w:cs="宋体" w:eastAsia="宋体" w:hint="default"/>
                <w:spacing w:val="-82"/>
                <w:sz w:val="18"/>
                <w:szCs w:val="18"/>
              </w:rPr>
              <w:t>，</w:t>
            </w:r>
            <w:r>
              <w:rPr>
                <w:rFonts w:ascii="宋体" w:hAnsi="宋体" w:cs="宋体" w:eastAsia="宋体" w:hint="default"/>
                <w:sz w:val="18"/>
                <w:szCs w:val="18"/>
              </w:rPr>
              <w:t>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本人拟增持股票的具体计划</w:t>
            </w:r>
          </w:p>
          <w:p>
            <w:pPr>
              <w:pStyle w:val="TableParagraph"/>
              <w:spacing w:line="314" w:lineRule="auto" w:before="13"/>
              <w:ind w:left="22" w:right="20"/>
              <w:jc w:val="both"/>
              <w:rPr>
                <w:rFonts w:ascii="宋体" w:hAnsi="宋体" w:cs="宋体" w:eastAsia="宋体" w:hint="default"/>
                <w:sz w:val="18"/>
                <w:szCs w:val="18"/>
              </w:rPr>
            </w:pPr>
            <w:r>
              <w:rPr>
                <w:rFonts w:ascii="宋体" w:hAnsi="宋体" w:cs="宋体" w:eastAsia="宋体" w:hint="default"/>
                <w:spacing w:val="-2"/>
                <w:sz w:val="18"/>
                <w:szCs w:val="18"/>
              </w:rPr>
              <w:t>（内容包括但不限于增持股数区间、计划的增持价格上限、完成时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效等）以书面方式通知公司，并由公司在增持开始前三个交易日内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予以公告。本公司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本人将自股价稳定方案公告之日起三个月内以自</w:t>
            </w:r>
            <w:r>
              <w:rPr>
                <w:rFonts w:ascii="宋体" w:hAnsi="宋体" w:cs="宋体" w:eastAsia="宋体" w:hint="default"/>
                <w:spacing w:val="-83"/>
                <w:sz w:val="18"/>
                <w:szCs w:val="18"/>
              </w:rPr>
              <w:t> </w:t>
            </w:r>
            <w:r>
              <w:rPr>
                <w:rFonts w:ascii="宋体" w:hAnsi="宋体" w:cs="宋体" w:eastAsia="宋体" w:hint="default"/>
                <w:spacing w:val="-2"/>
                <w:sz w:val="18"/>
                <w:szCs w:val="18"/>
              </w:rPr>
              <w:t>有资金在二级市场增持公司股份，其中设定的计划增持价格不高于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公司上一个会计年度末经审计的每股净资产的</w:t>
            </w:r>
            <w:r>
              <w:rPr>
                <w:rFonts w:ascii="宋体" w:hAnsi="宋体" w:cs="宋体" w:eastAsia="宋体" w:hint="default"/>
                <w:spacing w:val="-42"/>
                <w:sz w:val="18"/>
                <w:szCs w:val="18"/>
              </w:rPr>
              <w:t> </w:t>
            </w:r>
            <w:r>
              <w:rPr>
                <w:rFonts w:ascii="Times New Roman" w:hAnsi="Times New Roman" w:cs="Times New Roman" w:eastAsia="Times New Roman" w:hint="default"/>
                <w:spacing w:val="-13"/>
                <w:sz w:val="18"/>
                <w:szCs w:val="18"/>
              </w:rPr>
              <w:t>110%</w:t>
            </w:r>
            <w:r>
              <w:rPr>
                <w:rFonts w:ascii="宋体" w:hAnsi="宋体" w:cs="宋体" w:eastAsia="宋体" w:hint="default"/>
                <w:spacing w:val="-13"/>
                <w:sz w:val="18"/>
                <w:szCs w:val="18"/>
              </w:rPr>
              <w:t>。（二）本公司</w:t>
            </w:r>
          </w:p>
          <w:p>
            <w:pPr>
              <w:pStyle w:val="TableParagraph"/>
              <w:spacing w:line="304" w:lineRule="auto" w:before="1"/>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本人为稳定股价之目的进行股票增持的，除应符合相关法律法规之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要求外，还应符合下列各项：本公司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本人单次增持方案的增持股份</w:t>
            </w:r>
            <w:r>
              <w:rPr>
                <w:rFonts w:ascii="宋体" w:hAnsi="宋体" w:cs="宋体" w:eastAsia="宋体" w:hint="default"/>
                <w:spacing w:val="-82"/>
                <w:sz w:val="18"/>
                <w:szCs w:val="18"/>
              </w:rPr>
              <w:t> </w:t>
            </w:r>
            <w:r>
              <w:rPr>
                <w:rFonts w:ascii="宋体" w:hAnsi="宋体" w:cs="宋体" w:eastAsia="宋体" w:hint="default"/>
                <w:sz w:val="18"/>
                <w:szCs w:val="18"/>
              </w:rPr>
              <w:t>数额不超过公司总股本的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，增持股份总额不超过公司总股本的 </w:t>
            </w:r>
            <w:r>
              <w:rPr>
                <w:rFonts w:ascii="Times New Roman" w:hAnsi="Times New Roman" w:cs="Times New Roman" w:eastAsia="Times New Roman" w:hint="default"/>
                <w:sz w:val="18"/>
                <w:szCs w:val="18"/>
              </w:rPr>
              <w:t>3%</w:t>
            </w:r>
            <w:r>
              <w:rPr>
                <w:rFonts w:ascii="宋体" w:hAnsi="宋体" w:cs="宋体" w:eastAsia="宋体" w:hint="default"/>
                <w:sz w:val="18"/>
                <w:szCs w:val="18"/>
              </w:rPr>
              <w:t>。三、在稳定股价预案的停止条件满足时，即上述稳定股价措 </w:t>
            </w:r>
            <w:r>
              <w:rPr>
                <w:rFonts w:ascii="宋体" w:hAnsi="宋体" w:cs="宋体" w:eastAsia="宋体" w:hint="default"/>
                <w:spacing w:val="-2"/>
                <w:sz w:val="18"/>
                <w:szCs w:val="18"/>
              </w:rPr>
              <w:t>施尚未正式实施前或实施期间内，如公司股票连续五个交易日收盘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价均高于每股净资产，或继续回购公司股份将导致公司股权分布不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符合上市条件的，本公司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本人将停止实施稳定股价措施。四、在启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动股价稳定措施的条件满足时，如本公司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本人未采取上述稳定股价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的具体措施，本公司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本人承诺接受以下约束措施：（一）本公司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本人在公司股东大会及中国证监会指定报刊上公开说明未采取上 述稳定股价措施的具体原因并向公司股东和社会公众投资者道歉。</w:t>
            </w:r>
          </w:p>
          <w:p>
            <w:pPr>
              <w:pStyle w:val="TableParagraph"/>
              <w:spacing w:line="309" w:lineRule="auto" w:before="28"/>
              <w:ind w:left="22" w:right="2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（二）在前述事项发生之日起十个交易日内，公司可停止发放本公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本人的现金分红，且本公司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本人持有的公司股份不得转让，直 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本人采取上述稳定股价措施并实施完毕。</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r>
      <w:tr>
        <w:trPr>
          <w:trHeight w:val="2859"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9"/>
              <w:ind w:left="23" w:right="129"/>
              <w:jc w:val="both"/>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 </w:t>
            </w:r>
            <w:r>
              <w:rPr>
                <w:rFonts w:ascii="宋体" w:hAnsi="宋体" w:cs="宋体" w:eastAsia="宋体" w:hint="default"/>
                <w:sz w:val="18"/>
                <w:szCs w:val="18"/>
              </w:rPr>
              <w:t>郑映虹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5244"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非独立董事、高级管理人员关于稳定股价的承诺：一、本人同意 公司制定的关于首次公开发行人民币普通股（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股）并上市后三年 </w:t>
            </w:r>
            <w:r>
              <w:rPr>
                <w:rFonts w:ascii="宋体" w:hAnsi="宋体" w:cs="宋体" w:eastAsia="宋体" w:hint="default"/>
                <w:spacing w:val="-2"/>
                <w:sz w:val="18"/>
                <w:szCs w:val="18"/>
              </w:rPr>
              <w:t>内稳定股价的预案，并承诺于公司为稳定股价启动股份回购的董事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会上投赞成票。二、在稳定股价预案的启动条件满足时，即自公司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股票正式挂牌上市之日起三年内，当某一年度首次出现公司股票连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续二十个交易日的收盘价（如果因派发现金红利、送股、转增股本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增发新股、配股等原因进行除权、除息的，须按照深圳证券交易所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的有关规定作相应调整，下同）低于公司上一个会计年度末经审计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合并财务报表中的归属于母公司普通</w:t>
            </w:r>
          </w:p>
        </w:tc>
        <w:tc>
          <w:tcPr>
            <w:tcW w:w="111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12" w:lineRule="exact"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1423"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5.45pt;height:71.2pt;mso-position-horizontal-relative:char;mso-position-vertical-relative:line" coordorigin="0,0" coordsize="1109,1424">
                  <v:group style="position:absolute;left:0;top:352;width:1109;height:1072" coordorigin="0,352" coordsize="1109,1072">
                    <v:shape style="position:absolute;left:0;top:352;width:1109;height:1072" coordorigin="0,352" coordsize="1109,1072" path="m0,1423l1109,1423,1109,352,0,352,0,1423xe" filled="true" fillcolor="#ffffff" stroked="false">
                      <v:path arrowok="t"/>
                      <v:fill type="solid"/>
                    </v:shape>
                  </v:group>
                  <v:group style="position:absolute;left:23;top:0;width:1062;height:352" coordorigin="23,0" coordsize="1062,352">
                    <v:shape style="position:absolute;left:23;top:0;width:1062;height:352" coordorigin="23,0" coordsize="1062,352" path="m23,352l1085,352,1085,0,23,0,23,352xe" filled="true" fillcolor="#ffffff" stroked="false">
                      <v:path arrowok="t"/>
                      <v:fill type="solid"/>
                    </v:shape>
                  </v:group>
                </v:group>
              </w:pict>
            </w:r>
            <w:r>
              <w:rPr>
                <w:rFonts w:ascii="Times New Roman" w:hAnsi="Times New Roman" w:cs="Times New Roman" w:eastAsia="Times New Roman" w:hint="default"/>
                <w:position w:val="-27"/>
                <w:sz w:val="20"/>
                <w:szCs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880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年末公司股份总数，下同）的情形时，若公司 </w:t>
            </w:r>
            <w:r>
              <w:rPr>
                <w:rFonts w:ascii="宋体" w:hAnsi="宋体" w:cs="宋体" w:eastAsia="宋体" w:hint="default"/>
                <w:spacing w:val="-2"/>
                <w:sz w:val="18"/>
                <w:szCs w:val="18"/>
              </w:rPr>
              <w:t>无法实施回购股票，或公司回购股票议案未获得董事会或股东大会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审议通过，或公司回购股票方案实施后再次触发稳定股价预案的启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动条件，且公司第一大股东、实际控制人未及时提出或实施增持公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司股票方案，或公司第一大股东、实际控制人增持公司股票方案实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施后再次触发稳定股价预案的启动条件，本人将在符合《上市公司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收购管理办法》及《上市公司董事、监事和高级管理人员所持本公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司股份及其变动管理规则》等法律法规的条件和要求的前提下，通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过交易所集中竞价交易方式，采取以下稳定股价的措施：（一）本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人在稳定股价启动条件触发十个交易日内，将本人拟增持股票的具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体计划（内容包括但不限于增持股数区间、计划的增持价格上限、 </w:t>
            </w:r>
            <w:r>
              <w:rPr>
                <w:rFonts w:ascii="宋体" w:hAnsi="宋体" w:cs="宋体" w:eastAsia="宋体" w:hint="default"/>
                <w:spacing w:val="-2"/>
                <w:sz w:val="18"/>
                <w:szCs w:val="18"/>
              </w:rPr>
              <w:t>完成时效等）以书面方式通知公司，并由公司在增持开始前三个交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易日内予以公告。本人将自股价稳定方案公告之日起三个月内以自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有资金在二级市场增持公司股份，其中设定的计划增持价格不高于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公司上一个会计年度末经审计的每股净资产的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110%</w:t>
            </w:r>
            <w:r>
              <w:rPr>
                <w:rFonts w:ascii="宋体" w:hAnsi="宋体" w:cs="宋体" w:eastAsia="宋体" w:hint="default"/>
                <w:spacing w:val="-13"/>
                <w:sz w:val="18"/>
                <w:szCs w:val="18"/>
              </w:rPr>
              <w:t>。（二）本人单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次用于增持公司股票的资金不少于本人最近一个会计年度自公司 </w:t>
            </w:r>
            <w:r>
              <w:rPr>
                <w:rFonts w:ascii="宋体" w:hAnsi="宋体" w:cs="宋体" w:eastAsia="宋体" w:hint="default"/>
                <w:spacing w:val="-4"/>
                <w:sz w:val="18"/>
                <w:szCs w:val="18"/>
              </w:rPr>
              <w:t>领取的薪酬（税后）的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，用于增持公司股票的资金总额不超过 本人最近一个会计年度从公司领取的薪酬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。三、在稳</w:t>
            </w:r>
            <w:r>
              <w:rPr>
                <w:rFonts w:ascii="宋体" w:hAnsi="宋体" w:cs="宋体" w:eastAsia="宋体" w:hint="default"/>
                <w:sz w:val="18"/>
                <w:szCs w:val="18"/>
              </w:rPr>
              <w:t> </w:t>
            </w:r>
            <w:r>
              <w:rPr>
                <w:rFonts w:ascii="宋体" w:hAnsi="宋体" w:cs="宋体" w:eastAsia="宋体" w:hint="default"/>
                <w:spacing w:val="-2"/>
                <w:sz w:val="18"/>
                <w:szCs w:val="18"/>
              </w:rPr>
              <w:t>定股价预案的停止条件满足时，即上述稳定股价措施尚未正式实施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前或实施期间内，如公司股票连续五个交易日收盘价均高于每股净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资产，或继续回购公司股份将导致公司股权分布不符合上市条件 </w:t>
            </w:r>
            <w:r>
              <w:rPr>
                <w:rFonts w:ascii="宋体" w:hAnsi="宋体" w:cs="宋体" w:eastAsia="宋体" w:hint="default"/>
                <w:spacing w:val="-2"/>
                <w:sz w:val="18"/>
                <w:szCs w:val="18"/>
              </w:rPr>
              <w:t>的，本人将停止实施稳定股价措施。四、在启动股价稳定措施的条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件满足时，如本人未采取上述稳定股价的具体措施，本人承诺接受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以下约束措施：（一）在公司股东大会及中国证监会指定报刊上公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开说明未采取上述稳定股价措施的具体原因并向公司股东和社会 </w:t>
            </w:r>
            <w:r>
              <w:rPr>
                <w:rFonts w:ascii="宋体" w:hAnsi="宋体" w:cs="宋体" w:eastAsia="宋体" w:hint="default"/>
                <w:spacing w:val="-4"/>
                <w:sz w:val="18"/>
                <w:szCs w:val="18"/>
              </w:rPr>
              <w:t>公众投资者道歉。（二）在前述事项发生之日起十个交易日内，公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司可逐月扣减本人薪酬的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，同时本人持有的公司股份不得转 让，直至本人采取上述稳定股价措施并实施完毕。</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深圳市金溢科技股份有限 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公司关于信息披露责任的承诺：本公司承诺本次发行上市的《招股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说明书》及其摘要不存在虚假记载、误导性陈述或重大遗漏，并对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43.671021pt;margin-top:57.180008pt;width:115.65pt;height:468.1pt;mso-position-horizontal-relative:page;mso-position-vertical-relative:page;z-index:-956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7"/>
                    <w:ind w:left="0" w:right="0"/>
                    <w:jc w:val="left"/>
                  </w:pPr>
                  <w:r>
                    <w:rPr/>
                    <w:t>赔偿主体范围、</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32"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vMerge w:val="restart"/>
            <w:tcBorders>
              <w:top w:val="single" w:sz="15" w:space="0" w:color="000000"/>
              <w:left w:val="single" w:sz="4" w:space="0" w:color="000000"/>
              <w:right w:val="single" w:sz="4" w:space="0" w:color="000000"/>
            </w:tcBorders>
          </w:tcPr>
          <w:p>
            <w:pPr/>
          </w:p>
        </w:tc>
        <w:tc>
          <w:tcPr>
            <w:tcW w:w="1805" w:type="dxa"/>
            <w:vMerge w:val="restart"/>
            <w:tcBorders>
              <w:top w:val="single" w:sz="15" w:space="0" w:color="000000"/>
              <w:left w:val="single" w:sz="4" w:space="0" w:color="000000"/>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其真实性、准确性和完整性承担个别和连带的法律责任。若在投资</w:t>
            </w:r>
          </w:p>
        </w:tc>
        <w:tc>
          <w:tcPr>
            <w:tcW w:w="1118" w:type="dxa"/>
            <w:vMerge w:val="restart"/>
            <w:tcBorders>
              <w:top w:val="single" w:sz="15" w:space="0" w:color="000000"/>
              <w:left w:val="single" w:sz="4" w:space="0" w:color="000000"/>
              <w:right w:val="single" w:sz="4" w:space="0" w:color="000000"/>
            </w:tcBorders>
          </w:tcPr>
          <w:p>
            <w:pPr>
              <w:pStyle w:val="TableParagraph"/>
              <w:spacing w:line="93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5.45pt;height:468.1pt;mso-position-horizontal-relative:char;mso-position-vertical-relative:line" coordorigin="0,0" coordsize="1109,9362">
                  <v:group style="position:absolute;left:0;top:0;width:1109;height:9362" coordorigin="0,0" coordsize="1109,9362">
                    <v:shape style="position:absolute;left:0;top:0;width:1109;height:9362" coordorigin="0,0" coordsize="1109,9362" path="m0,9361l1109,9361,1109,0,0,0,0,9361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者缴纳股票申购款后且本公司股票尚未上市交易前，因本次发行上</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市的《招股说明书》及其摘要有虚假记载、误导性陈述或者重大遗</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漏，对判断本公司是否符合法律规定的发行条件构成重大、实质影</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响的，对于首次公开发行的全部新股，本公司将按照投资者所缴纳</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股票申购款加同期存款利息予以退款。若在本公司首次公开发行的</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股票上市交易后，因本公司本次发行上市的《招股说明书》及其摘</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要有虚假记载、误导性陈述或者重大遗漏，导致对判断本公司是否</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符合法律规定的发行条件构成重大、实质影响的，本公司将依法回</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购首次公开发行的全部新股，回购价格不低于首次公开发行股票时</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的发行价（如自首次公开发行公司发生过除权除息等事项的，价格</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应相应调整</w:t>
            </w:r>
            <w:r>
              <w:rPr>
                <w:rFonts w:ascii="宋体" w:hAnsi="宋体" w:cs="宋体" w:eastAsia="宋体" w:hint="default"/>
                <w:spacing w:val="-90"/>
                <w:sz w:val="18"/>
                <w:szCs w:val="18"/>
              </w:rPr>
              <w:t>）</w:t>
            </w:r>
            <w:r>
              <w:rPr>
                <w:rFonts w:ascii="宋体" w:hAnsi="宋体" w:cs="宋体" w:eastAsia="宋体" w:hint="default"/>
                <w:sz w:val="18"/>
                <w:szCs w:val="18"/>
              </w:rPr>
              <w:t>，并根据相关法律、法规规定的程序实施。上述回购</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实施时法律、法规另有规定的从其规定。本公司将及时提出预案，</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并提交董事会、股东大会讨论。若因本公司本次发行上市的《招股</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说明书》及其摘要有虚假记载、误导性陈述或者重大遗漏，致使投</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资者在证券交易中遭受损失的，本公司将依法赔偿投资者损失，但</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本公司能够证明自己没有过错的除外。在该等违法事实被中国证监</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会、证券交易所或司法机关认定后，本公司将本着主动沟通、尽快</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赔偿、切实保障投资者特别是中小投资者利益的原则，按照投资者</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在证券交易中直接遭受的可测算的经济损失选择与投资者沟通赔</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偿。该等损失的赔偿金额以投资者能举证证实的因此而实际发生的</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直接损失为限，不包括间接损失。具体的赔偿标准、</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赔偿金额等细节内容待上述情形实际发生时，依据最终确定的赔偿</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方案为准。如本公司《招股说明书》及其摘要经中国证监会认定存</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在虚假记载、误导性陈述或者重大遗漏，而本公司自中国证监会作</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出认定之日起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个交易日内仍未开始履行上述承诺，则本公司有</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权人士应在前述期限届满之日起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个交易日内召集董事会并通过</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决议：利用本公司现金并用该等现金回购公司首次公开发行的全部</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新股或赔偿投资者，现金不足部分可通过处置公司资产等方式补</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8"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足。如有权人士未能召集董事会或董事会未能通过相关决议或董事</w:t>
            </w: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1625"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会在决议通过后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个交易日内未能提请股东大会审议，投资者可依 </w:t>
            </w:r>
            <w:r>
              <w:rPr>
                <w:rFonts w:ascii="宋体" w:hAnsi="宋体" w:cs="宋体" w:eastAsia="宋体" w:hint="default"/>
                <w:spacing w:val="-2"/>
                <w:sz w:val="18"/>
                <w:szCs w:val="18"/>
              </w:rPr>
              <w:t>法起诉要求其履行职责，或根据公司章程规定要求监事会提请罢免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相关董事，直至公司董事会通过相关决议并提请股东大会审议相关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决议。公司将于股东大会通过相关决议后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日内履行回购义务及</w:t>
            </w:r>
            <w:r>
              <w:rPr>
                <w:rFonts w:ascii="Times New Roman" w:hAnsi="Times New Roman" w:cs="Times New Roman" w:eastAsia="Times New Roman" w:hint="default"/>
                <w:sz w:val="18"/>
                <w:szCs w:val="18"/>
              </w:rPr>
              <w:t>/ </w:t>
            </w:r>
            <w:r>
              <w:rPr>
                <w:rFonts w:ascii="宋体" w:hAnsi="宋体" w:cs="宋体" w:eastAsia="宋体" w:hint="default"/>
                <w:sz w:val="18"/>
                <w:szCs w:val="18"/>
              </w:rPr>
              <w:t>或赔偿义务。</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r>
      <w:tr>
        <w:trPr>
          <w:trHeight w:val="3210"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3"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实际控制人关于避免因追缴税收优惠而给公司造成损失的承诺若 日后国家税务主管部门要求公司补缴因享受有关税收优惠政策而 </w:t>
            </w:r>
            <w:r>
              <w:rPr>
                <w:rFonts w:ascii="宋体" w:hAnsi="宋体" w:cs="宋体" w:eastAsia="宋体" w:hint="default"/>
                <w:spacing w:val="-2"/>
                <w:sz w:val="18"/>
                <w:szCs w:val="18"/>
              </w:rPr>
              <w:t>免缴及少缴的企业所得税，则承诺人将以连带责任方式，无条件全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额承担公司在上市前应补缴的税款及因此所产生的所有相关费用， 以避免给公司或公司其他股东尤其是未来的社会公众股东造成损 </w:t>
            </w:r>
            <w:r>
              <w:rPr>
                <w:rFonts w:ascii="宋体" w:hAnsi="宋体" w:cs="宋体" w:eastAsia="宋体" w:hint="default"/>
                <w:spacing w:val="-2"/>
                <w:sz w:val="18"/>
                <w:szCs w:val="18"/>
              </w:rPr>
              <w:t>失或影响。如承诺人违反上述承诺，承诺人将在公司股东大会及中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国证监会指定报刊上公开说明未履行上述承诺的原因并向公司股 </w:t>
            </w:r>
            <w:r>
              <w:rPr>
                <w:rFonts w:ascii="宋体" w:hAnsi="宋体" w:cs="宋体" w:eastAsia="宋体" w:hint="default"/>
                <w:spacing w:val="-2"/>
                <w:sz w:val="18"/>
                <w:szCs w:val="18"/>
              </w:rPr>
              <w:t>东和社会公众投资者道歉，并以违反上述承诺发生之日起当年度或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以后年度公司利润分配方案中承诺人享有的现金分红作为履约担 保，同时在履行承诺前，承诺人持有的公司股份将不得转让。</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3"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实际控制人关于瑕疵租赁的承诺：未取得相关权属证明之租赁房 </w:t>
            </w:r>
            <w:r>
              <w:rPr>
                <w:rFonts w:ascii="宋体" w:hAnsi="宋体" w:cs="宋体" w:eastAsia="宋体" w:hint="default"/>
                <w:spacing w:val="-2"/>
                <w:sz w:val="18"/>
                <w:szCs w:val="18"/>
              </w:rPr>
              <w:t>产以及未办理租赁备案之房产非用于公司研发及生产，对公司主营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业务不构成重大影响。公司在可预见的期间内可稳定地租用该等房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产。如发生因瑕疵租赁场地拆迁或其他原因无法继续租用情形，公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司将无条件组织相关场地搬迁。由此而导致公司产生的相关经济损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失，由本人无条件承担。</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547"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149"/>
              <w:jc w:val="left"/>
              <w:rPr>
                <w:rFonts w:ascii="宋体" w:hAnsi="宋体" w:cs="宋体" w:eastAsia="宋体" w:hint="default"/>
                <w:sz w:val="18"/>
                <w:szCs w:val="18"/>
              </w:rPr>
            </w:pPr>
            <w:r>
              <w:rPr>
                <w:rFonts w:ascii="宋体" w:hAnsi="宋体" w:cs="宋体" w:eastAsia="宋体" w:hint="default"/>
                <w:sz w:val="18"/>
                <w:szCs w:val="18"/>
              </w:rPr>
              <w:t>深圳市金溢科技股份有限 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本公司对填补回报的若干措施及承诺如下：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、公司面临的主要风 </w:t>
            </w:r>
            <w:r>
              <w:rPr>
                <w:rFonts w:ascii="宋体" w:hAnsi="宋体" w:cs="宋体" w:eastAsia="宋体" w:hint="default"/>
                <w:spacing w:val="-5"/>
                <w:sz w:val="18"/>
                <w:szCs w:val="18"/>
              </w:rPr>
              <w:t>险的改进措施、提高运营效率及业绩的具体措施。（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）凭借公司在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业内多年的技术积累、丰富的产品线、灵活的营运机制等方面的优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势，坚持高端化发展，以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产品为主要市场发展方向，进一步 </w:t>
            </w:r>
            <w:r>
              <w:rPr>
                <w:rFonts w:ascii="宋体" w:hAnsi="宋体" w:cs="宋体" w:eastAsia="宋体" w:hint="default"/>
                <w:spacing w:val="-5"/>
                <w:sz w:val="18"/>
                <w:szCs w:val="18"/>
              </w:rPr>
              <w:t>凝聚高层次人才，提升服务能力。（</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）强化专业化发展原则，继续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巩固和深化公司在高速公路智能交通等方面的优势，加大研发投入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和技术储备，进一步扩大核心领域的业务规模，提升市场占有率。</w:t>
            </w:r>
          </w:p>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）坚持以龙头产品带动其他创新产品的发展原则，完善产品品</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6"/>
        <w:rPr>
          <w:rFonts w:ascii="Times New Roman" w:hAnsi="Times New Roman" w:cs="Times New Roman" w:eastAsia="Times New Roman" w:hint="default"/>
          <w:sz w:val="4"/>
          <w:szCs w:val="4"/>
        </w:rPr>
      </w:pPr>
      <w:r>
        <w:rPr/>
        <w:pict>
          <v:shape style="position:absolute;margin-left:516.679993pt;margin-top:57.180008pt;width:142.65pt;height:407.7pt;mso-position-horizontal-relative:page;mso-position-vertical-relative:page;z-index:-956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firstLine="1621"/>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pStyle w:val="BodyText"/>
                    <w:spacing w:line="240" w:lineRule="auto"/>
                    <w:ind w:left="0" w:right="0"/>
                    <w:jc w:val="left"/>
                  </w:pPr>
                  <w:r>
                    <w:rPr/>
                    <w:t>提升产品的研发能力。</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8178"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5"/>
              <w:ind w:left="22"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种，提升交付能力，大力拓展国内高速公路智能交通产品市场，充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分抓住国家大力推进全国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ETC </w:t>
            </w:r>
            <w:r>
              <w:rPr>
                <w:rFonts w:ascii="宋体" w:hAnsi="宋体" w:cs="宋体" w:eastAsia="宋体" w:hint="default"/>
                <w:spacing w:val="-7"/>
                <w:sz w:val="18"/>
                <w:szCs w:val="18"/>
              </w:rPr>
              <w:t>联网促进行业发展的历史机遇。（</w:t>
            </w:r>
            <w:r>
              <w:rPr>
                <w:rFonts w:ascii="Times New Roman" w:hAnsi="Times New Roman" w:cs="Times New Roman" w:eastAsia="Times New Roman" w:hint="default"/>
                <w:spacing w:val="-7"/>
                <w:sz w:val="18"/>
                <w:szCs w:val="18"/>
              </w:rPr>
              <w:t>4</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有效控制应收账款回款速度及存货周转速度，降低运营成本。（</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宋体" w:hAnsi="宋体" w:cs="宋体" w:eastAsia="宋体" w:hint="default"/>
                <w:spacing w:val="-5"/>
                <w:sz w:val="18"/>
                <w:szCs w:val="18"/>
              </w:rPr>
              <w:t>多渠道募集资金，降低资金成本，确保公司持续经营能力。（</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）加</w:t>
            </w:r>
            <w:r>
              <w:rPr>
                <w:rFonts w:ascii="宋体" w:hAnsi="宋体" w:cs="宋体" w:eastAsia="宋体" w:hint="default"/>
                <w:spacing w:val="-75"/>
                <w:sz w:val="18"/>
                <w:szCs w:val="18"/>
              </w:rPr>
              <w:t> </w:t>
            </w:r>
            <w:r>
              <w:rPr>
                <w:rFonts w:ascii="宋体" w:hAnsi="宋体" w:cs="宋体" w:eastAsia="宋体" w:hint="default"/>
                <w:spacing w:val="-5"/>
                <w:sz w:val="18"/>
                <w:szCs w:val="18"/>
              </w:rPr>
              <w:t>快募投项目的建设，尽快实现效益。（</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）进一步优化资金管理和信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息系统等，提高资金使用效率和经营管理水平。（</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）加强预算管理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和费用考核，约束董事和高级管理人员的职务消费行为，严格禁止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动用公司资产从事与其履行职责无关的投资、消费活动，提升公司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盈利能力。（</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）加强人力资源管理，优化绩效评估和考核，提升人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均绩效。董事会或薪酬与考核委员会制订的薪酬制度与公司填补回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报措施的执行情况相挂钩，公司股权激励的行权条件与公司填补回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报措施的执行情况相挂钩。</w:t>
            </w:r>
            <w:r>
              <w:rPr>
                <w:rFonts w:ascii="Times New Roman" w:hAnsi="Times New Roman" w:cs="Times New Roman" w:eastAsia="Times New Roman" w:hint="default"/>
                <w:sz w:val="18"/>
                <w:szCs w:val="18"/>
              </w:rPr>
              <w:t>2</w:t>
            </w:r>
            <w:r>
              <w:rPr>
                <w:rFonts w:ascii="宋体" w:hAnsi="宋体" w:cs="宋体" w:eastAsia="宋体" w:hint="default"/>
                <w:sz w:val="18"/>
                <w:szCs w:val="18"/>
              </w:rPr>
              <w:t>、加快募投项目投资进度，争取早日 </w:t>
            </w:r>
            <w:r>
              <w:rPr>
                <w:rFonts w:ascii="宋体" w:hAnsi="宋体" w:cs="宋体" w:eastAsia="宋体" w:hint="default"/>
                <w:spacing w:val="-2"/>
                <w:sz w:val="18"/>
                <w:szCs w:val="18"/>
              </w:rPr>
              <w:t>实现项目预期效益。本次募集资金项目有利于大幅提升公司产品的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交付能力、有利于完善公司的基础研发体系、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公司将加快上述募投项目的投资进度，争取早日实现预期效益，尽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快提升公司的盈利能力。</w:t>
            </w:r>
            <w:r>
              <w:rPr>
                <w:rFonts w:ascii="Times New Roman" w:hAnsi="Times New Roman" w:cs="Times New Roman" w:eastAsia="Times New Roman" w:hint="default"/>
                <w:sz w:val="18"/>
                <w:szCs w:val="18"/>
              </w:rPr>
              <w:t>3</w:t>
            </w:r>
            <w:r>
              <w:rPr>
                <w:rFonts w:ascii="宋体" w:hAnsi="宋体" w:cs="宋体" w:eastAsia="宋体" w:hint="default"/>
                <w:sz w:val="18"/>
                <w:szCs w:val="18"/>
              </w:rPr>
              <w:t>、提高资金使用效率，保证公司经营规 模的扩大。公司拟将首次公开发行股票募集的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5,041.88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万元资金用 </w:t>
            </w:r>
            <w:r>
              <w:rPr>
                <w:rFonts w:ascii="宋体" w:hAnsi="宋体" w:cs="宋体" w:eastAsia="宋体" w:hint="default"/>
                <w:spacing w:val="-2"/>
                <w:sz w:val="18"/>
                <w:szCs w:val="18"/>
              </w:rPr>
              <w:t>作补充营运资金，公司将提高该部分资金的使用效率，以保证公司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经营规模的扩大，并为公司持续健康发展及业务链延伸提供资金支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持。</w:t>
            </w:r>
            <w:r>
              <w:rPr>
                <w:rFonts w:ascii="Times New Roman" w:hAnsi="Times New Roman" w:cs="Times New Roman" w:eastAsia="Times New Roman" w:hint="default"/>
                <w:sz w:val="18"/>
                <w:szCs w:val="18"/>
              </w:rPr>
              <w:t>4</w:t>
            </w:r>
            <w:r>
              <w:rPr>
                <w:rFonts w:ascii="宋体" w:hAnsi="宋体" w:cs="宋体" w:eastAsia="宋体" w:hint="default"/>
                <w:sz w:val="18"/>
                <w:szCs w:val="18"/>
              </w:rPr>
              <w:t>、优化投资回报机制。根据《上市公司监管指引第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307"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上市公司现金分红》等相关规定，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w:t>
            </w:r>
            <w:r>
              <w:rPr>
                <w:rFonts w:ascii="宋体" w:hAnsi="宋体" w:cs="宋体" w:eastAsia="宋体" w:hint="default"/>
                <w:spacing w:val="-2"/>
                <w:sz w:val="18"/>
                <w:szCs w:val="18"/>
              </w:rPr>
              <w:t>次临时股东大会审议通过了《深圳市金溢科技股份有限公司首次公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w w:val="99"/>
                <w:sz w:val="18"/>
                <w:szCs w:val="18"/>
              </w:rPr>
              <w:t>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5"/>
                <w:sz w:val="18"/>
                <w:szCs w:val="18"/>
              </w:rPr>
              <w:t>股）并上市后三年股东分红回报规划》，</w:t>
            </w:r>
            <w:r>
              <w:rPr>
                <w:rFonts w:ascii="宋体" w:hAnsi="宋体" w:cs="宋体" w:eastAsia="宋体" w:hint="default"/>
                <w:sz w:val="18"/>
                <w:szCs w:val="18"/>
              </w:rPr>
              <w:t> 并制定了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 2016 </w:t>
            </w:r>
            <w:r>
              <w:rPr>
                <w:rFonts w:ascii="宋体" w:hAnsi="宋体" w:cs="宋体" w:eastAsia="宋体" w:hint="default"/>
                <w:sz w:val="18"/>
                <w:szCs w:val="18"/>
              </w:rPr>
              <w:t>年股东分红回报计划。公司上市后将优先采 用现金分红的方式分配利润，注重对投资者尤其是中小股东的回 报。</w:t>
            </w:r>
          </w:p>
        </w:tc>
        <w:tc>
          <w:tcPr>
            <w:tcW w:w="1118" w:type="dxa"/>
            <w:tcBorders>
              <w:top w:val="single" w:sz="15" w:space="0" w:color="000000"/>
              <w:left w:val="single" w:sz="4" w:space="0" w:color="000000"/>
              <w:bottom w:val="single" w:sz="4" w:space="0" w:color="000000"/>
              <w:right w:val="single" w:sz="4" w:space="0" w:color="000000"/>
            </w:tcBorders>
          </w:tcPr>
          <w:p>
            <w:pPr>
              <w:pStyle w:val="TableParagraph"/>
              <w:spacing w:line="815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55.45pt;height:407.7pt;mso-position-horizontal-relative:char;mso-position-vertical-relative:line" coordorigin="0,0" coordsize="1109,8154">
                  <v:group style="position:absolute;left:0;top:0;width:1109;height:8154" coordorigin="0,0" coordsize="1109,8154">
                    <v:shape style="position:absolute;left:0;top:0;width:1109;height:8154" coordorigin="0,0" coordsize="1109,8154" path="m0,8154l1109,8154,1109,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6"/>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第一大股东敏行电子对填补回报的若干措施及承诺如下：公司的 </w:t>
            </w:r>
            <w:r>
              <w:rPr>
                <w:rFonts w:ascii="宋体" w:hAnsi="宋体" w:cs="宋体" w:eastAsia="宋体" w:hint="default"/>
                <w:spacing w:val="-2"/>
                <w:sz w:val="18"/>
                <w:szCs w:val="18"/>
              </w:rPr>
              <w:t>第一大股东根据中国证监会的有关规定及要求，就公司本次发行涉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及的每股收益即期回报被摊薄的填补回报措施作出如下承诺：不越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权干预公司经营管理活动，不侵占公司利益。</w:t>
            </w:r>
            <w:r>
              <w:rPr>
                <w:rFonts w:ascii="Times New Roman" w:hAnsi="Times New Roman" w:cs="Times New Roman" w:eastAsia="Times New Roman"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597.76001pt;margin-top:57.180008pt;width:61.6pt;height:132.65pt;mso-position-horizontal-relative:page;mso-position-vertical-relative:page;z-index:-956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603.880005pt;margin-top:57.180008pt;width:55.45pt;height:132.65pt;mso-position-horizontal-relative:page;mso-position-vertical-relative:page;z-index:-956416" coordorigin="12078,1144" coordsize="1109,2653">
            <v:shape style="position:absolute;left:12078;top:1144;width:1109;height:2653" coordorigin="12078,1144" coordsize="1109,2653" path="m12078,3796l13186,3796,13186,1144,12078,1144,12078,379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77"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nil" w:sz="6" w:space="0" w:color="auto"/>
              <w:right w:val="single" w:sz="4" w:space="0" w:color="000000"/>
            </w:tcBorders>
          </w:tcPr>
          <w:p>
            <w:pPr/>
          </w:p>
        </w:tc>
        <w:tc>
          <w:tcPr>
            <w:tcW w:w="1805" w:type="dxa"/>
            <w:tcBorders>
              <w:top w:val="single" w:sz="15" w:space="0" w:color="000000"/>
              <w:left w:val="single" w:sz="4" w:space="0" w:color="000000"/>
              <w:bottom w:val="nil" w:sz="6" w:space="0" w:color="auto"/>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公司董事、高级管理人员及实际控制人关于填补被摊薄即期回报</w:t>
            </w:r>
          </w:p>
        </w:tc>
        <w:tc>
          <w:tcPr>
            <w:tcW w:w="1118" w:type="dxa"/>
            <w:tcBorders>
              <w:top w:val="single" w:sz="15" w:space="0" w:color="000000"/>
              <w:left w:val="single" w:sz="4" w:space="0" w:color="000000"/>
              <w:bottom w:val="nil" w:sz="6" w:space="0" w:color="auto"/>
              <w:right w:val="single" w:sz="4" w:space="0" w:color="000000"/>
            </w:tcBorders>
          </w:tcPr>
          <w:p>
            <w:pPr/>
          </w:p>
        </w:tc>
        <w:tc>
          <w:tcPr>
            <w:tcW w:w="1118" w:type="dxa"/>
            <w:tcBorders>
              <w:top w:val="single" w:sz="15" w:space="0" w:color="000000"/>
              <w:left w:val="single" w:sz="4" w:space="0" w:color="000000"/>
              <w:bottom w:val="nil" w:sz="6" w:space="0" w:color="auto"/>
              <w:right w:val="single" w:sz="4" w:space="0" w:color="000000"/>
            </w:tcBorders>
          </w:tcPr>
          <w:p>
            <w:pPr/>
          </w:p>
        </w:tc>
        <w:tc>
          <w:tcPr>
            <w:tcW w:w="1118" w:type="dxa"/>
            <w:tcBorders>
              <w:top w:val="single" w:sz="15" w:space="0" w:color="000000"/>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的相关承诺：公司董事、高级管理人员及实际控制人根据中国证监</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会的有关规定及要求，就公司本次发行涉及的每股收益即期回报被</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摊薄的填补回报措施等有关事项作出如下确认及承诺：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诺忠实、勤勉地履行职责，维护公司和全体股东的合法权益。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本人承诺不得越权干预公司经营管理活动，不得侵占公司利益。</w:t>
            </w:r>
            <w:r>
              <w:rPr>
                <w:rFonts w:ascii="Times New Roman" w:hAnsi="Times New Roman" w:cs="Times New Roman" w:eastAsia="Times New Roman" w:hint="default"/>
                <w:sz w:val="18"/>
                <w:szCs w:val="18"/>
              </w:rPr>
              <w:t>3</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本人承诺不无偿或以不公平条件向其他单位或者个人输送利益，也</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不得采用其他方式损害公司利益。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、本人承诺对本人职务消费行</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28"/>
              <w:jc w:val="both"/>
              <w:rPr>
                <w:rFonts w:ascii="宋体" w:hAnsi="宋体" w:cs="宋体" w:eastAsia="宋体" w:hint="default"/>
                <w:sz w:val="18"/>
                <w:szCs w:val="18"/>
              </w:rPr>
            </w:pPr>
            <w:r>
              <w:rPr>
                <w:rFonts w:ascii="宋体" w:hAnsi="宋体" w:cs="宋体" w:eastAsia="宋体" w:hint="default"/>
                <w:sz w:val="18"/>
                <w:szCs w:val="18"/>
              </w:rPr>
              <w:t>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 </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 岳明</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9"/>
              <w:jc w:val="both"/>
              <w:rPr>
                <w:rFonts w:ascii="宋体" w:hAnsi="宋体" w:cs="宋体" w:eastAsia="宋体" w:hint="default"/>
                <w:sz w:val="18"/>
                <w:szCs w:val="18"/>
              </w:rPr>
            </w:pPr>
            <w:r>
              <w:rPr>
                <w:rFonts w:ascii="宋体" w:hAnsi="宋体" w:cs="宋体" w:eastAsia="宋体" w:hint="default"/>
                <w:sz w:val="18"/>
                <w:szCs w:val="18"/>
              </w:rPr>
              <w:t>为进行约束。</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、本人承诺不动用公司资产从事与其履行职责无关 的投资、消费活动。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、本人承诺在自身职责和权限范围内，全力 促使公司董事会或者薪酬与考核委员会制定的薪酬制度与公司填</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8"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海荣</w:t>
            </w: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补回报措施的执行情况相挂钩，并对公司董事会和股东大会审议的</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相关议案投票赞</w:t>
            </w:r>
            <w:r>
              <w:rPr>
                <w:rFonts w:ascii="宋体" w:hAnsi="宋体" w:cs="宋体" w:eastAsia="宋体" w:hint="default"/>
                <w:spacing w:val="-9"/>
                <w:sz w:val="18"/>
                <w:szCs w:val="18"/>
              </w:rPr>
              <w:t>成</w:t>
            </w:r>
            <w:r>
              <w:rPr>
                <w:rFonts w:ascii="宋体" w:hAnsi="宋体" w:cs="宋体" w:eastAsia="宋体" w:hint="default"/>
                <w:sz w:val="18"/>
                <w:szCs w:val="18"/>
              </w:rPr>
              <w:t>（如有表决权</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9"/>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公司拟实施股权激励</w:t>
            </w:r>
            <w:r>
              <w:rPr>
                <w:rFonts w:ascii="宋体" w:hAnsi="宋体" w:cs="宋体" w:eastAsia="宋体" w:hint="default"/>
                <w:spacing w:val="-9"/>
                <w:sz w:val="18"/>
                <w:szCs w:val="18"/>
              </w:rPr>
              <w:t>，</w:t>
            </w:r>
            <w:r>
              <w:rPr>
                <w:rFonts w:ascii="宋体" w:hAnsi="宋体" w:cs="宋体" w:eastAsia="宋体" w:hint="default"/>
                <w:sz w:val="18"/>
                <w:szCs w:val="18"/>
              </w:rPr>
              <w:t>本</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人承诺在自身职责和权限范围内，全力促使公司拟公布的股权激励</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行权条件与公司填补回报措施的执行情况相挂钩，并对公司董事会</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和股东大会审议的相关议案投票赞</w:t>
            </w:r>
            <w:r>
              <w:rPr>
                <w:rFonts w:ascii="宋体" w:hAnsi="宋体" w:cs="宋体" w:eastAsia="宋体" w:hint="default"/>
                <w:spacing w:val="-11"/>
                <w:sz w:val="18"/>
                <w:szCs w:val="18"/>
              </w:rPr>
              <w:t>成</w:t>
            </w:r>
            <w:r>
              <w:rPr>
                <w:rFonts w:ascii="宋体" w:hAnsi="宋体" w:cs="宋体" w:eastAsia="宋体" w:hint="default"/>
                <w:sz w:val="18"/>
                <w:szCs w:val="18"/>
              </w:rPr>
              <w:t>（如有表决权</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11"/>
                <w:sz w:val="18"/>
                <w:szCs w:val="18"/>
              </w:rPr>
              <w:t>、</w:t>
            </w:r>
            <w:r>
              <w:rPr>
                <w:rFonts w:ascii="宋体" w:hAnsi="宋体" w:cs="宋体" w:eastAsia="宋体" w:hint="default"/>
                <w:sz w:val="18"/>
                <w:szCs w:val="18"/>
              </w:rPr>
              <w:t>若中国证</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监会或深圳证券交易所对本人有关确保本次发行摊薄即期回报事</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项的填补回报措施得以切实履行的承诺有不同要求的，本人将自愿</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无条件按照中国证监会或深圳证券交易所的要求予以承诺。</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公司将严格履行本公司就首次公开发行股票并上市所作出的所有</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公开承诺事项，积极接受社会监督。如未能履行、确已无法履行或</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49"/>
              <w:jc w:val="left"/>
              <w:rPr>
                <w:rFonts w:ascii="宋体" w:hAnsi="宋体" w:cs="宋体" w:eastAsia="宋体" w:hint="default"/>
                <w:sz w:val="18"/>
                <w:szCs w:val="18"/>
              </w:rPr>
            </w:pPr>
            <w:r>
              <w:rPr>
                <w:rFonts w:ascii="宋体" w:hAnsi="宋体" w:cs="宋体" w:eastAsia="宋体" w:hint="default"/>
                <w:sz w:val="18"/>
                <w:szCs w:val="18"/>
              </w:rPr>
              <w:t>深圳市金溢科技股份有限 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无法按期履行其在招股说明书中所作出的相关承诺，其将按照所作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出的承诺采取如下措施：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、在股东大会及中国证监会指定报刊上</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公开说明未履行的具体原因并向股东和社会公众投资者道歉。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给投资者造成损失的，本公司将向投资者依法承担赔偿责任。</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失信补救措施承诺：公司第一大股东敏行电子，实际控制人罗瑞</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娜</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深圳市敏行电子有限公司</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21"/>
              <w:jc w:val="left"/>
              <w:rPr>
                <w:rFonts w:ascii="宋体" w:hAnsi="宋体" w:cs="宋体" w:eastAsia="宋体" w:hint="default"/>
                <w:sz w:val="18"/>
                <w:szCs w:val="18"/>
              </w:rPr>
            </w:pPr>
            <w:r>
              <w:rPr>
                <w:rFonts w:ascii="宋体" w:hAnsi="宋体" w:cs="宋体" w:eastAsia="宋体" w:hint="default"/>
                <w:spacing w:val="-2"/>
                <w:sz w:val="18"/>
                <w:szCs w:val="18"/>
              </w:rPr>
              <w:t>发、王明宽、李朝莉、李娜、杨成、刘咏平，董事郑映虹，监事甘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云龙和钟勇，以及高级管理人员蔡福春和刘厚军如未能履行、确已</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46"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2"/>
                <w:sz w:val="18"/>
                <w:szCs w:val="18"/>
              </w:rPr>
              <w:t>无法履行或无法按期履行其在招股说明书中所作出的相关承诺，其</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80.679993pt;margin-top:57.180008pt;width:178.65pt;height:126.9pt;mso-position-horizontal-relative:page;mso-position-vertical-relative:page;z-index:-956344" type="#_x0000_t202" filled="false" stroked="false">
            <v:textbox inset="0,0,0,0">
              <w:txbxContent>
                <w:p>
                  <w:pPr>
                    <w:spacing w:line="240" w:lineRule="auto" w:before="9"/>
                    <w:rPr>
                      <w:rFonts w:ascii="Times New Roman" w:hAnsi="Times New Roman" w:cs="Times New Roman" w:eastAsia="Times New Roman" w:hint="default"/>
                      <w:sz w:val="21"/>
                      <w:szCs w:val="21"/>
                    </w:rPr>
                  </w:pPr>
                </w:p>
                <w:p>
                  <w:pPr>
                    <w:pStyle w:val="BodyText"/>
                    <w:spacing w:line="620" w:lineRule="atLeast"/>
                    <w:ind w:left="0" w:right="1050" w:firstLine="2340"/>
                    <w:jc w:val="left"/>
                  </w:pPr>
                  <w:r>
                    <w:rPr/>
                    <w:t>、 作为履行相关承诺的履约担保。</w:t>
                  </w:r>
                </w:p>
                <w:p>
                  <w:pPr>
                    <w:pStyle w:val="BodyText"/>
                    <w:spacing w:line="240" w:lineRule="auto" w:before="76"/>
                    <w:ind w:left="2340" w:right="0"/>
                    <w:jc w:val="left"/>
                  </w:pPr>
                  <w:r>
                    <w:rPr/>
                    <w:t>、</w:t>
                  </w:r>
                </w:p>
              </w:txbxContent>
            </v:textbox>
            <w10:wrap type="none"/>
          </v:shape>
        </w:pict>
      </w:r>
      <w:r>
        <w:rPr/>
        <w:pict>
          <v:shape style="position:absolute;margin-left:534.677002pt;margin-top:458.76001pt;width:124.65pt;height:15.6pt;mso-position-horizontal-relative:page;mso-position-vertical-relative:page;z-index:-956320" type="#_x0000_t202" filled="false" stroked="false">
            <v:textbox inset="0,0,0,0">
              <w:txbxContent>
                <w:p>
                  <w:pPr>
                    <w:pStyle w:val="BodyText"/>
                    <w:spacing w:line="240" w:lineRule="auto" w:before="71"/>
                    <w:ind w:left="0" w:right="0"/>
                    <w:jc w:val="left"/>
                  </w:pPr>
                  <w:r>
                    <w:rPr/>
                    <w:t>许岳明和翁小雄，</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18"/>
      </w:tblGrid>
      <w:tr>
        <w:trPr>
          <w:trHeight w:val="336"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vMerge w:val="restart"/>
            <w:tcBorders>
              <w:top w:val="single" w:sz="15" w:space="0" w:color="000000"/>
              <w:left w:val="single" w:sz="4" w:space="0" w:color="000000"/>
              <w:right w:val="single" w:sz="4" w:space="0" w:color="000000"/>
            </w:tcBorders>
          </w:tcPr>
          <w:p>
            <w:pPr/>
          </w:p>
        </w:tc>
        <w:tc>
          <w:tcPr>
            <w:tcW w:w="1805" w:type="dxa"/>
            <w:vMerge w:val="restart"/>
            <w:tcBorders>
              <w:top w:val="single" w:sz="15" w:space="0" w:color="000000"/>
              <w:left w:val="single" w:sz="4" w:space="0" w:color="000000"/>
              <w:right w:val="single" w:sz="4" w:space="0" w:color="000000"/>
            </w:tcBorders>
          </w:tcPr>
          <w:p>
            <w:pPr/>
          </w:p>
        </w:tc>
        <w:tc>
          <w:tcPr>
            <w:tcW w:w="524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将按照所作出的承诺采取如下措施：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w:t>
            </w:r>
          </w:p>
        </w:tc>
        <w:tc>
          <w:tcPr>
            <w:tcW w:w="1118" w:type="dxa"/>
            <w:vMerge w:val="restart"/>
            <w:tcBorders>
              <w:top w:val="single" w:sz="15" w:space="0" w:color="000000"/>
              <w:left w:val="single" w:sz="4" w:space="0" w:color="000000"/>
              <w:right w:val="single" w:sz="4" w:space="0" w:color="000000"/>
            </w:tcBorders>
          </w:tcPr>
          <w:p>
            <w:pPr>
              <w:pStyle w:val="TableParagraph"/>
              <w:spacing w:line="25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55.45pt;height:126.9pt;mso-position-horizontal-relative:char;mso-position-vertical-relative:line" coordorigin="0,0" coordsize="1109,2538">
                  <v:group style="position:absolute;left:0;top:0;width:1109;height:2538" coordorigin="0,0" coordsize="1109,2538">
                    <v:shape style="position:absolute;left:0;top:0;width:1109;height:2538" coordorigin="0,0" coordsize="1109,2538" path="m0,2537l1109,2537,1109,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1118" w:type="dxa"/>
            <w:vMerge w:val="restart"/>
            <w:tcBorders>
              <w:top w:val="single" w:sz="15" w:space="0" w:color="000000"/>
              <w:left w:val="single" w:sz="4" w:space="0" w:color="000000"/>
              <w:right w:val="single" w:sz="4" w:space="0" w:color="000000"/>
            </w:tcBorders>
          </w:tcPr>
          <w:p>
            <w:pPr/>
          </w:p>
        </w:tc>
        <w:tc>
          <w:tcPr>
            <w:tcW w:w="1118" w:type="dxa"/>
            <w:vMerge w:val="restart"/>
            <w:tcBorders>
              <w:top w:val="single" w:sz="15" w:space="0" w:color="000000"/>
              <w:left w:val="single" w:sz="4" w:space="0" w:color="000000"/>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指定报刊上公开说明未履行的具体原因并向股东和社会公众投资</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、暂不领取公司的现金分红。</w:t>
            </w:r>
            <w:r>
              <w:rPr>
                <w:rFonts w:ascii="Times New Roman" w:hAnsi="Times New Roman" w:cs="Times New Roman" w:eastAsia="Times New Roman" w:hint="default"/>
                <w:sz w:val="18"/>
                <w:szCs w:val="18"/>
              </w:rPr>
              <w:t>4</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以发行上市当年以及以后年度分红</w:t>
            </w:r>
            <w:r>
              <w:rPr>
                <w:rFonts w:ascii="宋体" w:hAnsi="宋体" w:cs="宋体" w:eastAsia="宋体" w:hint="default"/>
                <w:spacing w:val="-82"/>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2"/>
                <w:sz w:val="18"/>
                <w:szCs w:val="18"/>
              </w:rPr>
              <w:t>以</w:t>
            </w:r>
            <w:r>
              <w:rPr>
                <w:rFonts w:ascii="宋体" w:hAnsi="宋体" w:cs="宋体" w:eastAsia="宋体" w:hint="default"/>
                <w:sz w:val="18"/>
                <w:szCs w:val="18"/>
              </w:rPr>
              <w:t>发行上市当年以及以后</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0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年度从发行人处领取的薪酬（税后）</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1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、因未履行相关承诺事项而获得收益的，所获收益归公司所有。</w:t>
            </w:r>
            <w:r>
              <w:rPr>
                <w:rFonts w:ascii="Times New Roman" w:hAnsi="Times New Roman" w:cs="Times New Roman" w:eastAsia="Times New Roman" w:hint="default"/>
                <w:spacing w:val="-5"/>
                <w:sz w:val="18"/>
                <w:szCs w:val="18"/>
              </w:rPr>
              <w:t>6</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08"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right w:val="single" w:sz="4" w:space="0" w:color="000000"/>
            </w:tcBorders>
          </w:tcPr>
          <w:p>
            <w:pPr/>
          </w:p>
        </w:tc>
        <w:tc>
          <w:tcPr>
            <w:tcW w:w="1805" w:type="dxa"/>
            <w:vMerge/>
            <w:tcBorders>
              <w:left w:val="single" w:sz="4" w:space="0" w:color="000000"/>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给投资者造成损失的，依法赔偿投资者损失，但本人能够证明自己</w:t>
            </w: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没有过错的除外。</w:t>
            </w:r>
            <w:r>
              <w:rPr>
                <w:rFonts w:ascii="Times New Roman" w:hAnsi="Times New Roman" w:cs="Times New Roman" w:eastAsia="Times New Roman" w:hint="default"/>
                <w:sz w:val="18"/>
                <w:szCs w:val="18"/>
              </w:rPr>
              <w:t>"</w:t>
            </w: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失信补救措施承诺：独立董事许岳明、翁小雄、关志超及监事周</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海荣如未能履行、确已无法履行或无法按期履行其在招股说明书中</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79"/>
              <w:jc w:val="left"/>
              <w:rPr>
                <w:rFonts w:ascii="宋体" w:hAnsi="宋体" w:cs="宋体" w:eastAsia="宋体"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r>
              <w:rPr>
                <w:rFonts w:ascii="宋体" w:hAnsi="宋体" w:cs="宋体" w:eastAsia="宋体" w:hint="default"/>
                <w:sz w:val="18"/>
                <w:szCs w:val="18"/>
              </w:rPr>
              <w:t>周 海荣</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所作出的相关承诺，其将按照所作出的承诺采取如下措施：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、以 </w:t>
            </w:r>
            <w:r>
              <w:rPr>
                <w:rFonts w:ascii="宋体" w:hAnsi="宋体" w:cs="宋体" w:eastAsia="宋体" w:hint="default"/>
                <w:spacing w:val="-2"/>
                <w:sz w:val="18"/>
                <w:szCs w:val="18"/>
              </w:rPr>
              <w:t>发行上市当年以及以后年度从发行人处领取的薪酬（税后）作为履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行相关承诺的履约担保。</w:t>
            </w:r>
            <w:r>
              <w:rPr>
                <w:rFonts w:ascii="Times New Roman" w:hAnsi="Times New Roman" w:cs="Times New Roman" w:eastAsia="Times New Roman" w:hint="default"/>
                <w:sz w:val="18"/>
                <w:szCs w:val="18"/>
              </w:rPr>
              <w:t>2</w:t>
            </w:r>
            <w:r>
              <w:rPr>
                <w:rFonts w:ascii="宋体" w:hAnsi="宋体" w:cs="宋体" w:eastAsia="宋体" w:hint="default"/>
                <w:sz w:val="18"/>
                <w:szCs w:val="18"/>
              </w:rPr>
              <w:t>、给投资者造成损失的，依法赔偿投资</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者损失，但本人能够证明自己没有过错的除外。</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实际控制人关于补缴员工社会保险基金、住房公积金的承诺：若</w:t>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日后公司或其分公司所在地社会保险基金、住房公积金主管部门要</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求公司对以前年度的员工社会保险基金、住房公积金进行补缴，则</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承诺人将按主管部门核定的金额，以连带责任方式，无条件全额承</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3" w:right="17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担公司在上市前应补缴的金额及因此所产生的所有相关费用，以避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免给公司或公司其他股东尤其是未来的社会公众股东造成损失或 </w:t>
            </w:r>
            <w:r>
              <w:rPr>
                <w:rFonts w:ascii="宋体" w:hAnsi="宋体" w:cs="宋体" w:eastAsia="宋体" w:hint="default"/>
                <w:spacing w:val="-2"/>
                <w:sz w:val="18"/>
                <w:szCs w:val="18"/>
              </w:rPr>
              <w:t>影响。如承诺人违反上述承诺，承诺人将在公司股东大会及中国证</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监会指定报刊上公开说明未履行上述承诺的原因并向公司股东和</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社会公众投资者道歉，并以违反上述承诺发生之日起当年度或以后</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
        </w:tc>
        <w:tc>
          <w:tcPr>
            <w:tcW w:w="1805" w:type="dxa"/>
            <w:tcBorders>
              <w:top w:val="nil" w:sz="6" w:space="0" w:color="auto"/>
              <w:left w:val="single" w:sz="4" w:space="0" w:color="000000"/>
              <w:bottom w:val="nil" w:sz="6" w:space="0" w:color="auto"/>
              <w:right w:val="single" w:sz="4" w:space="0" w:color="000000"/>
            </w:tcBorders>
          </w:tcPr>
          <w:p>
            <w:pP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年度公司利润分配方案中承诺人享有的现金分红作为履约担保，同</w:t>
            </w: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时在履行承诺前，承诺人持有的公司股份将不得转让。</w:t>
            </w:r>
            <w:r>
              <w:rPr>
                <w:rFonts w:ascii="Times New Roman" w:hAnsi="Times New Roman" w:cs="Times New Roman" w:eastAsia="Times New Roman" w:hint="default"/>
                <w:sz w:val="18"/>
                <w:szCs w:val="18"/>
              </w:rPr>
              <w:t>"</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1447" w:type="dxa"/>
            <w:vMerge/>
            <w:tcBorders>
              <w:left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805" w:type="dxa"/>
            <w:tcBorders>
              <w:top w:val="single" w:sz="4" w:space="0" w:color="000000"/>
              <w:left w:val="single" w:sz="4" w:space="0" w:color="000000"/>
              <w:bottom w:val="nil" w:sz="6" w:space="0" w:color="auto"/>
              <w:right w:val="single" w:sz="4" w:space="0" w:color="000000"/>
            </w:tcBorders>
          </w:tcPr>
          <w:p>
            <w:pPr/>
          </w:p>
        </w:tc>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董事罗瑞发、杨成、李朝莉、郑映虹、关志超、</w:t>
            </w: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5.45pt;height:15.6pt;mso-position-horizontal-relative:char;mso-position-vertical-relative:line" coordorigin="0,0" coordsize="1109,312">
                  <v:group style="position:absolute;left:0;top:0;width:1109;height:312" coordorigin="0,0" coordsize="1109,312">
                    <v:shape style="position:absolute;left:0;top:0;width:1109;height:312" coordorigin="0,0" coordsize="1109,312" path="m0,312l1109,312,110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118"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447" w:type="dxa"/>
            <w:vMerge/>
            <w:tcBorders>
              <w:left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朝莉</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9"/>
              <w:jc w:val="left"/>
              <w:rPr>
                <w:rFonts w:ascii="宋体" w:hAnsi="宋体" w:cs="宋体" w:eastAsia="宋体" w:hint="default"/>
                <w:sz w:val="18"/>
                <w:szCs w:val="18"/>
              </w:rPr>
            </w:pPr>
            <w:r>
              <w:rPr>
                <w:rFonts w:ascii="宋体" w:hAnsi="宋体" w:cs="宋体" w:eastAsia="宋体" w:hint="default"/>
                <w:sz w:val="18"/>
                <w:szCs w:val="18"/>
              </w:rPr>
              <w:t>监事周海荣、甘云龙和钟勇，其他高级管理人员刘咏平、王明宽、 </w:t>
            </w:r>
            <w:r>
              <w:rPr>
                <w:rFonts w:ascii="宋体" w:hAnsi="宋体" w:cs="宋体" w:eastAsia="宋体" w:hint="default"/>
                <w:spacing w:val="-2"/>
                <w:sz w:val="18"/>
                <w:szCs w:val="18"/>
              </w:rPr>
              <w:t>蔡福春和刘厚军关于信息披露责任的承诺：本人承诺发行人本次发</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47"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805" w:type="dxa"/>
            <w:tcBorders>
              <w:top w:val="nil" w:sz="6" w:space="0" w:color="auto"/>
              <w:left w:val="single" w:sz="4" w:space="0" w:color="000000"/>
              <w:bottom w:val="single" w:sz="4" w:space="0" w:color="000000"/>
              <w:right w:val="single" w:sz="4" w:space="0" w:color="000000"/>
            </w:tcBorders>
          </w:tcPr>
          <w:p>
            <w:pPr/>
          </w:p>
        </w:tc>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
                <w:sz w:val="18"/>
                <w:szCs w:val="18"/>
              </w:rPr>
              <w:t>行上市的《招股说明书》及其摘要不存在虚假记载、误导性陈述或</w:t>
            </w: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603.880005pt;margin-top:429.360016pt;width:55.45pt;height:100.4pt;mso-position-horizontal-relative:page;mso-position-vertical-relative:page;z-index:-956296" coordorigin="12078,8587" coordsize="1109,2008">
            <v:shape style="position:absolute;left:12078;top:8587;width:1109;height:2008" coordorigin="12078,8587" coordsize="1109,2008" path="m12078,10595l13186,10595,13186,8587,12078,8587,12078,1059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5244"/>
        <w:gridCol w:w="1118"/>
        <w:gridCol w:w="1118"/>
        <w:gridCol w:w="1121"/>
      </w:tblGrid>
      <w:tr>
        <w:trPr>
          <w:trHeight w:val="4746" w:hRule="exact"/>
        </w:trPr>
        <w:tc>
          <w:tcPr>
            <w:tcW w:w="1447" w:type="dxa"/>
            <w:vMerge w:val="restart"/>
            <w:tcBorders>
              <w:top w:val="single" w:sz="15" w:space="0" w:color="000000"/>
              <w:left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重大遗漏，并对其真实性、准确性和完整性承担个别和连带的法律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责任。若因发行人本次发行上市《招股说明书》及其摘要有虚假记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载、误导性陈述或者重大遗漏，致使投资者在证券交易中遭受损失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的，本人将依法赔偿投资者损失，但本人能够证明自己没有过错的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除外。在该等违法事实被中国证监会、证券交易所或司法机关认定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后，本人将本着主动沟通、尽快赔偿、切实保障投资者特别是中小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投资者利益的原则，按照投资者在证券交易中直接遭受的可测算的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经济损失选择与投资者沟通赔偿，通过设立投资者赔偿基金等方式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积极赔偿投资者由此遭受的直接经济损失。该等损失的赔偿金额以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投资者因此而实际发生的直接损失为限。具体的赔偿标准、赔偿主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体范围、赔偿金额等细节内容待上述情形实际发生时，依据最终确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定的赔偿方案为准。本人以发行上市当年以及以后年度的从发行人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处领取的薪酬（税后）作为上述承诺的履约担保，此外，若本人未</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履行上述赔偿义务，则在履行承诺前，本人直接或间接所持的发行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人股份（如有）不得转让。</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r>
      <w:tr>
        <w:trPr>
          <w:trHeight w:val="4731"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02" w:lineRule="auto"/>
              <w:ind w:left="23" w:right="98"/>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 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深圳市敏行电子有限公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第一大股东敏行电子、实际控制人罗瑞发、王明宽、杨成、刘咏 </w:t>
            </w:r>
            <w:r>
              <w:rPr>
                <w:rFonts w:ascii="宋体" w:hAnsi="宋体" w:cs="宋体" w:eastAsia="宋体" w:hint="default"/>
                <w:spacing w:val="-3"/>
                <w:sz w:val="18"/>
                <w:szCs w:val="18"/>
              </w:rPr>
              <w:t>平、李朝莉、李娜关于信息披露责任的承诺：本公司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本人承诺本次</w:t>
            </w:r>
            <w:r>
              <w:rPr>
                <w:rFonts w:ascii="宋体" w:hAnsi="宋体" w:cs="宋体" w:eastAsia="宋体" w:hint="default"/>
                <w:spacing w:val="-84"/>
                <w:sz w:val="18"/>
                <w:szCs w:val="18"/>
              </w:rPr>
              <w:t> </w:t>
            </w:r>
            <w:r>
              <w:rPr>
                <w:rFonts w:ascii="宋体" w:hAnsi="宋体" w:cs="宋体" w:eastAsia="宋体" w:hint="default"/>
                <w:spacing w:val="-2"/>
                <w:sz w:val="18"/>
                <w:szCs w:val="18"/>
              </w:rPr>
              <w:t>发行上市的《招股说明书》及其摘要不存在虚假记载、误导性陈述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或重大遗漏，并对其真实性、准确性和完整性承担个别和连带的法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律责任。若在发行人首次公开发行的股票上市交易后，因发行人本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次发行上市的《招股说明书》及其摘要有虚假记载、误导性陈述或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者重大遗漏，导致对判断发行人是否符合法律规定的发行条件构成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重大、实质影响的，本公司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本人将督促公司依法回购本次发行的全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部新股。若因发行人本次发行上市的《招股说明书》及其摘要有虚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假记载、误导性陈述或者重大遗漏，致使投资者在证券交易中遭受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损失的，本公司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本人将依法赔偿投资者损失，但本公司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本人能够 </w:t>
            </w:r>
            <w:r>
              <w:rPr>
                <w:rFonts w:ascii="宋体" w:hAnsi="宋体" w:cs="宋体" w:eastAsia="宋体" w:hint="default"/>
                <w:spacing w:val="-2"/>
                <w:sz w:val="18"/>
                <w:szCs w:val="18"/>
              </w:rPr>
              <w:t>证明自己没有过错的除外。在该等违法事实被中国证监会、证券交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易所或司法机关认定后，本公司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本人将本着主动沟通、尽快赔偿 </w:t>
            </w:r>
            <w:r>
              <w:rPr>
                <w:rFonts w:ascii="宋体" w:hAnsi="宋体" w:cs="宋体" w:eastAsia="宋体" w:hint="default"/>
                <w:spacing w:val="-2"/>
                <w:sz w:val="18"/>
                <w:szCs w:val="18"/>
              </w:rPr>
              <w:t>切实保障投资者特别是中小投资者利益的原则，按照投资者在证券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交易中直接遭受的可测算的经济损失选择与投资者沟通赔偿，通过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47"/>
        <w:gridCol w:w="2164"/>
        <w:gridCol w:w="1805"/>
        <w:gridCol w:w="1581"/>
        <w:gridCol w:w="3664"/>
        <w:gridCol w:w="1118"/>
        <w:gridCol w:w="1118"/>
        <w:gridCol w:w="1118"/>
      </w:tblGrid>
      <w:tr>
        <w:trPr>
          <w:trHeight w:val="2249" w:hRule="exact"/>
        </w:trPr>
        <w:tc>
          <w:tcPr>
            <w:tcW w:w="144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2164" w:type="dxa"/>
            <w:tcBorders>
              <w:top w:val="single" w:sz="15" w:space="0" w:color="000000"/>
              <w:left w:val="single" w:sz="4" w:space="0" w:color="000000"/>
              <w:bottom w:val="single" w:sz="4" w:space="0" w:color="000000"/>
              <w:right w:val="single" w:sz="4" w:space="0" w:color="000000"/>
            </w:tcBorders>
          </w:tcPr>
          <w:p>
            <w:pPr/>
          </w:p>
        </w:tc>
        <w:tc>
          <w:tcPr>
            <w:tcW w:w="1805" w:type="dxa"/>
            <w:tcBorders>
              <w:top w:val="single" w:sz="15" w:space="0" w:color="000000"/>
              <w:left w:val="single" w:sz="4" w:space="0" w:color="000000"/>
              <w:bottom w:val="single" w:sz="4" w:space="0" w:color="000000"/>
              <w:right w:val="single" w:sz="4" w:space="0" w:color="000000"/>
            </w:tcBorders>
          </w:tcPr>
          <w:p>
            <w:pPr/>
          </w:p>
        </w:tc>
        <w:tc>
          <w:tcPr>
            <w:tcW w:w="5244" w:type="dxa"/>
            <w:gridSpan w:val="2"/>
            <w:tcBorders>
              <w:top w:val="single" w:sz="15"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设立投资者赔偿基金等方式积极赔偿投资者由此遭受的直接经济 </w:t>
            </w:r>
            <w:r>
              <w:rPr>
                <w:rFonts w:ascii="宋体" w:hAnsi="宋体" w:cs="宋体" w:eastAsia="宋体" w:hint="default"/>
                <w:spacing w:val="-2"/>
                <w:sz w:val="18"/>
                <w:szCs w:val="18"/>
              </w:rPr>
              <w:t>损失。该等损失的赔偿金额以投资者因此而实际发生的直接损失为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限。具体的赔偿标准、赔偿主体范围、赔偿金额等细节内容待上述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情形实际发生时，依据最终确定的赔偿方案为准。本公司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本人以发</w:t>
            </w:r>
            <w:r>
              <w:rPr>
                <w:rFonts w:ascii="宋体" w:hAnsi="宋体" w:cs="宋体" w:eastAsia="宋体" w:hint="default"/>
                <w:spacing w:val="-83"/>
                <w:sz w:val="18"/>
                <w:szCs w:val="18"/>
              </w:rPr>
              <w:t> </w:t>
            </w:r>
            <w:r>
              <w:rPr>
                <w:rFonts w:ascii="宋体" w:hAnsi="宋体" w:cs="宋体" w:eastAsia="宋体" w:hint="default"/>
                <w:sz w:val="18"/>
                <w:szCs w:val="18"/>
              </w:rPr>
              <w:t>行人发行上市当年及以后年度利润分配方案中应享有的分红作为 </w:t>
            </w:r>
            <w:r>
              <w:rPr>
                <w:rFonts w:ascii="宋体" w:hAnsi="宋体" w:cs="宋体" w:eastAsia="宋体" w:hint="default"/>
                <w:spacing w:val="-3"/>
                <w:sz w:val="18"/>
                <w:szCs w:val="18"/>
              </w:rPr>
              <w:t>履约担保。此外，若本公司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本人未履行上述赔偿义务，则在履行承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诺前，本公司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本人直接或间接所持的发行人股份均不得转让。</w:t>
            </w:r>
            <w:r>
              <w:rPr>
                <w:rFonts w:ascii="Times New Roman" w:hAnsi="Times New Roman" w:cs="Times New Roman" w:eastAsia="Times New Roman" w:hint="default"/>
                <w:sz w:val="18"/>
                <w:szCs w:val="18"/>
              </w:rPr>
              <w:t>"</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64" w:type="dxa"/>
            <w:tcBorders>
              <w:top w:val="single" w:sz="4" w:space="0" w:color="000000"/>
              <w:left w:val="single" w:sz="13" w:space="0" w:color="D2D2D2"/>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5244" w:type="dxa"/>
            <w:gridSpan w:val="2"/>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2164" w:type="dxa"/>
            <w:tcBorders>
              <w:top w:val="single" w:sz="4" w:space="0" w:color="000000"/>
              <w:left w:val="single" w:sz="13" w:space="0" w:color="D2D2D2"/>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5244" w:type="dxa"/>
            <w:gridSpan w:val="2"/>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9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1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701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pStyle w:val="Heading3"/>
        <w:spacing w:line="259" w:lineRule="auto" w:before="35"/>
        <w:ind w:left="153"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35"/>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3" w:right="0"/>
        <w:jc w:val="left"/>
      </w:pPr>
      <w:r>
        <w:rPr>
          <w:rFonts w:ascii="Times New Roman" w:hAnsi="Times New Roman" w:cs="Times New Roman" w:eastAsia="Times New Roman" w:hint="default"/>
        </w:rPr>
        <w:t>1</w:t>
      </w:r>
      <w:r>
        <w:rPr/>
        <w:t>、本公司自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日起执行财政部制定的《企业会计准则第</w:t>
      </w:r>
      <w:r>
        <w:rPr>
          <w:spacing w:val="-46"/>
        </w:rPr>
        <w:t> </w:t>
      </w:r>
      <w:r>
        <w:rPr>
          <w:rFonts w:ascii="Times New Roman" w:hAnsi="Times New Roman" w:cs="Times New Roman" w:eastAsia="Times New Roman" w:hint="default"/>
        </w:rPr>
        <w:t>42  </w:t>
      </w:r>
      <w:r>
        <w:rPr/>
        <w:t>号——持有待售的非流动资产、处置组和终</w:t>
      </w:r>
    </w:p>
    <w:p>
      <w:pPr>
        <w:pStyle w:val="BodyText"/>
        <w:spacing w:line="240" w:lineRule="auto" w:before="63"/>
        <w:ind w:right="0"/>
        <w:jc w:val="left"/>
      </w:pPr>
      <w:r>
        <w:rPr/>
        <w:t>止经营</w:t>
      </w:r>
      <w:r>
        <w:rPr>
          <w:spacing w:val="-108"/>
        </w:rPr>
        <w:t>》</w:t>
      </w:r>
      <w:r>
        <w:rPr/>
        <w:t>（财</w:t>
      </w:r>
      <w:r>
        <w:rPr>
          <w:spacing w:val="-18"/>
        </w:rPr>
        <w:t>会</w:t>
      </w:r>
      <w:r>
        <w:rPr/>
        <w:t>〔</w:t>
      </w:r>
      <w:r>
        <w:rPr>
          <w:rFonts w:ascii="Times New Roman" w:hAnsi="Times New Roman" w:cs="Times New Roman" w:eastAsia="Times New Roman" w:hint="default"/>
        </w:rPr>
        <w:t>2017</w:t>
      </w:r>
      <w:r>
        <w:rPr>
          <w:spacing w:val="-18"/>
        </w:rPr>
        <w:t>〕</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号</w:t>
      </w:r>
      <w:r>
        <w:rPr>
          <w:spacing w:val="-90"/>
        </w:rPr>
        <w:t>）</w:t>
      </w:r>
      <w:r>
        <w:rPr>
          <w:spacing w:val="-18"/>
        </w:rPr>
        <w:t>，</w:t>
      </w: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日起执</w:t>
      </w:r>
      <w:r>
        <w:rPr>
          <w:spacing w:val="1"/>
        </w:rPr>
        <w:t>行</w:t>
      </w:r>
      <w:r>
        <w:rPr/>
        <w:t>经修订</w:t>
      </w:r>
      <w:r>
        <w:rPr>
          <w:spacing w:val="-18"/>
        </w:rPr>
        <w:t>的</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号——政府补助</w:t>
      </w:r>
      <w:r>
        <w:rPr>
          <w:spacing w:val="-108"/>
        </w:rPr>
        <w:t>》</w:t>
      </w:r>
      <w:r>
        <w:rPr/>
        <w:t>（财</w:t>
      </w:r>
      <w:r>
        <w:rPr>
          <w:spacing w:val="-18"/>
        </w:rPr>
        <w:t>会</w:t>
      </w:r>
      <w:r>
        <w:rPr/>
        <w:t>〔</w:t>
      </w:r>
      <w:r>
        <w:rPr>
          <w:rFonts w:ascii="Times New Roman" w:hAnsi="Times New Roman" w:cs="Times New Roman" w:eastAsia="Times New Roman" w:hint="default"/>
        </w:rPr>
        <w:t>2017</w:t>
      </w:r>
      <w:r>
        <w:rPr/>
        <w:t>〕</w:t>
      </w:r>
    </w:p>
    <w:p>
      <w:pPr>
        <w:pStyle w:val="BodyText"/>
        <w:spacing w:line="240" w:lineRule="auto" w:before="64"/>
        <w:ind w:right="1235"/>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90"/>
        </w:rPr>
        <w:t>）</w:t>
      </w:r>
      <w:r>
        <w:rPr/>
        <w:t>。这两项会计政策变更采用未来适用法处理。</w:t>
      </w:r>
    </w:p>
    <w:p>
      <w:pPr>
        <w:pStyle w:val="BodyText"/>
        <w:spacing w:line="312" w:lineRule="auto" w:before="101"/>
        <w:ind w:left="154" w:right="1130" w:firstLine="360"/>
        <w:jc w:val="both"/>
      </w:pPr>
      <w:r>
        <w:rPr>
          <w:rFonts w:ascii="Times New Roman" w:hAnsi="Times New Roman" w:cs="Times New Roman" w:eastAsia="Times New Roman" w:hint="default"/>
        </w:rPr>
        <w:t>2</w:t>
      </w:r>
      <w:r>
        <w:rPr/>
        <w:t>、本公司编制</w:t>
      </w:r>
      <w:r>
        <w:rPr>
          <w:spacing w:val="-6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，将原列 </w:t>
      </w:r>
      <w:r>
        <w:rPr>
          <w:spacing w:val="-5"/>
        </w:rPr>
        <w:t>报于“营业外收入”和“营业外支出”的非流动资产处置利得或损失、非货币性资产交换产生的利得或损失变更为列报于“资</w:t>
      </w:r>
      <w:r>
        <w:rPr>
          <w:spacing w:val="-81"/>
        </w:rPr>
        <w:t> </w:t>
      </w:r>
      <w:r>
        <w:rPr>
          <w:spacing w:val="-81"/>
        </w:rPr>
      </w:r>
      <w:r>
        <w:rPr>
          <w:spacing w:val="-2"/>
        </w:rPr>
        <w:t>产处置收益”。此项会计政策变更采用追溯调整法，因公司上期不存在该项会计政策变更所涉及的交易事项，故不涉及对以</w:t>
      </w:r>
      <w:r>
        <w:rPr>
          <w:spacing w:val="-72"/>
        </w:rPr>
        <w:t> </w:t>
      </w:r>
      <w:r>
        <w:rPr>
          <w:spacing w:val="-72"/>
        </w:rPr>
      </w:r>
      <w:r>
        <w:rPr/>
        <w:t>前年度数据的追溯调整。</w:t>
      </w:r>
    </w:p>
    <w:p>
      <w:pPr>
        <w:pStyle w:val="BodyText"/>
        <w:spacing w:line="302" w:lineRule="auto" w:before="61"/>
        <w:ind w:left="154" w:right="1140" w:firstLine="360"/>
        <w:jc w:val="both"/>
      </w:pPr>
      <w:r>
        <w:rPr>
          <w:rFonts w:ascii="Times New Roman" w:hAnsi="Times New Roman" w:cs="Times New Roman" w:eastAsia="Times New Roman" w:hint="default"/>
        </w:rPr>
        <w:t>3</w:t>
      </w:r>
      <w:r>
        <w:rPr/>
        <w:t>、本次会计政策变更仅对公司当期财务报表项目列示产生影响，不会对公司的财务状况、经营成果和现金流量产生重 大影响。</w:t>
      </w:r>
    </w:p>
    <w:p>
      <w:pPr>
        <w:spacing w:line="240" w:lineRule="auto" w:before="6"/>
        <w:rPr>
          <w:rFonts w:ascii="宋体" w:hAnsi="宋体" w:cs="宋体" w:eastAsia="宋体" w:hint="default"/>
          <w:sz w:val="21"/>
          <w:szCs w:val="21"/>
        </w:rPr>
      </w:pPr>
    </w:p>
    <w:p>
      <w:pPr>
        <w:pStyle w:val="Heading2"/>
        <w:spacing w:line="240" w:lineRule="auto"/>
        <w:ind w:right="1235"/>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35"/>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1235"/>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1910" w:h="16840"/>
          <w:pgMar w:header="877" w:footer="979" w:top="1100" w:bottom="1160" w:left="980" w:right="0"/>
          <w:pgNumType w:start="62"/>
        </w:sectPr>
      </w:pPr>
    </w:p>
    <w:p>
      <w:pPr>
        <w:spacing w:line="240" w:lineRule="auto" w:before="6"/>
        <w:rPr>
          <w:rFonts w:ascii="宋体" w:hAnsi="宋体" w:cs="宋体" w:eastAsia="宋体" w:hint="default"/>
          <w:sz w:val="24"/>
          <w:szCs w:val="24"/>
        </w:rPr>
      </w:pPr>
      <w:r>
        <w:rPr/>
        <w:pict>
          <v:group style="position:absolute;margin-left:367.720001pt;margin-top:528.159973pt;width:59.7pt;height:15.6pt;mso-position-horizontal-relative:page;mso-position-vertical-relative:page;z-index:-956272" coordorigin="7354,10563" coordsize="1194,312">
            <v:shape style="position:absolute;left:7354;top:10563;width:1194;height:312" coordorigin="7354,10563" coordsize="1194,312" path="m7354,10875l8548,10875,8548,10563,7354,10563,7354,1087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赵国梁、龙海燕</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赵国梁连续服务年限为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年，龙海燕连续服务年限为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51"/>
        <w:ind w:left="154" w:right="1235"/>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3"/>
        <w:ind w:right="1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公司聘请天健会计师事务所（特殊普通合伙）为公司出具了</w:t>
      </w:r>
      <w:r>
        <w:rPr>
          <w:rFonts w:ascii="Times New Roman" w:hAnsi="Times New Roman" w:cs="Times New Roman" w:eastAsia="Times New Roman" w:hint="default"/>
        </w:rPr>
        <w:t>2017</w:t>
      </w:r>
      <w:r>
        <w:rPr/>
        <w:t>年度内部控制审计报告（天健审</w:t>
      </w:r>
      <w:r>
        <w:rPr>
          <w:rFonts w:ascii="Times New Roman" w:hAnsi="Times New Roman" w:cs="Times New Roman" w:eastAsia="Times New Roman" w:hint="default"/>
        </w:rPr>
        <w:t>[2018]3-177</w:t>
      </w:r>
      <w:r>
        <w:rPr/>
        <w:t>号）。</w:t>
      </w:r>
    </w:p>
    <w:p>
      <w:pPr>
        <w:spacing w:line="240" w:lineRule="auto" w:before="11"/>
        <w:rPr>
          <w:rFonts w:ascii="宋体" w:hAnsi="宋体" w:cs="宋体" w:eastAsia="宋体" w:hint="default"/>
          <w:sz w:val="17"/>
          <w:szCs w:val="17"/>
        </w:rPr>
      </w:pPr>
    </w:p>
    <w:p>
      <w:pPr>
        <w:pStyle w:val="Heading2"/>
        <w:spacing w:line="240" w:lineRule="auto"/>
        <w:ind w:right="1235"/>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235"/>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7"/>
              <w:jc w:val="left"/>
              <w:rPr>
                <w:rFonts w:ascii="宋体" w:hAnsi="宋体" w:cs="宋体" w:eastAsia="宋体" w:hint="default"/>
                <w:sz w:val="18"/>
                <w:szCs w:val="18"/>
              </w:rPr>
            </w:pPr>
            <w:r>
              <w:rPr>
                <w:rFonts w:ascii="宋体" w:hAnsi="宋体" w:cs="宋体" w:eastAsia="宋体" w:hint="default"/>
                <w:sz w:val="18"/>
                <w:szCs w:val="18"/>
              </w:rPr>
              <w:t>公司诉北京聚利科 技股份有限公司</w:t>
            </w:r>
          </w:p>
          <w:p>
            <w:pPr>
              <w:pStyle w:val="TableParagraph"/>
              <w:spacing w:line="312"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聚利科技） 侵害发明专利权纠 纷（涉案专利：第 </w:t>
            </w:r>
            <w:r>
              <w:rPr>
                <w:rFonts w:ascii="Times New Roman" w:hAnsi="Times New Roman" w:cs="Times New Roman" w:eastAsia="Times New Roman" w:hint="default"/>
                <w:sz w:val="18"/>
                <w:szCs w:val="18"/>
              </w:rPr>
              <w:t>201010105622.2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9"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名称为电子自动收 费车载单元的太阳 </w:t>
            </w:r>
            <w:r>
              <w:rPr>
                <w:rFonts w:ascii="宋体" w:hAnsi="宋体" w:cs="宋体" w:eastAsia="宋体" w:hint="default"/>
                <w:spacing w:val="-13"/>
                <w:sz w:val="18"/>
                <w:szCs w:val="18"/>
              </w:rPr>
              <w:t>能供电电路），请求</w:t>
            </w:r>
            <w:r>
              <w:rPr>
                <w:rFonts w:ascii="宋体" w:hAnsi="宋体" w:cs="宋体" w:eastAsia="宋体" w:hint="default"/>
                <w:sz w:val="18"/>
                <w:szCs w:val="18"/>
              </w:rPr>
              <w:t> 判令聚利科技停止 侵害并赔偿公司经 济损失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亿元等。</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二审终审</w:t>
            </w:r>
          </w:p>
        </w:tc>
        <w:tc>
          <w:tcPr>
            <w:tcW w:w="137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北京市高级人民 法院于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4" w:lineRule="auto"/>
              <w:ind w:left="22" w:right="-3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日作出二审 判决，驳回公司 </w:t>
            </w:r>
            <w:r>
              <w:rPr>
                <w:rFonts w:ascii="宋体" w:hAnsi="宋体" w:cs="宋体" w:eastAsia="宋体" w:hint="default"/>
                <w:spacing w:val="-9"/>
                <w:sz w:val="18"/>
                <w:szCs w:val="18"/>
              </w:rPr>
              <w:t>上诉，维持原判。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本案一审及二审</w:t>
            </w:r>
            <w:r>
              <w:rPr>
                <w:rFonts w:ascii="宋体" w:hAnsi="宋体" w:cs="宋体" w:eastAsia="宋体" w:hint="default"/>
                <w:sz w:val="18"/>
                <w:szCs w:val="18"/>
              </w:rPr>
              <w:t> 案件受理费合计</w:t>
            </w:r>
          </w:p>
          <w:p>
            <w:pPr>
              <w:pStyle w:val="TableParagraph"/>
              <w:spacing w:line="307" w:lineRule="auto" w:before="20"/>
              <w:ind w:left="22"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108.36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万元由公 司负担，该两项 费用已在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 度入账。</w:t>
            </w:r>
          </w:p>
        </w:tc>
        <w:tc>
          <w:tcPr>
            <w:tcW w:w="124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6" w:right="135"/>
              <w:jc w:val="left"/>
              <w:rPr>
                <w:rFonts w:ascii="宋体" w:hAnsi="宋体" w:cs="宋体" w:eastAsia="宋体" w:hint="default"/>
                <w:sz w:val="18"/>
                <w:szCs w:val="18"/>
              </w:rPr>
            </w:pPr>
            <w:r>
              <w:rPr>
                <w:rFonts w:ascii="宋体" w:hAnsi="宋体" w:cs="宋体" w:eastAsia="宋体" w:hint="default"/>
                <w:sz w:val="18"/>
                <w:szCs w:val="18"/>
              </w:rPr>
              <w:t>一审及二审案 件受理费合计</w:t>
            </w:r>
          </w:p>
          <w:p>
            <w:pPr>
              <w:pStyle w:val="TableParagraph"/>
              <w:spacing w:line="309" w:lineRule="auto" w:before="19"/>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108.36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 </w:t>
            </w:r>
            <w:r>
              <w:rPr>
                <w:rFonts w:ascii="宋体" w:hAnsi="宋体" w:cs="宋体" w:eastAsia="宋体" w:hint="default"/>
                <w:spacing w:val="-10"/>
                <w:sz w:val="18"/>
                <w:szCs w:val="18"/>
              </w:rPr>
              <w:t>公司负担，已交</w:t>
            </w:r>
            <w:r>
              <w:rPr>
                <w:rFonts w:ascii="宋体" w:hAnsi="宋体" w:cs="宋体" w:eastAsia="宋体" w:hint="default"/>
                <w:sz w:val="18"/>
                <w:szCs w:val="18"/>
              </w:rPr>
              <w:t> 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http://www</w:t>
              </w:r>
            </w:hyperlink>
          </w:p>
          <w:p>
            <w:pPr>
              <w:pStyle w:val="TableParagraph"/>
              <w:spacing w:line="307" w:lineRule="auto" w:before="102"/>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w:t>
            </w:r>
            <w:r>
              <w:rPr>
                <w:rFonts w:ascii="Times New Roman" w:hAnsi="Times New Roman" w:cs="Times New Roman" w:eastAsia="Times New Roman" w:hint="default"/>
                <w:spacing w:val="-6"/>
                <w:sz w:val="18"/>
                <w:szCs w:val="18"/>
              </w:rPr>
              <w:t>n)</w:t>
            </w:r>
            <w:r>
              <w:rPr>
                <w:rFonts w:ascii="宋体" w:hAnsi="宋体" w:cs="宋体" w:eastAsia="宋体" w:hint="default"/>
                <w:spacing w:val="-6"/>
                <w:sz w:val="18"/>
                <w:szCs w:val="18"/>
              </w:rPr>
              <w:t>《关于重大</w:t>
            </w:r>
            <w:r>
              <w:rPr>
                <w:rFonts w:ascii="宋体" w:hAnsi="宋体" w:cs="宋体" w:eastAsia="宋体" w:hint="default"/>
                <w:sz w:val="18"/>
                <w:szCs w:val="18"/>
              </w:rPr>
              <w:t> 诉讼的公告》</w:t>
            </w:r>
          </w:p>
          <w:p>
            <w:pPr>
              <w:pStyle w:val="TableParagraph"/>
              <w:spacing w:line="240" w:lineRule="auto" w:before="26"/>
              <w:ind w:left="22" w:right="-5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2017-031</w:t>
            </w:r>
            <w:r>
              <w:rPr>
                <w:rFonts w:ascii="宋体" w:hAnsi="宋体" w:cs="宋体" w:eastAsia="宋体" w:hint="default"/>
                <w:spacing w:val="-9"/>
                <w:sz w:val="18"/>
                <w:szCs w:val="18"/>
              </w:rPr>
              <w:t>）及</w:t>
            </w:r>
            <w:r>
              <w:rPr>
                <w:rFonts w:ascii="宋体" w:hAnsi="宋体" w:cs="宋体" w:eastAsia="宋体" w:hint="default"/>
                <w:sz w:val="18"/>
                <w:szCs w:val="18"/>
              </w:rPr>
            </w:r>
          </w:p>
          <w:p>
            <w:pPr>
              <w:pStyle w:val="TableParagraph"/>
              <w:spacing w:line="316"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《关于重大 诉讼进展的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2017-053</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2017-054</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2018-017</w:t>
            </w:r>
            <w:r>
              <w:rPr>
                <w:rFonts w:ascii="宋体" w:hAnsi="宋体" w:cs="宋体" w:eastAsia="宋体" w:hint="default"/>
                <w:sz w:val="18"/>
                <w:szCs w:val="18"/>
              </w:rPr>
              <w:t>）</w:t>
            </w:r>
          </w:p>
        </w:tc>
      </w:tr>
    </w:tbl>
    <w:p>
      <w:pPr>
        <w:pStyle w:val="BodyText"/>
        <w:spacing w:line="240" w:lineRule="auto" w:before="51"/>
        <w:ind w:left="154" w:right="1235"/>
        <w:jc w:val="left"/>
      </w:pPr>
      <w:r>
        <w:rPr/>
        <w:t>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年度，公司未达到重大诉讼披露标准的其他诉讼的涉案总金额为</w:t>
      </w:r>
      <w:r>
        <w:rPr>
          <w:spacing w:val="-46"/>
        </w:rPr>
        <w:t> </w:t>
      </w:r>
      <w:r>
        <w:rPr>
          <w:rFonts w:ascii="Times New Roman" w:hAnsi="Times New Roman" w:cs="Times New Roman" w:eastAsia="Times New Roman" w:hint="default"/>
        </w:rPr>
        <w:t>479.84</w:t>
      </w:r>
      <w:r>
        <w:rPr>
          <w:rFonts w:ascii="Times New Roman" w:hAnsi="Times New Roman" w:cs="Times New Roman" w:eastAsia="Times New Roman" w:hint="default"/>
          <w:spacing w:val="-1"/>
        </w:rPr>
        <w:t> </w:t>
      </w:r>
      <w:r>
        <w:rPr/>
        <w:t>万元，未有因诉讼产生的预计负债。</w:t>
      </w:r>
    </w:p>
    <w:p>
      <w:pPr>
        <w:spacing w:line="240" w:lineRule="auto" w:before="1"/>
        <w:rPr>
          <w:rFonts w:ascii="宋体" w:hAnsi="宋体" w:cs="宋体" w:eastAsia="宋体" w:hint="default"/>
          <w:sz w:val="24"/>
          <w:szCs w:val="24"/>
        </w:rPr>
      </w:pPr>
    </w:p>
    <w:p>
      <w:pPr>
        <w:pStyle w:val="Heading2"/>
        <w:spacing w:line="240" w:lineRule="auto"/>
        <w:ind w:left="154" w:right="1235"/>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235"/>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235"/>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235"/>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53" w:right="1235"/>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1235"/>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53" w:right="1235"/>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1235"/>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1235"/>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53" w:right="1235"/>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38" w:lineRule="auto" w:before="40"/>
        <w:ind w:right="5852" w:firstLine="360"/>
        <w:jc w:val="left"/>
      </w:pPr>
      <w:r>
        <w:rPr/>
        <w:t>报告期内，公司租赁收入</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万元，租赁支出</w:t>
      </w:r>
      <w:r>
        <w:rPr>
          <w:spacing w:val="-46"/>
        </w:rPr>
        <w:t> </w:t>
      </w:r>
      <w:r>
        <w:rPr>
          <w:rFonts w:ascii="Times New Roman" w:hAnsi="Times New Roman" w:cs="Times New Roman" w:eastAsia="Times New Roman" w:hint="default"/>
        </w:rPr>
        <w:t>786.34</w:t>
      </w:r>
      <w:r>
        <w:rPr>
          <w:rFonts w:ascii="Times New Roman" w:hAnsi="Times New Roman" w:cs="Times New Roman" w:eastAsia="Times New Roman" w:hint="default"/>
          <w:spacing w:val="-1"/>
        </w:rPr>
        <w:t> </w:t>
      </w:r>
      <w:r>
        <w:rPr/>
        <w:t>万元。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2"/>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7"/>
              <w:jc w:val="both"/>
              <w:rPr>
                <w:rFonts w:ascii="宋体" w:hAnsi="宋体" w:cs="宋体" w:eastAsia="宋体" w:hint="default"/>
                <w:sz w:val="18"/>
                <w:szCs w:val="18"/>
              </w:rPr>
            </w:pPr>
            <w:r>
              <w:rPr>
                <w:rFonts w:ascii="宋体" w:hAnsi="宋体" w:cs="宋体" w:eastAsia="宋体" w:hint="default"/>
                <w:sz w:val="18"/>
                <w:szCs w:val="18"/>
              </w:rPr>
              <w:t>深圳市投 资控股有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深圳市金 溢科技股 份有限公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租赁房屋 用于满足 公司办公 研发场地 需求。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4,174.87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公司与深 圳市投资 控股有限 公司无关 联关系</w:t>
            </w:r>
          </w:p>
        </w:tc>
      </w:tr>
    </w:tbl>
    <w:p>
      <w:pPr>
        <w:pStyle w:val="BodyText"/>
        <w:spacing w:line="240" w:lineRule="auto" w:before="51"/>
        <w:ind w:left="154" w:right="1235"/>
        <w:jc w:val="left"/>
      </w:pPr>
      <w:r>
        <w:rPr/>
        <w:pict>
          <v:group style="position:absolute;margin-left:187.460007pt;margin-top:-51.88829pt;width:41.9pt;height:20.8pt;mso-position-horizontal-relative:page;mso-position-vertical-relative:paragraph;z-index:-956248" coordorigin="3749,-1038" coordsize="838,416">
            <v:group style="position:absolute;left:3761;top:-1026;width:2;height:393" coordorigin="3761,-1026" coordsize="2,393">
              <v:shape style="position:absolute;left:3761;top:-1026;width:2;height:393" coordorigin="3761,-1026" coordsize="0,393" path="m3761,-1026l3761,-634e" filled="false" stroked="true" strokeweight="1.140pt" strokecolor="#ffffff">
                <v:path arrowok="t"/>
              </v:shape>
            </v:group>
            <v:group style="position:absolute;left:3772;top:-1026;width:815;height:393" coordorigin="3772,-1026" coordsize="815,393">
              <v:shape style="position:absolute;left:3772;top:-1026;width:815;height:393" coordorigin="3772,-1026" coordsize="815,393" path="m3772,-634l4587,-634,4587,-1026,3772,-1026,3772,-634xe" filled="true" fillcolor="#ffffff" stroked="false">
                <v:path arrowok="t"/>
                <v:fill type="solid"/>
              </v:shape>
            </v:group>
            <w10:wrap type="none"/>
          </v:group>
        </w:pict>
      </w:r>
      <w:r>
        <w:rPr>
          <w:rFonts w:ascii="Times New Roman" w:hAnsi="Times New Roman" w:cs="Times New Roman" w:eastAsia="Times New Roman" w:hint="default"/>
        </w:rPr>
        <w:t>2</w:t>
      </w:r>
      <w:r>
        <w:rPr/>
        <w:t>、重大担保</w:t>
      </w:r>
    </w:p>
    <w:p>
      <w:pPr>
        <w:pStyle w:val="BodyText"/>
        <w:spacing w:line="338" w:lineRule="auto" w:before="104"/>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1235"/>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1235"/>
        <w:jc w:val="left"/>
      </w:pPr>
      <w:r>
        <w:rPr/>
        <w:t>单项金额重大或安全性较低、流动性较差、不保本的高风险委托理财具体情况</w:t>
      </w:r>
    </w:p>
    <w:p>
      <w:pPr>
        <w:pStyle w:val="BodyText"/>
        <w:spacing w:line="240" w:lineRule="auto" w:before="117"/>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100" w:bottom="1160" w:left="980" w:right="0"/>
        </w:sectPr>
      </w:pPr>
    </w:p>
    <w:p>
      <w:pPr>
        <w:spacing w:line="240" w:lineRule="auto" w:before="12"/>
        <w:rPr>
          <w:rFonts w:ascii="宋体" w:hAnsi="宋体" w:cs="宋体" w:eastAsia="宋体" w:hint="default"/>
          <w:sz w:val="2"/>
          <w:szCs w:val="2"/>
        </w:rPr>
      </w:pPr>
      <w:r>
        <w:rPr/>
        <w:pict>
          <v:shape style="position:absolute;margin-left:70.379997pt;margin-top:91.94001pt;width:701.5pt;height:433.25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5"/>
                    <w:gridCol w:w="864"/>
                    <w:gridCol w:w="894"/>
                    <w:gridCol w:w="840"/>
                    <w:gridCol w:w="822"/>
                    <w:gridCol w:w="821"/>
                    <w:gridCol w:w="821"/>
                    <w:gridCol w:w="821"/>
                    <w:gridCol w:w="821"/>
                    <w:gridCol w:w="1135"/>
                    <w:gridCol w:w="505"/>
                    <w:gridCol w:w="821"/>
                    <w:gridCol w:w="821"/>
                    <w:gridCol w:w="804"/>
                    <w:gridCol w:w="803"/>
                    <w:gridCol w:w="802"/>
                    <w:gridCol w:w="785"/>
                  </w:tblGrid>
                  <w:tr>
                    <w:trPr>
                      <w:trHeight w:val="1338" w:hRule="exact"/>
                    </w:trPr>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67" w:right="6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1" w:right="113" w:hanging="270"/>
                          <w:jc w:val="left"/>
                          <w:rPr>
                            <w:rFonts w:ascii="宋体" w:hAnsi="宋体" w:cs="宋体" w:eastAsia="宋体" w:hint="default"/>
                            <w:sz w:val="18"/>
                            <w:szCs w:val="18"/>
                          </w:rPr>
                        </w:pPr>
                        <w:r>
                          <w:rPr>
                            <w:rFonts w:ascii="宋体" w:hAnsi="宋体" w:cs="宋体" w:eastAsia="宋体" w:hint="default"/>
                            <w:sz w:val="18"/>
                            <w:szCs w:val="18"/>
                          </w:rPr>
                          <w:t>参考年化收 益率</w:t>
                        </w:r>
                      </w:p>
                    </w:tc>
                    <w:tc>
                      <w:tcPr>
                        <w:tcW w:w="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57" w:right="66"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7" w:right="3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4"/>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20"/>
                          <w:ind w:left="26"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5083"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中国银行 深圳科苑 路支行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单位结构 性存款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66"/>
                          <w:jc w:val="left"/>
                          <w:rPr>
                            <w:rFonts w:ascii="宋体" w:hAnsi="宋体" w:cs="宋体" w:eastAsia="宋体" w:hint="default"/>
                            <w:sz w:val="18"/>
                            <w:szCs w:val="18"/>
                          </w:rPr>
                        </w:pPr>
                        <w:r>
                          <w:rPr>
                            <w:rFonts w:ascii="宋体" w:hAnsi="宋体" w:cs="宋体" w:eastAsia="宋体" w:hint="default"/>
                            <w:sz w:val="18"/>
                            <w:szCs w:val="18"/>
                          </w:rPr>
                          <w:t>闲置募集 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w:t>
                        </w:r>
                      </w:p>
                    </w:tc>
                    <w:tc>
                      <w:tcPr>
                        <w:tcW w:w="50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38"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nfo.com.c n)</w:t>
                        </w:r>
                        <w:r>
                          <w:rPr>
                            <w:rFonts w:ascii="宋体" w:hAnsi="宋体" w:cs="宋体" w:eastAsia="宋体" w:hint="default"/>
                            <w:sz w:val="18"/>
                            <w:szCs w:val="18"/>
                          </w:rPr>
                          <w:t>《关于</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使用部分</w:t>
                        </w:r>
                      </w:p>
                      <w:p>
                        <w:pPr>
                          <w:pStyle w:val="TableParagraph"/>
                          <w:spacing w:line="316" w:lineRule="auto" w:before="76"/>
                          <w:ind w:left="22" w:right="30"/>
                          <w:jc w:val="both"/>
                          <w:rPr>
                            <w:rFonts w:ascii="宋体" w:hAnsi="宋体" w:cs="宋体" w:eastAsia="宋体" w:hint="default"/>
                            <w:sz w:val="18"/>
                            <w:szCs w:val="18"/>
                          </w:rPr>
                        </w:pPr>
                        <w:r>
                          <w:rPr>
                            <w:rFonts w:ascii="宋体" w:hAnsi="宋体" w:cs="宋体" w:eastAsia="宋体" w:hint="default"/>
                            <w:sz w:val="18"/>
                            <w:szCs w:val="18"/>
                          </w:rPr>
                          <w:t>闲置募集 资金进行 现金管理 进展的公 </w:t>
                        </w:r>
                        <w:r>
                          <w:rPr>
                            <w:rFonts w:ascii="宋体" w:hAnsi="宋体" w:cs="宋体" w:eastAsia="宋体" w:hint="default"/>
                            <w:spacing w:val="-23"/>
                            <w:sz w:val="18"/>
                            <w:szCs w:val="18"/>
                          </w:rPr>
                          <w:t>告（二）</w:t>
                        </w:r>
                        <w:r>
                          <w:rPr>
                            <w:rFonts w:ascii="宋体" w:hAnsi="宋体" w:cs="宋体" w:eastAsia="宋体" w:hint="default"/>
                            <w:sz w:val="18"/>
                            <w:szCs w:val="18"/>
                          </w:rPr>
                        </w:r>
                      </w:p>
                      <w:p>
                        <w:pPr>
                          <w:pStyle w:val="TableParagraph"/>
                          <w:spacing w:line="316"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2017-017</w:t>
                        </w:r>
                      </w:p>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234"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中国光大 银行深圳 熙龙湾支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39"/>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3" w:right="66"/>
                          <w:jc w:val="left"/>
                          <w:rPr>
                            <w:rFonts w:ascii="宋体" w:hAnsi="宋体" w:cs="宋体" w:eastAsia="宋体" w:hint="default"/>
                            <w:sz w:val="18"/>
                            <w:szCs w:val="18"/>
                          </w:rPr>
                        </w:pPr>
                        <w:r>
                          <w:rPr>
                            <w:rFonts w:ascii="宋体" w:hAnsi="宋体" w:cs="宋体" w:eastAsia="宋体" w:hint="default"/>
                            <w:sz w:val="18"/>
                            <w:szCs w:val="18"/>
                          </w:rPr>
                          <w:t>闲置募集 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50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38"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nfo.com.c n)</w:t>
                        </w:r>
                        <w:r>
                          <w:rPr>
                            <w:rFonts w:ascii="宋体" w:hAnsi="宋体" w:cs="宋体" w:eastAsia="宋体" w:hint="default"/>
                            <w:sz w:val="18"/>
                            <w:szCs w:val="18"/>
                          </w:rPr>
                          <w:t>《关于</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公司及全</w:t>
                        </w:r>
                      </w:p>
                    </w:tc>
                  </w:tr>
                </w:tbl>
                <w:p>
                  <w:pPr/>
                </w:p>
              </w:txbxContent>
            </v:textbox>
            <w10:wrap type="non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pStyle w:val="BodyText"/>
        <w:spacing w:line="240" w:lineRule="auto" w:before="44"/>
        <w:ind w:left="0" w:right="1436"/>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0" w:right="1356"/>
        <w:jc w:val="right"/>
      </w:pPr>
      <w:r>
        <w:rPr/>
        <w:t>》</w:t>
      </w:r>
    </w:p>
    <w:p>
      <w:pPr>
        <w:spacing w:after="0" w:line="240" w:lineRule="auto"/>
        <w:jc w:val="right"/>
        <w:sectPr>
          <w:headerReference w:type="default" r:id="rId18"/>
          <w:footerReference w:type="default" r:id="rId19"/>
          <w:pgSz w:w="16840" w:h="11910" w:orient="landscape"/>
          <w:pgMar w:header="867" w:footer="979" w:top="1060" w:bottom="1160" w:left="1300" w:right="0"/>
          <w:pgNumType w:start="66"/>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894"/>
        <w:gridCol w:w="840"/>
        <w:gridCol w:w="822"/>
        <w:gridCol w:w="821"/>
        <w:gridCol w:w="821"/>
        <w:gridCol w:w="821"/>
        <w:gridCol w:w="821"/>
        <w:gridCol w:w="1135"/>
        <w:gridCol w:w="505"/>
        <w:gridCol w:w="821"/>
        <w:gridCol w:w="821"/>
        <w:gridCol w:w="804"/>
        <w:gridCol w:w="803"/>
        <w:gridCol w:w="802"/>
        <w:gridCol w:w="785"/>
      </w:tblGrid>
      <w:tr>
        <w:trPr>
          <w:trHeight w:val="3185" w:hRule="exact"/>
        </w:trPr>
        <w:tc>
          <w:tcPr>
            <w:tcW w:w="835" w:type="dxa"/>
            <w:tcBorders>
              <w:top w:val="single" w:sz="15" w:space="0" w:color="000000"/>
              <w:left w:val="single" w:sz="4" w:space="0" w:color="000000"/>
              <w:bottom w:val="single" w:sz="4" w:space="0" w:color="000000"/>
              <w:right w:val="single" w:sz="4" w:space="0" w:color="000000"/>
            </w:tcBorders>
          </w:tcPr>
          <w:p>
            <w:pPr/>
          </w:p>
        </w:tc>
        <w:tc>
          <w:tcPr>
            <w:tcW w:w="864" w:type="dxa"/>
            <w:tcBorders>
              <w:top w:val="single" w:sz="15" w:space="0" w:color="000000"/>
              <w:left w:val="single" w:sz="4" w:space="0" w:color="000000"/>
              <w:bottom w:val="single" w:sz="4" w:space="0" w:color="000000"/>
              <w:right w:val="single" w:sz="4" w:space="0" w:color="000000"/>
            </w:tcBorders>
          </w:tcPr>
          <w:p>
            <w:pPr/>
          </w:p>
        </w:tc>
        <w:tc>
          <w:tcPr>
            <w:tcW w:w="894" w:type="dxa"/>
            <w:tcBorders>
              <w:top w:val="single" w:sz="15" w:space="0" w:color="000000"/>
              <w:left w:val="single" w:sz="4" w:space="0" w:color="000000"/>
              <w:bottom w:val="single" w:sz="4" w:space="0" w:color="000000"/>
              <w:right w:val="single" w:sz="4" w:space="0" w:color="000000"/>
            </w:tcBorders>
          </w:tcPr>
          <w:p>
            <w:pPr/>
          </w:p>
        </w:tc>
        <w:tc>
          <w:tcPr>
            <w:tcW w:w="840" w:type="dxa"/>
            <w:tcBorders>
              <w:top w:val="single" w:sz="15" w:space="0" w:color="000000"/>
              <w:left w:val="single" w:sz="4" w:space="0" w:color="000000"/>
              <w:bottom w:val="single" w:sz="4" w:space="0" w:color="000000"/>
              <w:right w:val="single" w:sz="4" w:space="0" w:color="000000"/>
            </w:tcBorders>
          </w:tcPr>
          <w:p>
            <w:pPr/>
          </w:p>
        </w:tc>
        <w:tc>
          <w:tcPr>
            <w:tcW w:w="822"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05"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c>
          <w:tcPr>
            <w:tcW w:w="803"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资子公司 使用部分 闲置募集 资金进行 现金管理 进展的公 </w:t>
            </w:r>
            <w:r>
              <w:rPr>
                <w:rFonts w:ascii="宋体" w:hAnsi="宋体" w:cs="宋体" w:eastAsia="宋体" w:hint="default"/>
                <w:spacing w:val="-35"/>
                <w:sz w:val="18"/>
                <w:szCs w:val="18"/>
              </w:rPr>
              <w:t>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2017-027</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5395"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中国银行 深圳科苑 路支行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39"/>
              <w:jc w:val="both"/>
              <w:rPr>
                <w:rFonts w:ascii="宋体" w:hAnsi="宋体" w:cs="宋体" w:eastAsia="宋体" w:hint="default"/>
                <w:sz w:val="18"/>
                <w:szCs w:val="18"/>
              </w:rPr>
            </w:pPr>
            <w:r>
              <w:rPr>
                <w:rFonts w:ascii="宋体" w:hAnsi="宋体" w:cs="宋体" w:eastAsia="宋体" w:hint="default"/>
                <w:sz w:val="18"/>
                <w:szCs w:val="18"/>
              </w:rPr>
              <w:t>保证收益 型理财产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66"/>
              <w:jc w:val="left"/>
              <w:rPr>
                <w:rFonts w:ascii="宋体" w:hAnsi="宋体" w:cs="宋体" w:eastAsia="宋体" w:hint="default"/>
                <w:sz w:val="18"/>
                <w:szCs w:val="18"/>
              </w:rPr>
            </w:pPr>
            <w:r>
              <w:rPr>
                <w:rFonts w:ascii="宋体" w:hAnsi="宋体" w:cs="宋体" w:eastAsia="宋体" w:hint="default"/>
                <w:sz w:val="18"/>
                <w:szCs w:val="18"/>
              </w:rPr>
              <w:t>闲置募集 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6"/>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3.30%-4.30%</w:t>
            </w:r>
          </w:p>
        </w:tc>
        <w:tc>
          <w:tcPr>
            <w:tcW w:w="50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153.04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38"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nfo.com.c n)</w:t>
            </w:r>
            <w:r>
              <w:rPr>
                <w:rFonts w:ascii="宋体" w:hAnsi="宋体" w:cs="宋体" w:eastAsia="宋体" w:hint="default"/>
                <w:sz w:val="18"/>
                <w:szCs w:val="18"/>
              </w:rPr>
              <w:t>《关于</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公司及全</w:t>
            </w:r>
          </w:p>
          <w:p>
            <w:pPr>
              <w:pStyle w:val="TableParagraph"/>
              <w:spacing w:line="316"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资子公司 使用部分 闲置募集 资金进行 现金管理 进展的公 </w:t>
            </w:r>
            <w:r>
              <w:rPr>
                <w:rFonts w:ascii="宋体" w:hAnsi="宋体" w:cs="宋体" w:eastAsia="宋体" w:hint="default"/>
                <w:spacing w:val="-35"/>
                <w:sz w:val="18"/>
                <w:szCs w:val="18"/>
              </w:rPr>
              <w:t>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2017-040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8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中国银行 深圳科苑</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9"/>
              <w:jc w:val="left"/>
              <w:rPr>
                <w:rFonts w:ascii="宋体" w:hAnsi="宋体" w:cs="宋体" w:eastAsia="宋体" w:hint="default"/>
                <w:sz w:val="18"/>
                <w:szCs w:val="18"/>
              </w:rPr>
            </w:pPr>
            <w:r>
              <w:rPr>
                <w:rFonts w:ascii="宋体" w:hAnsi="宋体" w:cs="宋体" w:eastAsia="宋体" w:hint="default"/>
                <w:sz w:val="18"/>
                <w:szCs w:val="18"/>
              </w:rPr>
              <w:t>保证收益 型理财产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66"/>
              <w:jc w:val="left"/>
              <w:rPr>
                <w:rFonts w:ascii="宋体" w:hAnsi="宋体" w:cs="宋体" w:eastAsia="宋体" w:hint="default"/>
                <w:sz w:val="18"/>
                <w:szCs w:val="18"/>
              </w:rPr>
            </w:pPr>
            <w:r>
              <w:rPr>
                <w:rFonts w:ascii="宋体" w:hAnsi="宋体" w:cs="宋体" w:eastAsia="宋体" w:hint="default"/>
                <w:sz w:val="18"/>
                <w:szCs w:val="18"/>
              </w:rPr>
              <w:t>闲置募集 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3.30%-4.30%</w:t>
            </w:r>
          </w:p>
        </w:tc>
        <w:tc>
          <w:tcPr>
            <w:tcW w:w="50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300"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日已 收回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20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894"/>
        <w:gridCol w:w="840"/>
        <w:gridCol w:w="822"/>
        <w:gridCol w:w="821"/>
        <w:gridCol w:w="821"/>
        <w:gridCol w:w="821"/>
        <w:gridCol w:w="821"/>
        <w:gridCol w:w="1135"/>
        <w:gridCol w:w="505"/>
        <w:gridCol w:w="821"/>
        <w:gridCol w:w="821"/>
        <w:gridCol w:w="804"/>
        <w:gridCol w:w="803"/>
        <w:gridCol w:w="802"/>
        <w:gridCol w:w="785"/>
      </w:tblGrid>
      <w:tr>
        <w:trPr>
          <w:trHeight w:val="4434" w:hRule="exact"/>
        </w:trPr>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路支行</w:t>
            </w:r>
          </w:p>
        </w:tc>
        <w:tc>
          <w:tcPr>
            <w:tcW w:w="864" w:type="dxa"/>
            <w:tcBorders>
              <w:top w:val="single" w:sz="15" w:space="0" w:color="000000"/>
              <w:left w:val="single" w:sz="4" w:space="0" w:color="000000"/>
              <w:bottom w:val="single" w:sz="4" w:space="0" w:color="000000"/>
              <w:right w:val="single" w:sz="4" w:space="0" w:color="000000"/>
            </w:tcBorders>
          </w:tcPr>
          <w:p>
            <w:pPr/>
          </w:p>
        </w:tc>
        <w:tc>
          <w:tcPr>
            <w:tcW w:w="8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40" w:type="dxa"/>
            <w:tcBorders>
              <w:top w:val="single" w:sz="15" w:space="0" w:color="000000"/>
              <w:left w:val="single" w:sz="4" w:space="0" w:color="000000"/>
              <w:bottom w:val="single" w:sz="4" w:space="0" w:color="000000"/>
              <w:right w:val="single" w:sz="4" w:space="0" w:color="000000"/>
            </w:tcBorders>
          </w:tcPr>
          <w:p>
            <w:pPr/>
          </w:p>
        </w:tc>
        <w:tc>
          <w:tcPr>
            <w:tcW w:w="822"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505"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10"/>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150.31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04" w:type="dxa"/>
            <w:tcBorders>
              <w:top w:val="single" w:sz="15" w:space="0" w:color="000000"/>
              <w:left w:val="single" w:sz="4" w:space="0" w:color="000000"/>
              <w:bottom w:val="single" w:sz="4" w:space="0" w:color="000000"/>
              <w:right w:val="single" w:sz="4" w:space="0" w:color="000000"/>
            </w:tcBorders>
          </w:tcPr>
          <w:p>
            <w:pPr/>
          </w:p>
        </w:tc>
        <w:tc>
          <w:tcPr>
            <w:tcW w:w="803"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338" w:lineRule="auto" w:before="50"/>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 nfo.com.c n)</w:t>
            </w:r>
            <w:r>
              <w:rPr>
                <w:rFonts w:ascii="宋体" w:hAnsi="宋体" w:cs="宋体" w:eastAsia="宋体" w:hint="default"/>
                <w:sz w:val="18"/>
                <w:szCs w:val="18"/>
              </w:rPr>
              <w:t>《关于</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公司及全</w:t>
            </w:r>
          </w:p>
          <w:p>
            <w:pPr>
              <w:pStyle w:val="TableParagraph"/>
              <w:spacing w:line="316"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资子公司 使用部分 闲置募集 资金进行 现金管理 进展的公 </w:t>
            </w:r>
            <w:r>
              <w:rPr>
                <w:rFonts w:ascii="宋体" w:hAnsi="宋体" w:cs="宋体" w:eastAsia="宋体" w:hint="default"/>
                <w:spacing w:val="-35"/>
                <w:sz w:val="18"/>
                <w:szCs w:val="18"/>
              </w:rPr>
              <w:t>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p>
          <w:p>
            <w:pPr>
              <w:pStyle w:val="TableParagraph"/>
              <w:spacing w:line="240" w:lineRule="auto" w:before="59"/>
              <w:ind w:left="22" w:right="0"/>
              <w:jc w:val="both"/>
              <w:rPr>
                <w:rFonts w:ascii="Times New Roman" w:hAnsi="Times New Roman" w:cs="Times New Roman" w:eastAsia="Times New Roman" w:hint="default"/>
                <w:sz w:val="18"/>
                <w:szCs w:val="18"/>
              </w:rPr>
            </w:pPr>
            <w:r>
              <w:rPr>
                <w:rFonts w:ascii="Times New Roman"/>
                <w:sz w:val="18"/>
              </w:rPr>
              <w:t>2017-059</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2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13" w:right="0"/>
              <w:jc w:val="left"/>
              <w:rPr>
                <w:rFonts w:ascii="Times New Roman" w:hAnsi="Times New Roman" w:cs="Times New Roman" w:eastAsia="Times New Roman" w:hint="default"/>
                <w:sz w:val="18"/>
                <w:szCs w:val="18"/>
              </w:rPr>
            </w:pPr>
            <w:r>
              <w:rPr>
                <w:rFonts w:ascii="Times New Roman"/>
                <w:sz w:val="18"/>
              </w:rPr>
              <w:t>50,000</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395.63</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40" w:right="0"/>
        <w:jc w:val="left"/>
      </w:pPr>
      <w:r>
        <w:rPr/>
        <w:t>委托理财出现预期无法收回本金或存在其他可能导致减值的情形</w:t>
      </w:r>
    </w:p>
    <w:p>
      <w:pPr>
        <w:pStyle w:val="BodyText"/>
        <w:spacing w:line="240" w:lineRule="auto" w:before="117"/>
        <w:ind w:left="1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6840" w:h="11910" w:orient="landscape"/>
          <w:pgMar w:header="867" w:footer="979" w:top="1060" w:bottom="1160" w:left="130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both"/>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53" w:right="0"/>
        <w:jc w:val="both"/>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360"/>
        <w:jc w:val="both"/>
      </w:pPr>
      <w:r>
        <w:rPr>
          <w:spacing w:val="-2"/>
        </w:rPr>
        <w:t>公司一直秉承</w:t>
      </w:r>
      <w:r>
        <w:rPr>
          <w:rFonts w:ascii="Times New Roman" w:hAnsi="Times New Roman" w:cs="Times New Roman" w:eastAsia="Times New Roman" w:hint="default"/>
          <w:spacing w:val="-2"/>
        </w:rPr>
        <w:t>“</w:t>
      </w:r>
      <w:r>
        <w:rPr>
          <w:spacing w:val="-2"/>
        </w:rPr>
        <w:t>聚焦客户、追求卓越；锐意创新，勇担责任；以人为本，合作共赢</w:t>
      </w:r>
      <w:r>
        <w:rPr>
          <w:rFonts w:ascii="Times New Roman" w:hAnsi="Times New Roman" w:cs="Times New Roman" w:eastAsia="Times New Roman" w:hint="default"/>
          <w:spacing w:val="-2"/>
        </w:rPr>
        <w:t>”</w:t>
      </w:r>
      <w:r>
        <w:rPr>
          <w:spacing w:val="-2"/>
        </w:rPr>
        <w:t>的价值理念，始终以建立现代企业制</w:t>
      </w:r>
      <w:r>
        <w:rPr/>
        <w:t> </w:t>
      </w:r>
      <w:r>
        <w:rPr>
          <w:spacing w:val="-2"/>
        </w:rPr>
        <w:t>度，打造公开、透明、规范的上市公司为目标。公司在创造利润、对股东利益负责的同时，积极履行对利益相关者权益的保</w:t>
      </w:r>
      <w:r>
        <w:rPr>
          <w:spacing w:val="-68"/>
        </w:rPr>
        <w:t> </w:t>
      </w:r>
      <w:r>
        <w:rPr>
          <w:spacing w:val="-68"/>
        </w:rPr>
      </w:r>
      <w:r>
        <w:rPr>
          <w:spacing w:val="-2"/>
        </w:rPr>
        <w:t>护，在股东权益保护、职工权益保护、供应商、客户和消费者权益保护、环境保护与可持续发展和社会公益事业等方面积极</w:t>
      </w:r>
      <w:r>
        <w:rPr>
          <w:spacing w:val="-66"/>
        </w:rPr>
        <w:t> </w:t>
      </w:r>
      <w:r>
        <w:rPr>
          <w:spacing w:val="-66"/>
        </w:rPr>
      </w:r>
      <w:r>
        <w:rPr/>
        <w:t>探索，以实现企业与经济社会可持续发展的协调统一。</w:t>
      </w:r>
    </w:p>
    <w:p>
      <w:pPr>
        <w:pStyle w:val="BodyText"/>
        <w:spacing w:line="240" w:lineRule="auto" w:before="62"/>
        <w:ind w:left="514" w:right="1235"/>
        <w:jc w:val="left"/>
      </w:pPr>
      <w:r>
        <w:rPr/>
        <w:t>（</w:t>
      </w:r>
      <w:r>
        <w:rPr>
          <w:rFonts w:ascii="Times New Roman" w:hAnsi="Times New Roman" w:cs="Times New Roman" w:eastAsia="Times New Roman" w:hint="default"/>
        </w:rPr>
        <w:t>1</w:t>
      </w:r>
      <w:r>
        <w:rPr/>
        <w:t>）股东和债权人权益保护</w:t>
      </w:r>
    </w:p>
    <w:p>
      <w:pPr>
        <w:pStyle w:val="BodyText"/>
        <w:spacing w:line="338" w:lineRule="auto" w:before="103"/>
        <w:ind w:left="514" w:right="0"/>
        <w:jc w:val="left"/>
      </w:pPr>
      <w:r>
        <w:rPr>
          <w:rFonts w:ascii="Times New Roman" w:hAnsi="Times New Roman" w:cs="Times New Roman" w:eastAsia="Times New Roman" w:hint="default"/>
        </w:rPr>
        <w:t>a.</w:t>
      </w:r>
      <w:r>
        <w:rPr/>
        <w:t>完善公司治理结构、加强公司内控管理 </w:t>
      </w:r>
      <w:r>
        <w:rPr>
          <w:spacing w:val="-6"/>
        </w:rPr>
        <w:t>根据《公司法》、《证券法》、《上市公司治理准则》及《深圳证券交易所中小板上市公司规范运作指引》等法律法规、</w:t>
      </w:r>
    </w:p>
    <w:p>
      <w:pPr>
        <w:pStyle w:val="BodyText"/>
        <w:spacing w:line="319" w:lineRule="auto" w:before="2"/>
        <w:ind w:left="154" w:right="1132"/>
        <w:jc w:val="both"/>
      </w:pPr>
      <w:r>
        <w:rPr>
          <w:spacing w:val="-5"/>
        </w:rPr>
        <w:t>规范性文件的要求，公司已制定了《股东大会议事规则》、《董事会议事规则》、《监事会议事规则》等三会制度，以及《信</w:t>
      </w:r>
      <w:r>
        <w:rPr>
          <w:spacing w:val="-80"/>
        </w:rPr>
        <w:t> </w:t>
      </w:r>
      <w:r>
        <w:rPr>
          <w:spacing w:val="-80"/>
        </w:rPr>
      </w:r>
      <w:r>
        <w:rPr>
          <w:spacing w:val="-2"/>
        </w:rPr>
        <w:t>息披露管理制度》、《重大信息内部报告和保密制度》、《内幕信息知情人登记制度》、《投资者关系管理制度》等信息管</w:t>
      </w:r>
      <w:r>
        <w:rPr>
          <w:spacing w:val="-68"/>
        </w:rPr>
        <w:t> </w:t>
      </w:r>
      <w:r>
        <w:rPr>
          <w:spacing w:val="-68"/>
        </w:rPr>
      </w:r>
      <w:r>
        <w:rPr/>
        <w:t>理及投资者关系管理制度。</w:t>
      </w:r>
    </w:p>
    <w:p>
      <w:pPr>
        <w:pStyle w:val="BodyText"/>
        <w:spacing w:line="314" w:lineRule="auto" w:before="55"/>
        <w:ind w:left="154" w:right="1032" w:firstLine="360"/>
        <w:jc w:val="left"/>
      </w:pPr>
      <w:r>
        <w:rPr>
          <w:spacing w:val="-2"/>
        </w:rPr>
        <w:t>公司切实执行《股东大会议事规则》，严格按照《上市公司股东大会规则》和《公司章程》的规定和要求，保护全体股</w:t>
      </w:r>
      <w:r>
        <w:rPr/>
        <w:t> 东特别是中小股东的合法权益。公司严格按照中国证监会有关要求召集、召开股东大会，并聘请律师出席见证。报告期内，</w:t>
      </w:r>
      <w:r>
        <w:rPr>
          <w:spacing w:val="-85"/>
        </w:rPr>
        <w:t> </w:t>
      </w:r>
      <w:r>
        <w:rPr>
          <w:spacing w:val="-85"/>
        </w:rPr>
      </w:r>
      <w:r>
        <w:rPr/>
        <w:t>公司共召开</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次股东大会（上市前后各召开</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4"/>
        </w:rPr>
        <w:t>次，合计</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次）。上市后召开的股东大会均提供网络投票方式，并按中国证监 </w:t>
      </w:r>
      <w:r>
        <w:rPr>
          <w:spacing w:val="-2"/>
        </w:rPr>
        <w:t>会和深圳证券交易所的有关规定对中小投资者的表决单独计票，最大限度提高中小投资者参与公司决策程度，维护中小投资</w:t>
      </w:r>
      <w:r>
        <w:rPr>
          <w:spacing w:val="-64"/>
        </w:rPr>
        <w:t> </w:t>
      </w:r>
      <w:r>
        <w:rPr>
          <w:spacing w:val="-64"/>
        </w:rPr>
      </w:r>
      <w:r>
        <w:rPr/>
        <w:t>者利益。</w:t>
      </w:r>
    </w:p>
    <w:p>
      <w:pPr>
        <w:pStyle w:val="BodyText"/>
        <w:spacing w:line="338" w:lineRule="auto" w:before="61"/>
        <w:ind w:left="514" w:right="0"/>
        <w:jc w:val="left"/>
      </w:pPr>
      <w:r>
        <w:rPr>
          <w:rFonts w:ascii="Times New Roman" w:hAnsi="Times New Roman" w:cs="Times New Roman" w:eastAsia="Times New Roman" w:hint="default"/>
        </w:rPr>
        <w:t>b.</w:t>
      </w:r>
      <w:r>
        <w:rPr/>
        <w:t>提高信息披露透明度，做好投资者关系管理 </w:t>
      </w:r>
      <w:r>
        <w:rPr>
          <w:spacing w:val="-2"/>
        </w:rPr>
        <w:t>公司严格按照深圳证券交易所信息披露指引等规定，履行信息披露责任，确保信息披露内容真实、准确、完整，不存在</w:t>
      </w:r>
    </w:p>
    <w:p>
      <w:pPr>
        <w:pStyle w:val="BodyText"/>
        <w:spacing w:line="312" w:lineRule="auto" w:before="2"/>
        <w:ind w:left="154" w:right="1131"/>
        <w:jc w:val="both"/>
      </w:pPr>
      <w:r>
        <w:rPr>
          <w:spacing w:val="-2"/>
        </w:rPr>
        <w:t>任何虚假记载和误导性陈述。公司指定信息披露媒体为《证券时报》、《证券日报》、《中国证券报》、《上海证券报》和</w:t>
      </w:r>
      <w:r>
        <w:rPr>
          <w:spacing w:val="-70"/>
        </w:rPr>
        <w:t> </w:t>
      </w:r>
      <w:r>
        <w:rPr>
          <w:spacing w:val="-70"/>
        </w:rPr>
      </w:r>
      <w:r>
        <w:rPr/>
        <w:t>巨潮资讯网</w:t>
      </w:r>
      <w:r>
        <w:rPr>
          <w:rFonts w:ascii="Times New Roman" w:hAnsi="Times New Roman" w:cs="Times New Roman" w:eastAsia="Times New Roman" w:hint="default"/>
        </w:rPr>
        <w:t>(http://www.cninfo.com.cn)</w:t>
      </w:r>
      <w:r>
        <w:rPr/>
        <w:t>，信息披露内容包括定期报告及其他临时性公告，基本涵盖了公司所有的重大事项，</w:t>
      </w:r>
      <w:r>
        <w:rPr>
          <w:spacing w:val="-40"/>
        </w:rPr>
        <w:t> </w:t>
      </w:r>
      <w:r>
        <w:rPr>
          <w:spacing w:val="-40"/>
        </w:rPr>
      </w:r>
      <w:r>
        <w:rPr>
          <w:spacing w:val="-2"/>
        </w:rPr>
        <w:t>使投资者能够迅速了解到公司发展状况，保障了广大投资者的知情权。公司设置了投资者热线和邮箱，由专人负责解答投资</w:t>
      </w:r>
      <w:r>
        <w:rPr>
          <w:spacing w:val="-68"/>
        </w:rPr>
        <w:t> </w:t>
      </w:r>
      <w:r>
        <w:rPr>
          <w:spacing w:val="-68"/>
        </w:rPr>
      </w:r>
      <w:r>
        <w:rPr>
          <w:spacing w:val="-2"/>
        </w:rPr>
        <w:t>者咨询，通过各种方式加强与中小投资者之间的沟通。报告期内，公司按照《深圳证监局关于持续深入开展投资者保护“蓝</w:t>
      </w:r>
      <w:r>
        <w:rPr>
          <w:spacing w:val="-66"/>
        </w:rPr>
        <w:t> </w:t>
      </w:r>
      <w:r>
        <w:rPr>
          <w:spacing w:val="-66"/>
        </w:rPr>
      </w:r>
      <w:r>
        <w:rPr/>
        <w:t>天行动 </w:t>
      </w:r>
      <w:r>
        <w:rPr>
          <w:rFonts w:ascii="Times New Roman" w:hAnsi="Times New Roman" w:cs="Times New Roman" w:eastAsia="Times New Roman" w:hint="default"/>
        </w:rPr>
        <w:t>2017</w:t>
      </w:r>
      <w:r>
        <w:rPr/>
        <w:t>”专项工作的的通知》（深证局发</w:t>
      </w:r>
      <w:r>
        <w:rPr>
          <w:rFonts w:ascii="Times New Roman" w:hAnsi="Times New Roman" w:cs="Times New Roman" w:eastAsia="Times New Roman" w:hint="default"/>
        </w:rPr>
        <w:t>[2017]43</w:t>
      </w:r>
      <w:r>
        <w:rPr>
          <w:rFonts w:ascii="Times New Roman" w:hAnsi="Times New Roman" w:cs="Times New Roman" w:eastAsia="Times New Roman" w:hint="default"/>
          <w:spacing w:val="22"/>
        </w:rPr>
        <w:t> </w:t>
      </w:r>
      <w:r>
        <w:rPr/>
        <w:t>号）的要求，分阶段组织开展投资者保护“蓝天行动”工作。同时</w:t>
      </w:r>
      <w:r>
        <w:rPr>
          <w:w w:val="99"/>
        </w:rPr>
        <w:t> </w:t>
      </w:r>
      <w:r>
        <w:rPr/>
        <w:t>结合“投资者保护·</w:t>
      </w:r>
      <w:r>
        <w:rPr>
          <w:rFonts w:ascii="Times New Roman" w:hAnsi="Times New Roman" w:cs="Times New Roman" w:eastAsia="Times New Roman" w:hint="default"/>
        </w:rPr>
        <w:t>.</w:t>
      </w:r>
      <w:r>
        <w:rPr/>
        <w:t>明规则、识风险”专项宣传活动，在公司官方网站上设置专栏并刊登投资者保护专题稿件。</w:t>
      </w:r>
    </w:p>
    <w:p>
      <w:pPr>
        <w:pStyle w:val="BodyText"/>
        <w:spacing w:line="338" w:lineRule="auto" w:before="42"/>
        <w:ind w:left="514" w:right="0"/>
        <w:jc w:val="left"/>
      </w:pPr>
      <w:r>
        <w:rPr>
          <w:rFonts w:ascii="Times New Roman" w:hAnsi="Times New Roman" w:cs="Times New Roman" w:eastAsia="Times New Roman" w:hint="default"/>
        </w:rPr>
        <w:t>c.</w:t>
      </w:r>
      <w:r>
        <w:rPr/>
        <w:t>科学合理分红、积极回报投资者 </w:t>
      </w:r>
      <w:r>
        <w:rPr>
          <w:spacing w:val="-2"/>
        </w:rPr>
        <w:t>为完善和健全公司利润分配决策和监督机制，增加利润分配决策透明度和可操作性，积极回报投资者，引导投资者树立</w:t>
      </w:r>
    </w:p>
    <w:p>
      <w:pPr>
        <w:pStyle w:val="BodyText"/>
        <w:spacing w:line="307" w:lineRule="auto" w:before="3"/>
        <w:ind w:right="1130"/>
        <w:jc w:val="both"/>
      </w:pPr>
      <w:r>
        <w:rPr/>
        <w:t>长期投资和理性投资理念，公司特制定了《深圳市金溢科技股份有限公司首次公开发行人民币普通股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6"/>
        </w:rPr>
        <w:t> </w:t>
      </w:r>
      <w:r>
        <w:rPr/>
        <w:t>股</w:t>
      </w:r>
      <w:r>
        <w:rPr>
          <w:rFonts w:ascii="Times New Roman" w:hAnsi="Times New Roman" w:cs="Times New Roman" w:eastAsia="Times New Roman" w:hint="default"/>
        </w:rPr>
        <w:t>)</w:t>
      </w:r>
      <w:r>
        <w:rPr/>
        <w:t>并上市后三年股 </w:t>
      </w:r>
      <w:r>
        <w:rPr>
          <w:spacing w:val="-4"/>
        </w:rPr>
        <w:t>东分红回报规划》，对</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年到</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年期间公司的利润分配形式、利润分配周期、利润分配比例和利润分配方案提出了明 确的要求。公司近年一直践行稳定的现金分红政策，积极回报投资者，近三年公司现金分红情况详见本报告“第五节</w:t>
      </w:r>
      <w:r>
        <w:rPr>
          <w:spacing w:val="6"/>
        </w:rPr>
        <w:t> </w:t>
      </w:r>
      <w:r>
        <w:rPr/>
        <w:t>重要</w:t>
      </w:r>
      <w:r>
        <w:rPr>
          <w:spacing w:val="-2"/>
        </w:rPr>
        <w:t> </w:t>
      </w:r>
      <w:r>
        <w:rPr/>
        <w:t>事项</w:t>
      </w:r>
      <w:r>
        <w:rPr>
          <w:rFonts w:ascii="Times New Roman" w:hAnsi="Times New Roman" w:cs="Times New Roman" w:eastAsia="Times New Roman" w:hint="default"/>
        </w:rPr>
        <w:t>-</w:t>
      </w:r>
      <w:r>
        <w:rPr/>
        <w:t>一、公司普通股利润分配及资本公积金转增股本情况”的描述。</w:t>
      </w:r>
    </w:p>
    <w:p>
      <w:pPr>
        <w:spacing w:after="0" w:line="307" w:lineRule="auto"/>
        <w:jc w:val="both"/>
        <w:sectPr>
          <w:headerReference w:type="default" r:id="rId20"/>
          <w:footerReference w:type="default" r:id="rId21"/>
          <w:pgSz w:w="11910" w:h="16840"/>
          <w:pgMar w:header="877" w:footer="979" w:top="1100" w:bottom="1160" w:left="980" w:right="0"/>
          <w:pgNumType w:start="69"/>
        </w:sectPr>
      </w:pPr>
    </w:p>
    <w:p>
      <w:pPr>
        <w:spacing w:line="240" w:lineRule="auto" w:before="13"/>
        <w:rPr>
          <w:rFonts w:ascii="宋体" w:hAnsi="宋体" w:cs="宋体" w:eastAsia="宋体" w:hint="default"/>
          <w:sz w:val="21"/>
          <w:szCs w:val="21"/>
        </w:rPr>
      </w:pPr>
    </w:p>
    <w:p>
      <w:pPr>
        <w:pStyle w:val="BodyText"/>
        <w:spacing w:line="338" w:lineRule="auto" w:before="44"/>
        <w:ind w:left="514" w:right="0"/>
        <w:jc w:val="left"/>
      </w:pPr>
      <w:r>
        <w:rPr/>
        <w:t>（</w:t>
      </w:r>
      <w:r>
        <w:rPr>
          <w:rFonts w:ascii="Times New Roman" w:hAnsi="Times New Roman" w:cs="Times New Roman" w:eastAsia="Times New Roman" w:hint="default"/>
        </w:rPr>
        <w:t>2</w:t>
      </w:r>
      <w:r>
        <w:rPr/>
        <w:t>）职工权益保护 </w:t>
      </w:r>
      <w:r>
        <w:rPr>
          <w:spacing w:val="-12"/>
        </w:rPr>
        <w:t>公司严格遵守《劳动法》、《劳动合同法》、《劳动合同法实施条例》、《社会保障法》以及当地相关法律法规，依法维护员</w:t>
      </w:r>
    </w:p>
    <w:p>
      <w:pPr>
        <w:pStyle w:val="BodyText"/>
        <w:spacing w:line="319" w:lineRule="auto" w:before="2"/>
        <w:ind w:right="1131"/>
        <w:jc w:val="both"/>
      </w:pPr>
      <w:r>
        <w:rPr>
          <w:spacing w:val="-2"/>
        </w:rPr>
        <w:t>工的合法权益，并依此制定并不断完善公司的劳动用工管理制度。公司与全体员工均签订了劳动合同，建立了规范的劳动用</w:t>
      </w:r>
      <w:r>
        <w:rPr>
          <w:spacing w:val="-66"/>
        </w:rPr>
        <w:t> </w:t>
      </w:r>
      <w:r>
        <w:rPr>
          <w:spacing w:val="-66"/>
        </w:rPr>
      </w:r>
      <w:r>
        <w:rPr>
          <w:spacing w:val="-2"/>
        </w:rPr>
        <w:t>工关系。公司已按国家、地方的有关规定，参加社会保障体系，为员工购买了养老、医疗、生育、工伤、失业等保险，由公</w:t>
      </w:r>
      <w:r>
        <w:rPr>
          <w:spacing w:val="-69"/>
        </w:rPr>
        <w:t> </w:t>
      </w:r>
      <w:r>
        <w:rPr>
          <w:spacing w:val="-69"/>
        </w:rPr>
      </w:r>
      <w:r>
        <w:rPr>
          <w:spacing w:val="-2"/>
        </w:rPr>
        <w:t>司定期向社会保险统筹部门缴纳各项社会保险。同时，公司还根据《住房公积金管理条例》及地方政府相关规定建立了住房</w:t>
      </w:r>
      <w:r>
        <w:rPr>
          <w:spacing w:val="-66"/>
        </w:rPr>
        <w:t> </w:t>
      </w:r>
      <w:r>
        <w:rPr>
          <w:spacing w:val="-66"/>
        </w:rPr>
      </w:r>
      <w:r>
        <w:rPr/>
        <w:t>公积金制度，依法为员工缴纳了住房公积金。</w:t>
      </w:r>
    </w:p>
    <w:p>
      <w:pPr>
        <w:pStyle w:val="BodyText"/>
        <w:spacing w:line="309" w:lineRule="auto" w:before="56"/>
        <w:ind w:right="1129" w:firstLine="360"/>
        <w:jc w:val="both"/>
      </w:pPr>
      <w:r>
        <w:rPr>
          <w:spacing w:val="-5"/>
        </w:rPr>
        <w:t>公司严格执行国家“安全第一、预防为主、综合治理”的管理方针，严格执行国家安全生产的法律法规、规章制度要求，</w:t>
      </w:r>
      <w:r>
        <w:rPr/>
        <w:t> 建立、健全安全生产责任制，重视安全生产和劳动保护工作。公司已通过 </w:t>
      </w:r>
      <w:r>
        <w:rPr>
          <w:rFonts w:ascii="Times New Roman" w:hAnsi="Times New Roman" w:cs="Times New Roman" w:eastAsia="Times New Roman" w:hint="default"/>
        </w:rPr>
        <w:t>OHSAS18001</w:t>
      </w:r>
      <w:r>
        <w:rPr>
          <w:rFonts w:ascii="Times New Roman" w:hAnsi="Times New Roman" w:cs="Times New Roman" w:eastAsia="Times New Roman" w:hint="default"/>
          <w:spacing w:val="-1"/>
        </w:rPr>
        <w:t> </w:t>
      </w:r>
      <w:r>
        <w:rPr/>
        <w:t>职业健康安全管理体系认证，建立 </w:t>
      </w:r>
      <w:r>
        <w:rPr>
          <w:spacing w:val="-2"/>
        </w:rPr>
        <w:t>完善的职业健康安全管理程序，依法设置安全生产管理部门，设立环境及安全小组、应急救援小组，按照法定要求配置了各</w:t>
      </w:r>
      <w:r>
        <w:rPr>
          <w:spacing w:val="-63"/>
        </w:rPr>
        <w:t> </w:t>
      </w:r>
      <w:r>
        <w:rPr>
          <w:spacing w:val="-63"/>
        </w:rPr>
      </w:r>
      <w:r>
        <w:rPr/>
        <w:t>级专兼职安全生产管理人员，有效推进安全生产管理各项工作落实。</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年，公司定期开展安全生产检查工作、组织员工 安全生产培训，本年度内公司未出现各类重大生产安全事故，未出现人员伤亡和职业病病例。</w:t>
      </w:r>
    </w:p>
    <w:p>
      <w:pPr>
        <w:pStyle w:val="BodyText"/>
        <w:spacing w:line="319" w:lineRule="auto" w:before="62"/>
        <w:ind w:right="1129" w:firstLine="360"/>
        <w:jc w:val="both"/>
      </w:pPr>
      <w:r>
        <w:rPr>
          <w:color w:val="000101"/>
        </w:rPr>
        <w:t>为实现员工与公司共同发展，为公司发展储备合格的人才，同时也为员工提供必要的素质技能培训</w:t>
      </w:r>
      <w:r>
        <w:rPr>
          <w:color w:val="000101"/>
          <w:spacing w:val="8"/>
        </w:rPr>
        <w:t> </w:t>
      </w:r>
      <w:r>
        <w:rPr>
          <w:color w:val="000101"/>
        </w:rPr>
        <w:t>，公司根据整体经</w:t>
      </w:r>
      <w:r>
        <w:rPr>
          <w:color w:val="000101"/>
        </w:rPr>
        <w:t> </w:t>
      </w:r>
      <w:r>
        <w:rPr>
          <w:color w:val="000101"/>
          <w:spacing w:val="-2"/>
        </w:rPr>
        <w:t>营战略，结合部门业务需求以及员工个人培训需求，</w:t>
      </w:r>
      <w:r>
        <w:rPr>
          <w:spacing w:val="-2"/>
        </w:rPr>
        <w:t>每年制定培训计划，从员工通用能力、专业能力、管理能力等方面组织</w:t>
      </w:r>
      <w:r>
        <w:rPr>
          <w:spacing w:val="-66"/>
        </w:rPr>
        <w:t> </w:t>
      </w:r>
      <w:r>
        <w:rPr>
          <w:spacing w:val="-66"/>
        </w:rPr>
      </w:r>
      <w:r>
        <w:rPr>
          <w:spacing w:val="-2"/>
        </w:rPr>
        <w:t>开展培训课程。以新员工入职培训、企业内部培训、外部培训、委托培训、内部交流、岗位辅导、外出参观和对外交流、员</w:t>
      </w:r>
      <w:r>
        <w:rPr>
          <w:spacing w:val="-67"/>
        </w:rPr>
        <w:t> </w:t>
      </w:r>
      <w:r>
        <w:rPr>
          <w:spacing w:val="-67"/>
        </w:rPr>
      </w:r>
      <w:r>
        <w:rPr/>
        <w:t>工自学等多种形式，提升全体员工岗位技能和专业知识。</w:t>
      </w:r>
    </w:p>
    <w:p>
      <w:pPr>
        <w:pStyle w:val="BodyText"/>
        <w:spacing w:line="240" w:lineRule="auto" w:before="56"/>
        <w:ind w:left="514" w:right="1235"/>
        <w:jc w:val="left"/>
      </w:pPr>
      <w:r>
        <w:rPr/>
        <w:t>此外，公司也在不断完善和规范员工的福利保障和管理制度，确保员工在公平、公正的环境中工作、发展。</w:t>
      </w:r>
    </w:p>
    <w:p>
      <w:pPr>
        <w:pStyle w:val="BodyText"/>
        <w:spacing w:line="338" w:lineRule="auto" w:before="117"/>
        <w:ind w:left="513" w:right="0"/>
        <w:jc w:val="left"/>
      </w:pPr>
      <w:r>
        <w:rPr/>
        <w:t>（</w:t>
      </w:r>
      <w:r>
        <w:rPr>
          <w:rFonts w:ascii="Times New Roman" w:hAnsi="Times New Roman" w:cs="Times New Roman" w:eastAsia="Times New Roman" w:hint="default"/>
        </w:rPr>
        <w:t>3</w:t>
      </w:r>
      <w:r>
        <w:rPr/>
        <w:t>）供应商、客户和消费者权益保护 </w:t>
      </w:r>
      <w:r>
        <w:rPr>
          <w:spacing w:val="-2"/>
        </w:rPr>
        <w:t>公司以诚实守信作为企业发展之基，与广大供应商和客户群建立了长期稳定、合作共赢的合伙伙伴关系，充分尊重并保</w:t>
      </w:r>
    </w:p>
    <w:p>
      <w:pPr>
        <w:pStyle w:val="BodyText"/>
        <w:spacing w:line="240" w:lineRule="auto" w:before="4"/>
        <w:ind w:right="0"/>
        <w:jc w:val="both"/>
      </w:pPr>
      <w:r>
        <w:rPr/>
        <w:t>护供应商和客户的合法权益。</w:t>
      </w:r>
    </w:p>
    <w:p>
      <w:pPr>
        <w:pStyle w:val="BodyText"/>
        <w:spacing w:line="338" w:lineRule="auto" w:before="116"/>
        <w:ind w:left="513" w:right="0"/>
        <w:jc w:val="left"/>
      </w:pPr>
      <w:r>
        <w:rPr>
          <w:rFonts w:ascii="Times New Roman" w:hAnsi="Times New Roman" w:cs="Times New Roman" w:eastAsia="Times New Roman" w:hint="default"/>
        </w:rPr>
        <w:t>a.</w:t>
      </w:r>
      <w:r>
        <w:rPr/>
        <w:t>供应商甄选、沟通、合作以及公平竞争环境 </w:t>
      </w:r>
      <w:r>
        <w:rPr>
          <w:spacing w:val="-2"/>
        </w:rPr>
        <w:t>从供应链环节上严格把控供应商甄选，制定了公开透明的甄选流程，编制了完善的采购管理制度并严格执行。公司严格</w:t>
      </w:r>
    </w:p>
    <w:p>
      <w:pPr>
        <w:pStyle w:val="BodyText"/>
        <w:spacing w:line="319" w:lineRule="auto" w:before="3"/>
        <w:ind w:right="1131"/>
        <w:jc w:val="both"/>
      </w:pPr>
      <w:r>
        <w:rPr>
          <w:spacing w:val="-2"/>
        </w:rPr>
        <w:t>把关供应商的准入门槛，通过制度对供应商的资质和产品进行审核鉴定，在合作中持续对供应商供应服务、供货产能、生产</w:t>
      </w:r>
      <w:r>
        <w:rPr>
          <w:spacing w:val="-66"/>
        </w:rPr>
        <w:t> </w:t>
      </w:r>
      <w:r>
        <w:rPr>
          <w:spacing w:val="-66"/>
        </w:rPr>
      </w:r>
      <w:r>
        <w:rPr>
          <w:spacing w:val="-2"/>
        </w:rPr>
        <w:t>过程控制、产品价格、质量以及稳定性等方面进行监控，以保障客户与消费者的使用体验。公司遵守商业道德，努力营造公</w:t>
      </w:r>
      <w:r>
        <w:rPr>
          <w:spacing w:val="-65"/>
        </w:rPr>
        <w:t> </w:t>
      </w:r>
      <w:r>
        <w:rPr>
          <w:spacing w:val="-65"/>
        </w:rPr>
      </w:r>
      <w:r>
        <w:rPr>
          <w:spacing w:val="-2"/>
        </w:rPr>
        <w:t>平、健康的商业环境，对管理人员、采购等岗位员工进行清廉交易教育，增强其廉洁自律意识，与供应商签订业务合作正当</w:t>
      </w:r>
      <w:r>
        <w:rPr>
          <w:spacing w:val="-68"/>
        </w:rPr>
        <w:t> </w:t>
      </w:r>
      <w:r>
        <w:rPr>
          <w:spacing w:val="-68"/>
        </w:rPr>
      </w:r>
      <w:r>
        <w:rPr/>
        <w:t>交易协议、保持廉洁协议，严格监控并防范商业贿赂和不正当交易情形的发生，给予全体潜在供应商以良好的竞争环境。</w:t>
      </w:r>
    </w:p>
    <w:p>
      <w:pPr>
        <w:pStyle w:val="BodyText"/>
        <w:spacing w:line="338" w:lineRule="auto" w:before="56"/>
        <w:ind w:left="513" w:right="0"/>
        <w:jc w:val="left"/>
      </w:pPr>
      <w:r>
        <w:rPr>
          <w:rFonts w:ascii="Times New Roman" w:hAnsi="Times New Roman" w:cs="Times New Roman" w:eastAsia="Times New Roman" w:hint="default"/>
        </w:rPr>
        <w:t>b. </w:t>
      </w:r>
      <w:r>
        <w:rPr/>
        <w:t>产品质量和安全控制 </w:t>
      </w:r>
      <w:r>
        <w:rPr>
          <w:spacing w:val="-2"/>
        </w:rPr>
        <w:t>公司已建立一整套符合公司实际管理要求的管理流程体系，使公司在产品与服务的设计开发、生产以及售后等方面实现</w:t>
      </w:r>
    </w:p>
    <w:p>
      <w:pPr>
        <w:pStyle w:val="BodyText"/>
        <w:spacing w:line="300" w:lineRule="auto" w:before="2"/>
        <w:ind w:right="1130"/>
        <w:jc w:val="both"/>
      </w:pPr>
      <w:r>
        <w:rPr>
          <w:spacing w:val="-3"/>
        </w:rPr>
        <w:t>有序经营管理，以保障客户与消费者的使用体验。公司已通过</w:t>
      </w:r>
      <w:r>
        <w:rPr>
          <w:spacing w:val="-50"/>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3"/>
        </w:rPr>
        <w:t> </w:t>
      </w:r>
      <w:r>
        <w:rPr/>
        <w:t>质量管理体系、</w:t>
      </w:r>
      <w:r>
        <w:rPr>
          <w:rFonts w:ascii="Times New Roman" w:hAnsi="Times New Roman" w:cs="Times New Roman" w:eastAsia="Times New Roman" w:hint="default"/>
        </w:rPr>
        <w:t>IATF16949</w:t>
      </w:r>
      <w:r>
        <w:rPr>
          <w:rFonts w:ascii="Times New Roman" w:hAnsi="Times New Roman" w:cs="Times New Roman" w:eastAsia="Times New Roman" w:hint="default"/>
          <w:spacing w:val="-13"/>
        </w:rPr>
        <w:t> </w:t>
      </w:r>
      <w:r>
        <w:rPr>
          <w:spacing w:val="-3"/>
        </w:rPr>
        <w:t>汽车质量管理体系、</w:t>
      </w:r>
      <w:r>
        <w:rPr>
          <w:rFonts w:ascii="Times New Roman" w:hAnsi="Times New Roman" w:cs="Times New Roman" w:eastAsia="Times New Roman" w:hint="default"/>
          <w:spacing w:val="-3"/>
        </w:rPr>
        <w:t>GB/T</w:t>
      </w:r>
      <w:r>
        <w:rPr>
          <w:rFonts w:ascii="Times New Roman" w:hAnsi="Times New Roman" w:cs="Times New Roman" w:eastAsia="Times New Roman" w:hint="default"/>
        </w:rPr>
        <w:t> 29490</w:t>
      </w:r>
      <w:r>
        <w:rPr>
          <w:rFonts w:ascii="Times New Roman" w:hAnsi="Times New Roman" w:cs="Times New Roman" w:eastAsia="Times New Roman" w:hint="default"/>
          <w:spacing w:val="-12"/>
        </w:rPr>
        <w:t> </w:t>
      </w:r>
      <w:r>
        <w:rPr/>
        <w:t>知识产权管理体系、</w:t>
      </w:r>
      <w:r>
        <w:rPr>
          <w:rFonts w:ascii="Times New Roman" w:hAnsi="Times New Roman" w:cs="Times New Roman" w:eastAsia="Times New Roman" w:hint="default"/>
        </w:rPr>
        <w:t>QC080000</w:t>
      </w:r>
      <w:r>
        <w:rPr>
          <w:rFonts w:ascii="Times New Roman" w:hAnsi="Times New Roman" w:cs="Times New Roman" w:eastAsia="Times New Roman" w:hint="default"/>
          <w:spacing w:val="-12"/>
        </w:rPr>
        <w:t> </w:t>
      </w:r>
      <w:r>
        <w:rPr/>
        <w:t>有害物质过程管理体系、</w:t>
      </w:r>
      <w:r>
        <w:rPr>
          <w:rFonts w:ascii="Times New Roman" w:hAnsi="Times New Roman" w:cs="Times New Roman" w:eastAsia="Times New Roman" w:hint="default"/>
        </w:rPr>
        <w:t>ISO14001</w:t>
      </w:r>
      <w:r>
        <w:rPr>
          <w:rFonts w:ascii="Times New Roman" w:hAnsi="Times New Roman" w:cs="Times New Roman" w:eastAsia="Times New Roman" w:hint="default"/>
          <w:spacing w:val="-11"/>
        </w:rPr>
        <w:t> </w:t>
      </w:r>
      <w:r>
        <w:rPr/>
        <w:t>环境管理体系、</w:t>
      </w:r>
      <w:r>
        <w:rPr>
          <w:rFonts w:ascii="Times New Roman" w:hAnsi="Times New Roman" w:cs="Times New Roman" w:eastAsia="Times New Roman" w:hint="default"/>
        </w:rPr>
        <w:t>OHSAS18001</w:t>
      </w:r>
      <w:r>
        <w:rPr>
          <w:rFonts w:ascii="Times New Roman" w:hAnsi="Times New Roman" w:cs="Times New Roman" w:eastAsia="Times New Roman" w:hint="default"/>
          <w:spacing w:val="-12"/>
        </w:rPr>
        <w:t> </w:t>
      </w:r>
      <w:r>
        <w:rPr/>
        <w:t>职业健康安全管理体 系、</w:t>
      </w:r>
      <w:r>
        <w:rPr>
          <w:rFonts w:ascii="Times New Roman" w:hAnsi="Times New Roman" w:cs="Times New Roman" w:eastAsia="Times New Roman" w:hint="default"/>
        </w:rPr>
        <w:t>GB/T</w:t>
      </w:r>
      <w:r>
        <w:rPr>
          <w:rFonts w:ascii="Times New Roman" w:hAnsi="Times New Roman" w:cs="Times New Roman" w:eastAsia="Times New Roman" w:hint="default"/>
          <w:spacing w:val="-16"/>
        </w:rPr>
        <w:t> </w:t>
      </w:r>
      <w:r>
        <w:rPr>
          <w:rFonts w:ascii="Times New Roman" w:hAnsi="Times New Roman" w:cs="Times New Roman" w:eastAsia="Times New Roman" w:hint="default"/>
        </w:rPr>
        <w:t>23001</w:t>
      </w:r>
      <w:r>
        <w:rPr>
          <w:rFonts w:ascii="Times New Roman" w:hAnsi="Times New Roman" w:cs="Times New Roman" w:eastAsia="Times New Roman" w:hint="default"/>
          <w:spacing w:val="-17"/>
        </w:rPr>
        <w:t> </w:t>
      </w:r>
      <w:r>
        <w:rPr/>
        <w:t>两化融合管理体系认证以及建立了内控体系</w:t>
      </w:r>
      <w:r>
        <w:rPr>
          <w:rFonts w:ascii="Times New Roman" w:hAnsi="Times New Roman" w:cs="Times New Roman" w:eastAsia="Times New Roman" w:hint="default"/>
        </w:rPr>
        <w:t>,</w:t>
      </w:r>
      <w:r>
        <w:rPr/>
        <w:t>并严格按照各体系要求规范运作。</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年公司未发生重大产品 质量和安全事故。</w:t>
      </w:r>
    </w:p>
    <w:p>
      <w:pPr>
        <w:pStyle w:val="BodyText"/>
        <w:spacing w:line="338" w:lineRule="auto" w:before="72"/>
        <w:ind w:left="514" w:right="1032"/>
        <w:jc w:val="left"/>
      </w:pPr>
      <w:r>
        <w:rPr/>
        <w:t>（</w:t>
      </w:r>
      <w:r>
        <w:rPr>
          <w:rFonts w:ascii="Times New Roman" w:hAnsi="Times New Roman" w:cs="Times New Roman" w:eastAsia="Times New Roman" w:hint="default"/>
        </w:rPr>
        <w:t>4</w:t>
      </w:r>
      <w:r>
        <w:rPr/>
        <w:t>）环境保护与可持续发展 公司秉持环境保护、可持续发展的理念，严格遵守国家环境保护法律法规。实行资源能源节约管理，节约用纸、用水、</w:t>
      </w:r>
    </w:p>
    <w:p>
      <w:pPr>
        <w:pStyle w:val="BodyText"/>
        <w:spacing w:line="240" w:lineRule="auto" w:before="4"/>
        <w:ind w:left="154" w:right="0"/>
        <w:jc w:val="both"/>
      </w:pPr>
      <w:r>
        <w:rPr/>
        <w:t>用电。公司定期组织开展节约用纸、用水、用电及其他资源能源的宣传，提升全体员工的环保意识。</w:t>
      </w:r>
    </w:p>
    <w:p>
      <w:pPr>
        <w:pStyle w:val="BodyText"/>
        <w:spacing w:line="304" w:lineRule="auto" w:before="115"/>
        <w:ind w:right="1129"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年，公司秉承绿色生产理念，在厂区采取如下措施提高资源使用率、降低能耗和污染物排放：①投资进行了结构 件的托盘改造，提升托盘的利用效率；②完成了部分楼层空压机联网改造，提高空压机的使用效率，降低能耗；③完成了</w:t>
      </w:r>
      <w:r>
        <w:rPr>
          <w:spacing w:val="-2"/>
        </w:rPr>
        <w:t> </w:t>
      </w:r>
      <w:r>
        <w:rPr>
          <w:spacing w:val="-2"/>
        </w:rPr>
      </w:r>
      <w:r>
        <w:rPr>
          <w:rFonts w:ascii="Times New Roman" w:hAnsi="Times New Roman" w:cs="Times New Roman" w:eastAsia="Times New Roman" w:hint="default"/>
        </w:rPr>
        <w:t>SMT </w:t>
      </w:r>
      <w:r>
        <w:rPr/>
        <w:t>贴片六拼版向八拼版的改造，减少了 </w:t>
      </w:r>
      <w:r>
        <w:rPr>
          <w:rFonts w:ascii="Times New Roman" w:hAnsi="Times New Roman" w:cs="Times New Roman" w:eastAsia="Times New Roman" w:hint="default"/>
        </w:rPr>
        <w:t>PCB</w:t>
      </w:r>
      <w:r>
        <w:rPr>
          <w:rFonts w:ascii="Times New Roman" w:hAnsi="Times New Roman" w:cs="Times New Roman" w:eastAsia="Times New Roman" w:hint="default"/>
          <w:spacing w:val="13"/>
        </w:rPr>
        <w:t> </w:t>
      </w:r>
      <w:r>
        <w:rPr/>
        <w:t>废料的产生；④推行无铅锡线、锡膏的使用，减少废气中的含铅量。</w:t>
      </w:r>
      <w:r>
        <w:rPr>
          <w:rFonts w:ascii="Times New Roman" w:hAnsi="Times New Roman" w:cs="Times New Roman" w:eastAsia="Times New Roman" w:hint="default"/>
        </w:rPr>
        <w:t>2017 </w:t>
      </w:r>
      <w:r>
        <w:rPr/>
        <w:t>年公司单件</w:t>
      </w:r>
      <w:r>
        <w:rPr>
          <w:spacing w:val="-32"/>
        </w:rPr>
        <w:t> </w:t>
      </w:r>
      <w:r>
        <w:rPr>
          <w:rFonts w:ascii="Times New Roman" w:hAnsi="Times New Roman" w:cs="Times New Roman" w:eastAsia="Times New Roman" w:hint="default"/>
        </w:rPr>
        <w:t>OBU</w:t>
      </w:r>
      <w:r>
        <w:rPr>
          <w:rFonts w:ascii="Times New Roman" w:hAnsi="Times New Roman" w:cs="Times New Roman" w:eastAsia="Times New Roman" w:hint="default"/>
          <w:spacing w:val="11"/>
        </w:rPr>
        <w:t> </w:t>
      </w:r>
      <w:r>
        <w:rPr/>
        <w:t>的用电量比</w:t>
      </w:r>
      <w:r>
        <w:rPr>
          <w:spacing w:val="-3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年下降了</w:t>
      </w:r>
      <w:r>
        <w:rPr>
          <w:spacing w:val="-33"/>
        </w:rPr>
        <w:t> </w:t>
      </w:r>
      <w:r>
        <w:rPr>
          <w:rFonts w:ascii="Times New Roman" w:hAnsi="Times New Roman" w:cs="Times New Roman" w:eastAsia="Times New Roman" w:hint="default"/>
        </w:rPr>
        <w:t>20%</w:t>
      </w:r>
      <w:r>
        <w:rPr/>
        <w:t>，具体通过如下措施取得：①成立用电管理小组，形成全员参与的机制， 降低无效消耗；②停用一台回流炉，能效消耗降低</w:t>
      </w:r>
      <w:r>
        <w:rPr>
          <w:spacing w:val="-46"/>
        </w:rPr>
        <w:t> </w:t>
      </w:r>
      <w:r>
        <w:rPr>
          <w:rFonts w:ascii="Times New Roman" w:hAnsi="Times New Roman" w:cs="Times New Roman" w:eastAsia="Times New Roman" w:hint="default"/>
        </w:rPr>
        <w:t>25%</w:t>
      </w:r>
      <w:r>
        <w:rPr/>
        <w:t>；③空压机实现联网，降低了能耗。</w:t>
      </w:r>
    </w:p>
    <w:p>
      <w:pPr>
        <w:pStyle w:val="BodyText"/>
        <w:spacing w:line="316" w:lineRule="auto" w:before="48"/>
        <w:ind w:right="1041" w:firstLine="360"/>
        <w:jc w:val="both"/>
        <w:rPr>
          <w:rFonts w:ascii="Times New Roman" w:hAnsi="Times New Roman" w:cs="Times New Roman" w:eastAsia="Times New Roman" w:hint="default"/>
        </w:rPr>
      </w:pPr>
      <w:r>
        <w:rPr/>
        <w:t>公司一直把废弃物的管理作为生产过程环保的重要一环，通过制定管理政策，严格控制固体废弃物、废液、生产废气、 噪声等污染物的排放，产生的相关废弃物均按国家规定委托具备处理资质的供应商予以处理，妥善减少废弃物。通过“</w:t>
      </w:r>
      <w:r>
        <w:rPr>
          <w:rFonts w:ascii="Times New Roman" w:hAnsi="Times New Roman" w:cs="Times New Roman" w:eastAsia="Times New Roman" w:hint="default"/>
        </w:rPr>
        <w:t>3R</w:t>
      </w:r>
    </w:p>
    <w:p>
      <w:pPr>
        <w:pStyle w:val="BodyText"/>
        <w:spacing w:line="300" w:lineRule="auto"/>
        <w:ind w:left="154" w:right="1043"/>
        <w:jc w:val="both"/>
      </w:pPr>
      <w:r>
        <w:rPr/>
        <w:t>（减少原料</w:t>
      </w:r>
      <w:r>
        <w:rPr>
          <w:rFonts w:ascii="Times New Roman" w:hAnsi="Times New Roman" w:cs="Times New Roman" w:eastAsia="Times New Roman" w:hint="default"/>
        </w:rPr>
        <w:t>(reduce)</w:t>
      </w:r>
      <w:r>
        <w:rPr/>
        <w:t>、重新利用</w:t>
      </w:r>
      <w:r>
        <w:rPr>
          <w:rFonts w:ascii="Times New Roman" w:hAnsi="Times New Roman" w:cs="Times New Roman" w:eastAsia="Times New Roman" w:hint="default"/>
        </w:rPr>
        <w:t>(reuse)</w:t>
      </w:r>
      <w:r>
        <w:rPr/>
        <w:t>和物品回收</w:t>
      </w:r>
      <w:r>
        <w:rPr>
          <w:rFonts w:ascii="Times New Roman" w:hAnsi="Times New Roman" w:cs="Times New Roman" w:eastAsia="Times New Roman" w:hint="default"/>
        </w:rPr>
        <w:t>(recycle)</w:t>
      </w:r>
      <w:r>
        <w:rPr/>
        <w:t>）活动”的开展，将产生的锡渣、包装、塑料等通过供应商回收，</w:t>
      </w:r>
      <w:r>
        <w:rPr>
          <w:spacing w:val="-34"/>
        </w:rPr>
        <w:t> </w:t>
      </w:r>
      <w:r>
        <w:rPr>
          <w:spacing w:val="-34"/>
        </w:rPr>
      </w:r>
      <w:r>
        <w:rPr/>
        <w:t>重复利用；通过具备相应处理资质的公司处理严控废弃物、危险废弃物、普通工业废弃物，</w:t>
      </w:r>
      <w:r>
        <w:rPr>
          <w:rFonts w:ascii="Times New Roman" w:hAnsi="Times New Roman" w:cs="Times New Roman" w:eastAsia="Times New Roman" w:hint="default"/>
        </w:rPr>
        <w:t>2017 </w:t>
      </w:r>
      <w:r>
        <w:rPr>
          <w:rFonts w:ascii="Times New Roman" w:hAnsi="Times New Roman" w:cs="Times New Roman" w:eastAsia="Times New Roman" w:hint="default"/>
          <w:spacing w:val="8"/>
        </w:rPr>
        <w:t> </w:t>
      </w:r>
      <w:r>
        <w:rPr/>
        <w:t>年厂区固体废弃物产生减</w:t>
      </w:r>
    </w:p>
    <w:p>
      <w:pPr>
        <w:spacing w:after="0" w:line="300" w:lineRule="auto"/>
        <w:jc w:val="both"/>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少</w:t>
      </w:r>
      <w:r>
        <w:rPr>
          <w:spacing w:val="-46"/>
        </w:rPr>
        <w:t> </w:t>
      </w:r>
      <w:r>
        <w:rPr>
          <w:rFonts w:ascii="Times New Roman" w:hAnsi="Times New Roman" w:cs="Times New Roman" w:eastAsia="Times New Roman" w:hint="default"/>
        </w:rPr>
        <w:t>10%</w:t>
      </w:r>
      <w:r>
        <w:rPr/>
        <w:t>。</w:t>
      </w:r>
    </w:p>
    <w:p>
      <w:pPr>
        <w:pStyle w:val="BodyText"/>
        <w:spacing w:line="302" w:lineRule="auto" w:before="101"/>
        <w:ind w:left="154" w:right="1118"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年公司不存在环保未达标情况，未出现重大环保事故，不存在被环保部门处罚或者被列入重点污染企业名单的情 形。</w:t>
      </w:r>
    </w:p>
    <w:p>
      <w:pPr>
        <w:pStyle w:val="BodyText"/>
        <w:spacing w:line="338" w:lineRule="auto" w:before="70"/>
        <w:ind w:left="513" w:right="1118"/>
        <w:jc w:val="left"/>
      </w:pPr>
      <w:r>
        <w:rPr/>
        <w:t>（</w:t>
      </w:r>
      <w:r>
        <w:rPr>
          <w:rFonts w:ascii="Times New Roman" w:hAnsi="Times New Roman" w:cs="Times New Roman" w:eastAsia="Times New Roman" w:hint="default"/>
        </w:rPr>
        <w:t>5</w:t>
      </w:r>
      <w:r>
        <w:rPr/>
        <w:t>）公关关系与社会公益事业。 </w:t>
      </w:r>
      <w:r>
        <w:rPr>
          <w:spacing w:val="-5"/>
        </w:rPr>
        <w:t>公司高度重视与政府部门、监管机关、大众媒体、社会公众的沟通、汇报，主动配合政府部门和监管部门的监督和检查，</w:t>
      </w:r>
    </w:p>
    <w:p>
      <w:pPr>
        <w:pStyle w:val="BodyText"/>
        <w:spacing w:line="240" w:lineRule="auto" w:before="4"/>
        <w:ind w:right="1235"/>
        <w:jc w:val="left"/>
      </w:pPr>
      <w:r>
        <w:rPr/>
        <w:t>同时积极开展各种社会公益活动，扶助弱势群体。</w:t>
      </w:r>
    </w:p>
    <w:p>
      <w:pPr>
        <w:pStyle w:val="BodyText"/>
        <w:spacing w:line="240" w:lineRule="auto" w:before="116"/>
        <w:ind w:left="513" w:right="123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月，为支持电子科技大学教育事业发展，公司向四川电子科技大学教育发展基金会进行了捐赠。</w:t>
      </w:r>
    </w:p>
    <w:p>
      <w:pPr>
        <w:pStyle w:val="BodyText"/>
        <w:spacing w:line="302" w:lineRule="auto" w:before="102"/>
        <w:ind w:left="154" w:right="1116"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月，公司在“精准扶贫”重要思想指导下，与广东省清远市清新区金誉种养专业合作社实现了合作，支持当 地蒲兴农家鸡养殖业。</w:t>
      </w:r>
    </w:p>
    <w:p>
      <w:pPr>
        <w:pStyle w:val="BodyText"/>
        <w:spacing w:line="338" w:lineRule="auto" w:before="69"/>
        <w:ind w:left="51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月，公司赞助支持“</w:t>
      </w:r>
      <w:r>
        <w:rPr>
          <w:rFonts w:ascii="Times New Roman" w:hAnsi="Times New Roman" w:cs="Times New Roman" w:eastAsia="Times New Roman" w:hint="default"/>
        </w:rPr>
        <w:t>2017 </w:t>
      </w:r>
      <w:r>
        <w:rPr/>
        <w:t>富力</w:t>
      </w:r>
      <w:r>
        <w:rPr>
          <w:spacing w:val="-49"/>
        </w:rPr>
        <w:t> </w:t>
      </w:r>
      <w:r>
        <w:rPr/>
        <w:t>阅动羊城大型公益徒步活动”。 </w:t>
      </w:r>
      <w:r>
        <w:rPr>
          <w:spacing w:val="-6"/>
        </w:rPr>
        <w:t>同时，公司组织员工参加义务献血、为偏远山区学校捐赠物资、关爱孤寡老人、不定期向壹基金等机构捐赠等社会活动，</w:t>
      </w:r>
    </w:p>
    <w:p>
      <w:pPr>
        <w:pStyle w:val="BodyText"/>
        <w:spacing w:line="240" w:lineRule="auto" w:before="4"/>
        <w:ind w:left="154" w:right="1235"/>
        <w:jc w:val="left"/>
      </w:pPr>
      <w:r>
        <w:rPr/>
        <w:t>为员工奉献、服务社会提供空间。</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1235"/>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spacing w:val="-4"/>
        </w:rPr>
        <w:t>1</w:t>
      </w:r>
      <w:r>
        <w:rPr>
          <w:spacing w:val="-4"/>
        </w:rPr>
        <w:t>、报告期内，公司实际控制人之一刘咏平先生因个人融资需求，与国信证券股份有限公司进行了股票质押式回购交易，</w:t>
      </w:r>
      <w:r>
        <w:rPr/>
        <w:t> </w:t>
      </w:r>
      <w:r>
        <w:rPr>
          <w:spacing w:val="-2"/>
        </w:rPr>
        <w:t>合计质押</w:t>
      </w:r>
      <w:r>
        <w:rPr>
          <w:rFonts w:ascii="Times New Roman" w:hAnsi="Times New Roman" w:cs="Times New Roman" w:eastAsia="Times New Roman" w:hint="default"/>
          <w:spacing w:val="-2"/>
        </w:rPr>
        <w:t>370</w:t>
      </w:r>
      <w:r>
        <w:rPr>
          <w:spacing w:val="-2"/>
        </w:rPr>
        <w:t>万股股票，详情请见公司分别于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日发布的《股东</w:t>
      </w:r>
      <w:r>
        <w:rPr>
          <w:spacing w:val="-36"/>
        </w:rPr>
        <w:t> </w:t>
      </w:r>
      <w:r>
        <w:rPr>
          <w:spacing w:val="-36"/>
        </w:rPr>
      </w:r>
      <w:r>
        <w:rPr/>
        <w:t>股份质押的公告》（公告编号：</w:t>
      </w:r>
      <w:r>
        <w:rPr>
          <w:rFonts w:ascii="Times New Roman" w:hAnsi="Times New Roman" w:cs="Times New Roman" w:eastAsia="Times New Roman" w:hint="default"/>
        </w:rPr>
        <w:t>2017-016</w:t>
      </w:r>
      <w:r>
        <w:rPr/>
        <w:t>、</w:t>
      </w:r>
      <w:r>
        <w:rPr>
          <w:rFonts w:ascii="Times New Roman" w:hAnsi="Times New Roman" w:cs="Times New Roman" w:eastAsia="Times New Roman" w:hint="default"/>
        </w:rPr>
        <w:t>2017-028</w:t>
      </w:r>
      <w:r>
        <w:rPr/>
        <w:t>、</w:t>
      </w:r>
      <w:r>
        <w:rPr>
          <w:rFonts w:ascii="Times New Roman" w:hAnsi="Times New Roman" w:cs="Times New Roman" w:eastAsia="Times New Roman" w:hint="default"/>
        </w:rPr>
        <w:t>2017-030</w:t>
      </w:r>
      <w:r>
        <w:rPr/>
        <w:t>和</w:t>
      </w:r>
      <w:r>
        <w:rPr>
          <w:rFonts w:ascii="Times New Roman" w:hAnsi="Times New Roman" w:cs="Times New Roman" w:eastAsia="Times New Roman" w:hint="default"/>
        </w:rPr>
        <w:t>2017-056</w:t>
      </w:r>
      <w:r>
        <w:rPr/>
        <w:t>）。</w:t>
      </w:r>
    </w:p>
    <w:p>
      <w:pPr>
        <w:pStyle w:val="BodyText"/>
        <w:spacing w:line="300" w:lineRule="auto" w:before="13"/>
        <w:ind w:left="154" w:right="1140" w:firstLine="360"/>
        <w:jc w:val="left"/>
      </w:pPr>
      <w:r>
        <w:rPr>
          <w:rFonts w:ascii="Times New Roman" w:hAnsi="Times New Roman" w:cs="Times New Roman" w:eastAsia="Times New Roman" w:hint="default"/>
        </w:rPr>
        <w:t>2</w:t>
      </w:r>
      <w:r>
        <w:rPr/>
        <w:t>、报告期内，公司实际控制人之一杨成先生因个人融资需求，与国信证券股份有限公司进行了股票质押式回购交易， 合计质押</w:t>
      </w:r>
      <w:r>
        <w:rPr>
          <w:rFonts w:ascii="Times New Roman" w:hAnsi="Times New Roman" w:cs="Times New Roman" w:eastAsia="Times New Roman" w:hint="default"/>
        </w:rPr>
        <w:t>30</w:t>
      </w:r>
      <w:r>
        <w:rPr/>
        <w:t>万股股票，详情请见公司于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日发布的《股东股份质押的公告》（公告编号：</w:t>
      </w:r>
      <w:r>
        <w:rPr>
          <w:rFonts w:ascii="Times New Roman" w:hAnsi="Times New Roman" w:cs="Times New Roman" w:eastAsia="Times New Roman" w:hint="default"/>
        </w:rPr>
        <w:t>2017-055</w:t>
      </w:r>
      <w:r>
        <w:rPr/>
        <w:t>）。</w:t>
      </w:r>
    </w:p>
    <w:p>
      <w:pPr>
        <w:pStyle w:val="BodyText"/>
        <w:spacing w:line="300" w:lineRule="auto" w:before="13"/>
        <w:ind w:left="154" w:right="1032" w:firstLine="360"/>
        <w:jc w:val="left"/>
      </w:pPr>
      <w:r>
        <w:rPr>
          <w:rFonts w:ascii="Times New Roman" w:hAnsi="Times New Roman" w:cs="Times New Roman" w:eastAsia="Times New Roman" w:hint="default"/>
          <w:spacing w:val="-4"/>
        </w:rPr>
        <w:t>3</w:t>
      </w:r>
      <w:r>
        <w:rPr>
          <w:spacing w:val="-4"/>
        </w:rPr>
        <w:t>、报告期内，公司实际控制人之一王明宽先生因个人融资需求，与国信证券股份有限公司进行了股票质押式回购交易，</w:t>
      </w:r>
      <w:r>
        <w:rPr/>
        <w:t> 合计质押</w:t>
      </w:r>
      <w:r>
        <w:rPr>
          <w:rFonts w:ascii="Times New Roman" w:hAnsi="Times New Roman" w:cs="Times New Roman" w:eastAsia="Times New Roman" w:hint="default"/>
        </w:rPr>
        <w:t>520</w:t>
      </w:r>
      <w:r>
        <w:rPr/>
        <w:t>万股股票，详情请见公司分别于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日发布的《股东股份质押的公告》</w:t>
      </w:r>
    </w:p>
    <w:p>
      <w:pPr>
        <w:pStyle w:val="BodyText"/>
        <w:spacing w:line="240" w:lineRule="auto" w:before="13"/>
        <w:ind w:right="1235"/>
        <w:jc w:val="left"/>
      </w:pPr>
      <w:r>
        <w:rPr/>
        <w:t>（公告编号：</w:t>
      </w:r>
      <w:r>
        <w:rPr>
          <w:rFonts w:ascii="Times New Roman" w:hAnsi="Times New Roman" w:cs="Times New Roman" w:eastAsia="Times New Roman" w:hint="default"/>
        </w:rPr>
        <w:t>2017-005</w:t>
      </w:r>
      <w:r>
        <w:rPr/>
        <w:t>、</w:t>
      </w:r>
      <w:r>
        <w:rPr>
          <w:rFonts w:ascii="Times New Roman" w:hAnsi="Times New Roman" w:cs="Times New Roman" w:eastAsia="Times New Roman" w:hint="default"/>
        </w:rPr>
        <w:t>2017-006</w:t>
      </w:r>
      <w:r>
        <w:rPr/>
        <w:t>和</w:t>
      </w:r>
      <w:r>
        <w:rPr>
          <w:rFonts w:ascii="Times New Roman" w:hAnsi="Times New Roman" w:cs="Times New Roman" w:eastAsia="Times New Roman" w:hint="default"/>
        </w:rPr>
        <w:t>2017-033</w:t>
      </w:r>
      <w:r>
        <w:rPr/>
        <w:t>）。</w:t>
      </w:r>
    </w:p>
    <w:p>
      <w:pPr>
        <w:pStyle w:val="BodyText"/>
        <w:spacing w:line="300" w:lineRule="auto" w:before="63"/>
        <w:ind w:left="154" w:right="1140" w:firstLine="360"/>
        <w:jc w:val="left"/>
      </w:pPr>
      <w:r>
        <w:rPr>
          <w:rFonts w:ascii="Times New Roman" w:hAnsi="Times New Roman" w:cs="Times New Roman" w:eastAsia="Times New Roman" w:hint="default"/>
        </w:rPr>
        <w:t>4</w:t>
      </w:r>
      <w:r>
        <w:rPr/>
        <w:t>、报告期内，公司实际控制人之一李娜女士因个人融资需求，与国信证券股份有限公司进行了股票质押式回购交易， 合计质押</w:t>
      </w:r>
      <w:r>
        <w:rPr>
          <w:rFonts w:ascii="Times New Roman" w:hAnsi="Times New Roman" w:cs="Times New Roman" w:eastAsia="Times New Roman" w:hint="default"/>
        </w:rPr>
        <w:t>150</w:t>
      </w:r>
      <w:r>
        <w:rPr/>
        <w:t>万股股票，详情请见公司于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日发布的《股东股份质押的公告》（公告编号：</w:t>
      </w:r>
      <w:r>
        <w:rPr>
          <w:rFonts w:ascii="Times New Roman" w:hAnsi="Times New Roman" w:cs="Times New Roman" w:eastAsia="Times New Roman" w:hint="default"/>
        </w:rPr>
        <w:t>2017-050</w:t>
      </w:r>
      <w:r>
        <w:rPr/>
        <w:t>）。</w:t>
      </w:r>
    </w:p>
    <w:p>
      <w:pPr>
        <w:pStyle w:val="BodyText"/>
        <w:spacing w:line="300" w:lineRule="auto" w:before="13"/>
        <w:ind w:right="1041" w:firstLine="360"/>
        <w:jc w:val="left"/>
      </w:pPr>
      <w:r>
        <w:rPr>
          <w:rFonts w:ascii="Times New Roman" w:hAnsi="Times New Roman" w:cs="Times New Roman" w:eastAsia="Times New Roman" w:hint="default"/>
        </w:rPr>
        <w:t>5</w:t>
      </w:r>
      <w:r>
        <w:rPr/>
        <w:t>、报告期内，公司及子公司累计获得各项政府补助资金共计人民币</w:t>
      </w:r>
      <w:r>
        <w:rPr>
          <w:rFonts w:ascii="Times New Roman" w:hAnsi="Times New Roman" w:cs="Times New Roman" w:eastAsia="Times New Roman" w:hint="default"/>
        </w:rPr>
        <w:t>41,261,097.23</w:t>
      </w:r>
      <w:r>
        <w:rPr/>
        <w:t>元，详情请见公司于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日发 布的《关于收到软件产品增值税退税的公告》（公告编号：</w:t>
      </w:r>
      <w:r>
        <w:rPr>
          <w:rFonts w:ascii="Times New Roman" w:hAnsi="Times New Roman" w:cs="Times New Roman" w:eastAsia="Times New Roman" w:hint="default"/>
        </w:rPr>
        <w:t>2017-034</w:t>
      </w:r>
      <w:r>
        <w:rPr/>
        <w:t>）和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日发布的《关于获得政府补助的公告》</w:t>
      </w:r>
    </w:p>
    <w:p>
      <w:pPr>
        <w:pStyle w:val="BodyText"/>
        <w:spacing w:line="240" w:lineRule="auto" w:before="13"/>
        <w:ind w:left="154" w:right="1235"/>
        <w:jc w:val="left"/>
      </w:pPr>
      <w:r>
        <w:rPr/>
        <w:t>（公告编号：</w:t>
      </w:r>
      <w:r>
        <w:rPr>
          <w:rFonts w:ascii="Times New Roman" w:hAnsi="Times New Roman" w:cs="Times New Roman" w:eastAsia="Times New Roman" w:hint="default"/>
        </w:rPr>
        <w:t>2018-001</w:t>
      </w:r>
      <w:r>
        <w:rPr/>
        <w:t>）。</w:t>
      </w:r>
    </w:p>
    <w:p>
      <w:pPr>
        <w:pStyle w:val="BodyText"/>
        <w:spacing w:line="300" w:lineRule="auto" w:before="63"/>
        <w:ind w:right="1033" w:firstLine="360"/>
        <w:jc w:val="left"/>
      </w:pPr>
      <w:r>
        <w:rPr>
          <w:rFonts w:ascii="Times New Roman" w:hAnsi="Times New Roman" w:cs="Times New Roman" w:eastAsia="Times New Roman" w:hint="default"/>
        </w:rPr>
        <w:t>6</w:t>
      </w:r>
      <w:r>
        <w:rPr/>
        <w:t>、经公司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日第二届董事会第八次会议决议通过并经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w:t>
      </w:r>
      <w:r>
        <w:rPr>
          <w:rFonts w:ascii="Times New Roman" w:hAnsi="Times New Roman" w:cs="Times New Roman" w:eastAsia="Times New Roman" w:hint="default"/>
        </w:rPr>
        <w:t>2017</w:t>
      </w:r>
      <w:r>
        <w:rPr/>
        <w:t>年第三次临时股东大会批准， 同意如下事项：</w:t>
      </w:r>
    </w:p>
    <w:p>
      <w:pPr>
        <w:pStyle w:val="BodyText"/>
        <w:spacing w:line="300" w:lineRule="auto" w:before="32"/>
        <w:ind w:right="1118" w:firstLine="360"/>
        <w:jc w:val="left"/>
      </w:pPr>
      <w:r>
        <w:rPr/>
        <w:t>（</w:t>
      </w:r>
      <w:r>
        <w:rPr>
          <w:rFonts w:ascii="Times New Roman" w:hAnsi="Times New Roman" w:cs="Times New Roman" w:eastAsia="Times New Roman" w:hint="default"/>
        </w:rPr>
        <w:t>1</w:t>
      </w:r>
      <w:r>
        <w:rPr/>
        <w:t>）同意公司以自有资金</w:t>
      </w:r>
      <w:r>
        <w:rPr>
          <w:rFonts w:ascii="Times New Roman" w:hAnsi="Times New Roman" w:cs="Times New Roman" w:eastAsia="Times New Roman" w:hint="default"/>
        </w:rPr>
        <w:t>2.25</w:t>
      </w:r>
      <w:r>
        <w:rPr/>
        <w:t>万元购买控股子公司伟龙金溢科技（深圳）有限公司（以下简称</w:t>
      </w:r>
      <w:r>
        <w:rPr>
          <w:rFonts w:ascii="Times New Roman" w:hAnsi="Times New Roman" w:cs="Times New Roman" w:eastAsia="Times New Roman" w:hint="default"/>
        </w:rPr>
        <w:t>“</w:t>
      </w:r>
      <w:r>
        <w:rPr/>
        <w:t>伟龙金溢</w:t>
      </w:r>
      <w:r>
        <w:rPr>
          <w:rFonts w:ascii="Times New Roman" w:hAnsi="Times New Roman" w:cs="Times New Roman" w:eastAsia="Times New Roman" w:hint="default"/>
        </w:rPr>
        <w:t>”</w:t>
      </w:r>
      <w:r>
        <w:rPr/>
        <w:t>）少数股东 </w:t>
      </w:r>
      <w:r>
        <w:rPr>
          <w:spacing w:val="-1"/>
        </w:rPr>
        <w:t>深圳泊时捷科技有限公司（以下简称</w:t>
      </w:r>
      <w:r>
        <w:rPr>
          <w:rFonts w:ascii="Times New Roman" w:hAnsi="Times New Roman" w:cs="Times New Roman" w:eastAsia="Times New Roman" w:hint="default"/>
          <w:spacing w:val="-1"/>
        </w:rPr>
        <w:t>“</w:t>
      </w:r>
      <w:r>
        <w:rPr>
          <w:spacing w:val="-1"/>
        </w:rPr>
        <w:t>泊时捷</w:t>
      </w:r>
      <w:r>
        <w:rPr>
          <w:rFonts w:ascii="Times New Roman" w:hAnsi="Times New Roman" w:cs="Times New Roman" w:eastAsia="Times New Roman" w:hint="default"/>
          <w:spacing w:val="-1"/>
        </w:rPr>
        <w:t>”</w:t>
      </w:r>
      <w:r>
        <w:rPr>
          <w:spacing w:val="-1"/>
        </w:rPr>
        <w:t>）持有的伟龙金溢</w:t>
      </w:r>
      <w:r>
        <w:rPr>
          <w:rFonts w:ascii="Times New Roman" w:hAnsi="Times New Roman" w:cs="Times New Roman" w:eastAsia="Times New Roman" w:hint="default"/>
          <w:spacing w:val="-1"/>
        </w:rPr>
        <w:t>10%</w:t>
      </w:r>
      <w:r>
        <w:rPr>
          <w:spacing w:val="-1"/>
        </w:rPr>
        <w:t>股权。同意公司关联方广州市铂金科技合伙企业（有限</w:t>
      </w:r>
      <w:r>
        <w:rPr>
          <w:spacing w:val="-70"/>
        </w:rPr>
        <w:t> </w:t>
      </w:r>
      <w:r>
        <w:rPr>
          <w:spacing w:val="-70"/>
        </w:rPr>
      </w:r>
      <w:r>
        <w:rPr>
          <w:spacing w:val="-3"/>
        </w:rPr>
        <w:t>合伙）（以下简称</w:t>
      </w:r>
      <w:r>
        <w:rPr>
          <w:rFonts w:ascii="Times New Roman" w:hAnsi="Times New Roman" w:cs="Times New Roman" w:eastAsia="Times New Roman" w:hint="default"/>
          <w:spacing w:val="-3"/>
        </w:rPr>
        <w:t>“</w:t>
      </w:r>
      <w:r>
        <w:rPr>
          <w:spacing w:val="-3"/>
        </w:rPr>
        <w:t>铂金科技</w:t>
      </w:r>
      <w:r>
        <w:rPr>
          <w:rFonts w:ascii="Times New Roman" w:hAnsi="Times New Roman" w:cs="Times New Roman" w:eastAsia="Times New Roman" w:hint="default"/>
          <w:spacing w:val="-3"/>
        </w:rPr>
        <w:t>”</w:t>
      </w:r>
      <w:r>
        <w:rPr>
          <w:spacing w:val="-3"/>
        </w:rPr>
        <w:t>）以自有资金</w:t>
      </w:r>
      <w:r>
        <w:rPr>
          <w:rFonts w:ascii="Times New Roman" w:hAnsi="Times New Roman" w:cs="Times New Roman" w:eastAsia="Times New Roman" w:hint="default"/>
          <w:spacing w:val="-3"/>
        </w:rPr>
        <w:t>2.25</w:t>
      </w:r>
      <w:r>
        <w:rPr>
          <w:spacing w:val="-3"/>
        </w:rPr>
        <w:t>万元购买泊时捷持有的伟龙金溢</w:t>
      </w:r>
      <w:r>
        <w:rPr>
          <w:rFonts w:ascii="Times New Roman" w:hAnsi="Times New Roman" w:cs="Times New Roman" w:eastAsia="Times New Roman" w:hint="default"/>
          <w:spacing w:val="-3"/>
        </w:rPr>
        <w:t>10%</w:t>
      </w:r>
      <w:r>
        <w:rPr>
          <w:spacing w:val="-3"/>
        </w:rPr>
        <w:t>股权，公司及伟龙金溢另一股东</w:t>
      </w:r>
      <w:r>
        <w:rPr>
          <w:rFonts w:ascii="Times New Roman" w:hAnsi="Times New Roman" w:cs="Times New Roman" w:eastAsia="Times New Roman" w:hint="default"/>
          <w:spacing w:val="-3"/>
        </w:rPr>
        <w:t>WeiLong</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rFonts w:ascii="Times New Roman" w:hAnsi="Times New Roman" w:cs="Times New Roman" w:eastAsia="Times New Roman" w:hint="default"/>
        </w:rPr>
        <w:t>Electronics Engineering Pte</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新加坡伟龙</w:t>
      </w:r>
      <w:r>
        <w:rPr>
          <w:rFonts w:ascii="Times New Roman" w:hAnsi="Times New Roman" w:cs="Times New Roman" w:eastAsia="Times New Roman" w:hint="default"/>
        </w:rPr>
        <w:t>”</w:t>
      </w:r>
      <w:r>
        <w:rPr/>
        <w:t>）放弃该部分股权的优先受让权。</w:t>
      </w:r>
    </w:p>
    <w:p>
      <w:pPr>
        <w:pStyle w:val="BodyText"/>
        <w:spacing w:line="240" w:lineRule="auto" w:before="13"/>
        <w:ind w:left="514" w:right="0"/>
        <w:jc w:val="left"/>
      </w:pPr>
      <w:r>
        <w:rPr/>
        <w:t>（</w:t>
      </w:r>
      <w:r>
        <w:rPr>
          <w:rFonts w:ascii="Times New Roman" w:hAnsi="Times New Roman" w:cs="Times New Roman" w:eastAsia="Times New Roman" w:hint="default"/>
        </w:rPr>
        <w:t>2</w:t>
      </w:r>
      <w:r>
        <w:rPr/>
        <w:t>）同意在公司控股子公司伟龙金溢科技股权转让事项完成后，伟龙金溢的注册资本由</w:t>
      </w:r>
      <w:r>
        <w:rPr>
          <w:rFonts w:ascii="Times New Roman" w:hAnsi="Times New Roman" w:cs="Times New Roman" w:eastAsia="Times New Roman" w:hint="default"/>
        </w:rPr>
        <w:t>1,000</w:t>
      </w:r>
      <w:r>
        <w:rPr/>
        <w:t>万元增至</w:t>
      </w:r>
      <w:r>
        <w:rPr>
          <w:rFonts w:ascii="Times New Roman" w:hAnsi="Times New Roman" w:cs="Times New Roman" w:eastAsia="Times New Roman" w:hint="default"/>
        </w:rPr>
        <w:t>1,300</w:t>
      </w:r>
      <w:r>
        <w:rPr/>
        <w:t>万元，新增</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13" w:right="1123" w:hanging="360"/>
        <w:jc w:val="left"/>
      </w:pPr>
      <w:r>
        <w:rPr>
          <w:rFonts w:ascii="Times New Roman" w:hAnsi="Times New Roman" w:cs="Times New Roman" w:eastAsia="Times New Roman" w:hint="default"/>
        </w:rPr>
        <w:t>300</w:t>
      </w:r>
      <w:r>
        <w:rPr/>
        <w:t>万元注册资本由公司关联方铂金科技以</w:t>
      </w:r>
      <w:r>
        <w:rPr>
          <w:rFonts w:ascii="Times New Roman" w:hAnsi="Times New Roman" w:cs="Times New Roman" w:eastAsia="Times New Roman" w:hint="default"/>
        </w:rPr>
        <w:t>300</w:t>
      </w:r>
      <w:r>
        <w:rPr/>
        <w:t>万元认购，公司和伟龙金溢另一股东新加坡伟龙放弃同比例增资权。 详情请见公司分别于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日发布的《关于购买控股子公司伟龙金溢股权并</w:t>
      </w:r>
    </w:p>
    <w:p>
      <w:pPr>
        <w:pStyle w:val="BodyText"/>
        <w:spacing w:line="300" w:lineRule="auto" w:before="13"/>
        <w:ind w:left="154" w:right="1131"/>
        <w:jc w:val="left"/>
      </w:pPr>
      <w:r>
        <w:rPr>
          <w:spacing w:val="-1"/>
        </w:rPr>
        <w:t>部分放弃优先受让权暨关联交易的公告》（公告编号：</w:t>
      </w:r>
      <w:r>
        <w:rPr>
          <w:rFonts w:ascii="Times New Roman" w:hAnsi="Times New Roman" w:cs="Times New Roman" w:eastAsia="Times New Roman" w:hint="default"/>
          <w:spacing w:val="-1"/>
        </w:rPr>
        <w:t>2017-042</w:t>
      </w:r>
      <w:r>
        <w:rPr>
          <w:spacing w:val="-1"/>
        </w:rPr>
        <w:t>）、《关于控股子公司伟龙金溢增资并放弃同比例增资权暨</w:t>
      </w:r>
      <w:r>
        <w:rPr>
          <w:spacing w:val="-85"/>
        </w:rPr>
        <w:t> </w:t>
      </w:r>
      <w:r>
        <w:rPr>
          <w:spacing w:val="-85"/>
        </w:rPr>
      </w:r>
      <w:r>
        <w:rPr>
          <w:spacing w:val="-4"/>
        </w:rPr>
        <w:t>关联交易的公告》》（公告编号：</w:t>
      </w:r>
      <w:r>
        <w:rPr>
          <w:rFonts w:ascii="Times New Roman" w:hAnsi="Times New Roman" w:cs="Times New Roman" w:eastAsia="Times New Roman" w:hint="default"/>
          <w:spacing w:val="-4"/>
        </w:rPr>
        <w:t>2017-043</w:t>
      </w:r>
      <w:r>
        <w:rPr>
          <w:spacing w:val="-4"/>
        </w:rPr>
        <w:t>）、《关于控股子公司伟龙金溢增资并放弃同比例增资权暨关联交易的补充公告》</w:t>
      </w:r>
    </w:p>
    <w:p>
      <w:pPr>
        <w:pStyle w:val="BodyText"/>
        <w:spacing w:line="240" w:lineRule="auto" w:before="13"/>
        <w:ind w:right="1235"/>
        <w:jc w:val="left"/>
      </w:pPr>
      <w:r>
        <w:rPr/>
        <w:t>（公告编号：</w:t>
      </w:r>
      <w:r>
        <w:rPr>
          <w:rFonts w:ascii="Times New Roman" w:hAnsi="Times New Roman" w:cs="Times New Roman" w:eastAsia="Times New Roman" w:hint="default"/>
        </w:rPr>
        <w:t>2017-046</w:t>
      </w:r>
      <w:r>
        <w:rPr/>
        <w:t>）和《关于控股子公司伟龙金溢股权转让及增资事项进展的公告》（公告编号：</w:t>
      </w:r>
      <w:r>
        <w:rPr>
          <w:rFonts w:ascii="Times New Roman" w:hAnsi="Times New Roman" w:cs="Times New Roman" w:eastAsia="Times New Roman" w:hint="default"/>
        </w:rPr>
        <w:t>2017-060</w:t>
      </w:r>
      <w:r>
        <w:rPr/>
        <w:t>）。</w:t>
      </w:r>
    </w:p>
    <w:p>
      <w:pPr>
        <w:spacing w:line="240" w:lineRule="auto" w:before="1"/>
        <w:rPr>
          <w:rFonts w:ascii="宋体" w:hAnsi="宋体" w:cs="宋体" w:eastAsia="宋体" w:hint="default"/>
          <w:sz w:val="24"/>
          <w:szCs w:val="24"/>
        </w:rPr>
      </w:pPr>
    </w:p>
    <w:p>
      <w:pPr>
        <w:pStyle w:val="Heading2"/>
        <w:spacing w:line="240" w:lineRule="auto"/>
        <w:ind w:right="1235"/>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1235"/>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35"/>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4"/>
        <w:gridCol w:w="904"/>
        <w:gridCol w:w="755"/>
        <w:gridCol w:w="947"/>
        <w:gridCol w:w="709"/>
        <w:gridCol w:w="708"/>
        <w:gridCol w:w="566"/>
        <w:gridCol w:w="994"/>
        <w:gridCol w:w="991"/>
        <w:gridCol w:w="784"/>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9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30,885,704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30,885,704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57,394,296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57,394,296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25.06%</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235"/>
        <w:jc w:val="left"/>
      </w:pPr>
      <w:r>
        <w:rPr/>
        <w:t>股份变动的原因</w:t>
      </w:r>
    </w:p>
    <w:p>
      <w:pPr>
        <w:pStyle w:val="BodyText"/>
        <w:spacing w:line="240" w:lineRule="auto" w:before="117"/>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日，公司首次公开发行的人民币普通股股票在深圳证券交易所挂牌上市，本次公开发行新股</w:t>
      </w:r>
      <w:r>
        <w:rPr>
          <w:rFonts w:ascii="Times New Roman" w:hAnsi="Times New Roman" w:cs="Times New Roman" w:eastAsia="Times New Roman" w:hint="default"/>
          <w:spacing w:val="-1"/>
        </w:rPr>
        <w:t>2,952</w:t>
      </w:r>
      <w:r>
        <w:rPr>
          <w:spacing w:val="-1"/>
        </w:rPr>
        <w:t>万股，首</w:t>
      </w:r>
      <w:r>
        <w:rPr/>
        <w:t> 次公开发行前股份为</w:t>
      </w:r>
      <w:r>
        <w:rPr>
          <w:rFonts w:ascii="Times New Roman" w:hAnsi="Times New Roman" w:cs="Times New Roman" w:eastAsia="Times New Roman" w:hint="default"/>
        </w:rPr>
        <w:t>8,828</w:t>
      </w:r>
      <w:r>
        <w:rPr/>
        <w:t>万股。发行后公司总股本由</w:t>
      </w:r>
      <w:r>
        <w:rPr>
          <w:rFonts w:ascii="Times New Roman" w:hAnsi="Times New Roman" w:cs="Times New Roman" w:eastAsia="Times New Roman" w:hint="default"/>
        </w:rPr>
        <w:t>8,828</w:t>
      </w:r>
      <w:r>
        <w:rPr/>
        <w:t>万股增至</w:t>
      </w:r>
      <w:r>
        <w:rPr>
          <w:rFonts w:ascii="Times New Roman" w:hAnsi="Times New Roman" w:cs="Times New Roman" w:eastAsia="Times New Roman" w:hint="default"/>
        </w:rPr>
        <w:t>11,780</w:t>
      </w:r>
      <w:r>
        <w:rPr/>
        <w:t>万股。</w:t>
      </w:r>
    </w:p>
    <w:p>
      <w:pPr>
        <w:spacing w:line="240" w:lineRule="auto" w:before="0"/>
        <w:rPr>
          <w:rFonts w:ascii="宋体" w:hAnsi="宋体" w:cs="宋体" w:eastAsia="宋体" w:hint="default"/>
          <w:sz w:val="18"/>
          <w:szCs w:val="18"/>
        </w:rPr>
      </w:pPr>
    </w:p>
    <w:p>
      <w:pPr>
        <w:pStyle w:val="BodyText"/>
        <w:spacing w:line="240" w:lineRule="auto" w:before="130"/>
        <w:ind w:right="1235"/>
        <w:jc w:val="left"/>
      </w:pPr>
      <w:r>
        <w:rPr/>
        <w:t>股份变动的批准情况</w:t>
      </w:r>
    </w:p>
    <w:p>
      <w:pPr>
        <w:pStyle w:val="BodyText"/>
        <w:spacing w:line="338" w:lineRule="auto" w:before="117"/>
        <w:ind w:left="513"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经中国证券监督管理委员会《关于深圳市金溢科技股份有限公司首次公开发行股票的批复》（证监许可</w:t>
      </w:r>
      <w:r>
        <w:rPr>
          <w:rFonts w:ascii="Times New Roman" w:hAnsi="Times New Roman" w:cs="Times New Roman" w:eastAsia="Times New Roman" w:hint="default"/>
          <w:spacing w:val="-2"/>
        </w:rPr>
        <w:t>2017[399]</w:t>
      </w:r>
      <w:r>
        <w:rPr>
          <w:spacing w:val="-2"/>
        </w:rPr>
        <w:t>号文）</w:t>
      </w:r>
    </w:p>
    <w:p>
      <w:pPr>
        <w:pStyle w:val="BodyText"/>
        <w:spacing w:line="230" w:lineRule="exact"/>
        <w:ind w:right="0"/>
        <w:jc w:val="left"/>
      </w:pPr>
      <w:r>
        <w:rPr/>
        <w:t>核准并经深圳证券交易所《关于深圳市金溢科技股份有限公司人民币普通股股票上市的通知》（深证上</w:t>
      </w:r>
      <w:r>
        <w:rPr>
          <w:rFonts w:ascii="Times New Roman" w:hAnsi="Times New Roman" w:cs="Times New Roman" w:eastAsia="Times New Roman" w:hint="default"/>
        </w:rPr>
        <w:t>[2017]299</w:t>
      </w:r>
      <w:r>
        <w:rPr/>
        <w:t>号）同意，</w:t>
      </w:r>
    </w:p>
    <w:p>
      <w:pPr>
        <w:pStyle w:val="BodyText"/>
        <w:spacing w:line="240" w:lineRule="auto" w:before="63"/>
        <w:ind w:right="1235"/>
        <w:jc w:val="left"/>
      </w:pPr>
      <w:r>
        <w:rPr/>
        <w:t>公司首次公开发行的人民币普通股股票于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日在深圳证券交易所挂牌上市。</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股份变动的过户情况</w:t>
      </w:r>
    </w:p>
    <w:p>
      <w:pPr>
        <w:pStyle w:val="BodyText"/>
        <w:spacing w:line="340"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0"/>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687"/>
        <w:gridCol w:w="1112"/>
        <w:gridCol w:w="1116"/>
        <w:gridCol w:w="1476"/>
        <w:gridCol w:w="2465"/>
      </w:tblGrid>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88"/>
              <w:jc w:val="right"/>
              <w:rPr>
                <w:rFonts w:ascii="宋体" w:hAnsi="宋体" w:cs="宋体" w:eastAsia="宋体" w:hint="default"/>
                <w:sz w:val="18"/>
                <w:szCs w:val="18"/>
              </w:rPr>
            </w:pPr>
            <w:r>
              <w:rPr>
                <w:rFonts w:ascii="宋体" w:hAnsi="宋体" w:cs="宋体" w:eastAsia="宋体" w:hint="default"/>
                <w:sz w:val="18"/>
                <w:szCs w:val="18"/>
              </w:rPr>
              <w:t>发行股份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不发行股份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股份变动影响数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0"/>
              <w:jc w:val="right"/>
              <w:rPr>
                <w:rFonts w:ascii="Times New Roman" w:hAnsi="Times New Roman" w:cs="Times New Roman" w:eastAsia="Times New Roman" w:hint="default"/>
                <w:sz w:val="18"/>
                <w:szCs w:val="18"/>
              </w:rPr>
            </w:pPr>
            <w:r>
              <w:rPr>
                <w:rFonts w:ascii="Times New Roman"/>
                <w:spacing w:val="-1"/>
                <w:sz w:val="18"/>
              </w:rPr>
              <w:t>0.85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1.01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0" w:right="0"/>
              <w:jc w:val="left"/>
              <w:rPr>
                <w:rFonts w:ascii="Times New Roman" w:hAnsi="Times New Roman" w:cs="Times New Roman" w:eastAsia="Times New Roman" w:hint="default"/>
                <w:sz w:val="18"/>
                <w:szCs w:val="18"/>
              </w:rPr>
            </w:pPr>
            <w:r>
              <w:rPr>
                <w:rFonts w:ascii="Times New Roman"/>
                <w:sz w:val="18"/>
              </w:rPr>
              <w:t>-0.17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发行新股稀释了每股收益</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0"/>
              <w:jc w:val="right"/>
              <w:rPr>
                <w:rFonts w:ascii="Times New Roman" w:hAnsi="Times New Roman" w:cs="Times New Roman" w:eastAsia="Times New Roman" w:hint="default"/>
                <w:sz w:val="18"/>
                <w:szCs w:val="18"/>
              </w:rPr>
            </w:pPr>
            <w:r>
              <w:rPr>
                <w:rFonts w:ascii="Times New Roman"/>
                <w:spacing w:val="-1"/>
                <w:sz w:val="18"/>
              </w:rPr>
              <w:t>0.85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1.01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0" w:right="0"/>
              <w:jc w:val="left"/>
              <w:rPr>
                <w:rFonts w:ascii="Times New Roman" w:hAnsi="Times New Roman" w:cs="Times New Roman" w:eastAsia="Times New Roman" w:hint="default"/>
                <w:sz w:val="18"/>
                <w:szCs w:val="18"/>
              </w:rPr>
            </w:pPr>
            <w:r>
              <w:rPr>
                <w:rFonts w:ascii="Times New Roman"/>
                <w:sz w:val="18"/>
              </w:rPr>
              <w:t>-0.17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发行新股稀释了每股收益</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0"/>
              <w:jc w:val="right"/>
              <w:rPr>
                <w:rFonts w:ascii="Times New Roman" w:hAnsi="Times New Roman" w:cs="Times New Roman" w:eastAsia="Times New Roman" w:hint="default"/>
                <w:sz w:val="18"/>
                <w:szCs w:val="18"/>
              </w:rPr>
            </w:pPr>
            <w:r>
              <w:rPr>
                <w:rFonts w:ascii="Times New Roman"/>
                <w:spacing w:val="-1"/>
                <w:sz w:val="18"/>
              </w:rPr>
              <w:t>8.68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5.30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5" w:right="0"/>
              <w:jc w:val="left"/>
              <w:rPr>
                <w:rFonts w:ascii="Times New Roman" w:hAnsi="Times New Roman" w:cs="Times New Roman" w:eastAsia="Times New Roman" w:hint="default"/>
                <w:sz w:val="18"/>
                <w:szCs w:val="18"/>
              </w:rPr>
            </w:pPr>
            <w:r>
              <w:rPr>
                <w:rFonts w:ascii="Times New Roman"/>
                <w:sz w:val="18"/>
              </w:rPr>
              <w:t>3.38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发行新股增加了每股净资产</w:t>
            </w:r>
          </w:p>
        </w:tc>
      </w:tr>
    </w:tbl>
    <w:p>
      <w:pPr>
        <w:spacing w:line="240" w:lineRule="auto" w:before="5"/>
        <w:rPr>
          <w:rFonts w:ascii="宋体" w:hAnsi="宋体" w:cs="宋体" w:eastAsia="宋体" w:hint="default"/>
          <w:sz w:val="24"/>
          <w:szCs w:val="24"/>
        </w:rPr>
      </w:pPr>
    </w:p>
    <w:p>
      <w:pPr>
        <w:pStyle w:val="BodyText"/>
        <w:spacing w:line="240" w:lineRule="auto" w:before="44"/>
        <w:ind w:left="154" w:right="1235"/>
        <w:jc w:val="left"/>
      </w:pPr>
      <w:r>
        <w:rPr/>
        <w:t>公司认为必要或证券监管机构要求披露的其他内容</w:t>
      </w:r>
    </w:p>
    <w:p>
      <w:pPr>
        <w:pStyle w:val="BodyText"/>
        <w:spacing w:line="240" w:lineRule="auto" w:before="116"/>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35"/>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565"/>
        <w:gridCol w:w="1276"/>
        <w:gridCol w:w="992"/>
        <w:gridCol w:w="1604"/>
        <w:gridCol w:w="1515"/>
        <w:gridCol w:w="1205"/>
      </w:tblGrid>
      <w:tr>
        <w:trPr>
          <w:trHeight w:val="755"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7"/>
              <w:ind w:left="18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人民币普股通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29,520,000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29,520,000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1116" w:hanging="360"/>
        <w:jc w:val="left"/>
      </w:pPr>
      <w:r>
        <w:rPr/>
        <w:t>报告期内证券发行（不含优先股）情况的说明 </w:t>
      </w:r>
      <w:r>
        <w:rPr>
          <w:spacing w:val="-2"/>
        </w:rPr>
        <w:t>经中国证券监督管理委员会《关于深圳市金溢科技股份有限公司首次公开发行股票的批复》（证监许可</w:t>
      </w:r>
      <w:r>
        <w:rPr>
          <w:rFonts w:ascii="Times New Roman" w:hAnsi="Times New Roman" w:cs="Times New Roman" w:eastAsia="Times New Roman" w:hint="default"/>
          <w:spacing w:val="-2"/>
        </w:rPr>
        <w:t>2017[399]</w:t>
      </w:r>
      <w:r>
        <w:rPr>
          <w:spacing w:val="-2"/>
        </w:rPr>
        <w:t>号文）</w:t>
      </w:r>
    </w:p>
    <w:p>
      <w:pPr>
        <w:pStyle w:val="BodyText"/>
        <w:spacing w:line="214" w:lineRule="exact"/>
        <w:ind w:left="154" w:right="0"/>
        <w:jc w:val="left"/>
      </w:pPr>
      <w:r>
        <w:rPr/>
        <w:t>核准并经深圳证券交易所《关于深圳市金溢科技股份有限公司人民币普通股股票上市的通知》（深证上</w:t>
      </w:r>
      <w:r>
        <w:rPr>
          <w:rFonts w:ascii="Times New Roman" w:hAnsi="Times New Roman" w:cs="Times New Roman" w:eastAsia="Times New Roman" w:hint="default"/>
        </w:rPr>
        <w:t>[2017]299</w:t>
      </w:r>
      <w:r>
        <w:rPr/>
        <w:t>号）同意，</w:t>
      </w:r>
    </w:p>
    <w:p>
      <w:pPr>
        <w:pStyle w:val="BodyText"/>
        <w:spacing w:line="300" w:lineRule="auto" w:before="63"/>
        <w:ind w:right="1131"/>
        <w:jc w:val="both"/>
      </w:pPr>
      <w:r>
        <w:rPr>
          <w:spacing w:val="-3"/>
        </w:rPr>
        <w:t>公司首次公开发行的人民币普通股股票于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日在深圳证券交易所挂牌上市。公司向社会公开发行人民币普通股（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5"/>
        </w:rPr>
        <w:t> </w:t>
      </w:r>
      <w:r>
        <w:rPr>
          <w:spacing w:val="-6"/>
        </w:rPr>
        <w:t>股）股票</w:t>
      </w:r>
      <w:r>
        <w:rPr>
          <w:rFonts w:ascii="Times New Roman" w:hAnsi="Times New Roman" w:cs="Times New Roman" w:eastAsia="Times New Roman" w:hint="default"/>
          <w:spacing w:val="-6"/>
        </w:rPr>
        <w:t>2,952</w:t>
      </w:r>
      <w:r>
        <w:rPr>
          <w:spacing w:val="-6"/>
        </w:rPr>
        <w:t>万股，每股面值</w:t>
      </w:r>
      <w:r>
        <w:rPr>
          <w:rFonts w:ascii="Times New Roman" w:hAnsi="Times New Roman" w:cs="Times New Roman" w:eastAsia="Times New Roman" w:hint="default"/>
          <w:spacing w:val="-6"/>
        </w:rPr>
        <w:t>1</w:t>
      </w:r>
      <w:r>
        <w:rPr>
          <w:spacing w:val="-6"/>
        </w:rPr>
        <w:t>元，每股发行价格为人民币</w:t>
      </w:r>
      <w:r>
        <w:rPr>
          <w:rFonts w:ascii="Times New Roman" w:hAnsi="Times New Roman" w:cs="Times New Roman" w:eastAsia="Times New Roman" w:hint="default"/>
          <w:spacing w:val="-6"/>
        </w:rPr>
        <w:t>21.80</w:t>
      </w:r>
      <w:r>
        <w:rPr>
          <w:spacing w:val="-6"/>
        </w:rPr>
        <w:t>元，募集资金总额为</w:t>
      </w:r>
      <w:r>
        <w:rPr>
          <w:rFonts w:ascii="Times New Roman" w:hAnsi="Times New Roman" w:cs="Times New Roman" w:eastAsia="Times New Roman" w:hint="default"/>
          <w:spacing w:val="-6"/>
        </w:rPr>
        <w:t>643,536</w:t>
      </w:r>
      <w:r>
        <w:rPr>
          <w:spacing w:val="-6"/>
        </w:rPr>
        <w:t>万元，减除发行费用人民币</w:t>
      </w:r>
      <w:r>
        <w:rPr>
          <w:rFonts w:ascii="Times New Roman" w:hAnsi="Times New Roman" w:cs="Times New Roman" w:eastAsia="Times New Roman" w:hint="default"/>
          <w:spacing w:val="-6"/>
        </w:rPr>
        <w:t>8,905.12</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3"/>
        </w:rPr>
        <w:t>万元（含增值税）后，募集资金净额为</w:t>
      </w:r>
      <w:r>
        <w:rPr>
          <w:spacing w:val="-64"/>
        </w:rPr>
        <w:t> </w:t>
      </w:r>
      <w:r>
        <w:rPr>
          <w:rFonts w:ascii="Times New Roman" w:hAnsi="Times New Roman" w:cs="Times New Roman" w:eastAsia="Times New Roman" w:hint="default"/>
        </w:rPr>
        <w:t>55,448.48</w:t>
      </w:r>
      <w:r>
        <w:rPr>
          <w:rFonts w:ascii="Times New Roman" w:hAnsi="Times New Roman" w:cs="Times New Roman" w:eastAsia="Times New Roman" w:hint="default"/>
          <w:spacing w:val="-20"/>
        </w:rPr>
        <w:t> </w:t>
      </w:r>
      <w:r>
        <w:rPr>
          <w:spacing w:val="22"/>
        </w:rPr>
        <w:t>万元。具体情况详见公司于</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r>
        <w:rPr>
          <w:spacing w:val="-64"/>
        </w:rPr>
        <w:t> </w:t>
      </w:r>
      <w:r>
        <w:rPr>
          <w:rFonts w:ascii="Times New Roman" w:hAnsi="Times New Roman" w:cs="Times New Roman" w:eastAsia="Times New Roman" w:hint="default"/>
        </w:rPr>
        <w:t>16</w:t>
      </w:r>
      <w:r>
        <w:rPr>
          <w:rFonts w:ascii="Times New Roman" w:hAnsi="Times New Roman" w:cs="Times New Roman" w:eastAsia="Times New Roman" w:hint="default"/>
          <w:spacing w:val="-19"/>
        </w:rPr>
        <w:t> </w:t>
      </w:r>
      <w:r>
        <w:rPr/>
        <w:t>日</w:t>
      </w:r>
      <w:r>
        <w:rPr>
          <w:spacing w:val="-64"/>
        </w:rPr>
        <w:t> </w:t>
      </w:r>
      <w:r>
        <w:rPr/>
        <w:t>刊</w:t>
      </w:r>
      <w:r>
        <w:rPr>
          <w:spacing w:val="-64"/>
        </w:rPr>
        <w:t> </w:t>
      </w:r>
      <w:r>
        <w:rPr/>
        <w:t>登</w:t>
      </w:r>
      <w:r>
        <w:rPr>
          <w:spacing w:val="-64"/>
        </w:rPr>
        <w:t> </w:t>
      </w:r>
      <w:r>
        <w:rPr/>
        <w:t>在</w:t>
      </w:r>
      <w:r>
        <w:rPr>
          <w:spacing w:val="-64"/>
        </w:rPr>
        <w:t> </w:t>
      </w:r>
      <w:r>
        <w:rPr/>
        <w:t>巨</w:t>
      </w:r>
      <w:r>
        <w:rPr>
          <w:spacing w:val="-64"/>
        </w:rPr>
        <w:t> </w:t>
      </w:r>
      <w:r>
        <w:rPr/>
        <w:t>潮</w:t>
      </w:r>
      <w:r>
        <w:rPr>
          <w:spacing w:val="-63"/>
        </w:rPr>
        <w:t> </w:t>
      </w:r>
      <w:r>
        <w:rPr/>
        <w:t>资</w:t>
      </w:r>
      <w:r>
        <w:rPr>
          <w:spacing w:val="-63"/>
        </w:rPr>
        <w:t> </w:t>
      </w:r>
      <w:r>
        <w:rPr/>
        <w:t>讯</w:t>
      </w:r>
      <w:r>
        <w:rPr>
          <w:spacing w:val="-63"/>
        </w:rPr>
        <w:t> </w:t>
      </w:r>
      <w:r>
        <w:rPr/>
        <w:t>网</w:t>
      </w:r>
    </w:p>
    <w:p>
      <w:pPr>
        <w:pStyle w:val="BodyText"/>
        <w:spacing w:line="240" w:lineRule="auto" w:before="13"/>
        <w:ind w:right="1235"/>
        <w:jc w:val="left"/>
      </w:pPr>
      <w:r>
        <w:rPr/>
        <w:t>（</w:t>
      </w:r>
      <w:hyperlink r:id="rId22">
        <w:r>
          <w:rPr>
            <w:rFonts w:ascii="Times New Roman" w:hAnsi="Times New Roman" w:cs="Times New Roman" w:eastAsia="Times New Roman" w:hint="default"/>
          </w:rPr>
          <w:t>http://www.cninfo.com.cm</w:t>
        </w:r>
      </w:hyperlink>
      <w:r>
        <w:rPr/>
        <w:t>）上的《首次公开发行股票上市公告书（更新后）》。</w:t>
      </w:r>
    </w:p>
    <w:p>
      <w:pPr>
        <w:spacing w:line="240" w:lineRule="auto" w:before="11"/>
        <w:rPr>
          <w:rFonts w:ascii="宋体" w:hAnsi="宋体" w:cs="宋体" w:eastAsia="宋体" w:hint="default"/>
          <w:sz w:val="25"/>
          <w:szCs w:val="25"/>
        </w:rPr>
      </w:pPr>
    </w:p>
    <w:p>
      <w:pPr>
        <w:pStyle w:val="Heading3"/>
        <w:spacing w:line="240" w:lineRule="auto"/>
        <w:ind w:right="1235"/>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报告期末，公司总资产为</w:t>
      </w:r>
      <w:r>
        <w:rPr>
          <w:rFonts w:ascii="Times New Roman" w:hAnsi="Times New Roman" w:cs="Times New Roman" w:eastAsia="Times New Roman" w:hint="default"/>
        </w:rPr>
        <w:t>1,379,681,672.73</w:t>
      </w:r>
      <w:r>
        <w:rPr/>
        <w:t>元，较期初</w:t>
      </w:r>
      <w:r>
        <w:rPr>
          <w:rFonts w:ascii="Times New Roman" w:hAnsi="Times New Roman" w:cs="Times New Roman" w:eastAsia="Times New Roman" w:hint="default"/>
        </w:rPr>
        <w:t>836,656,139.06</w:t>
      </w:r>
      <w:r>
        <w:rPr/>
        <w:t>元增加</w:t>
      </w:r>
      <w:r>
        <w:rPr>
          <w:rFonts w:ascii="Times New Roman" w:hAnsi="Times New Roman" w:cs="Times New Roman" w:eastAsia="Times New Roman" w:hint="default"/>
        </w:rPr>
        <w:t>64.90%</w:t>
      </w:r>
      <w:r>
        <w:rPr/>
        <w:t>；归属于上市公司股东的所有者权益为 </w:t>
      </w:r>
      <w:r>
        <w:rPr>
          <w:rFonts w:ascii="Times New Roman" w:hAnsi="Times New Roman" w:cs="Times New Roman" w:eastAsia="Times New Roman" w:hint="default"/>
          <w:spacing w:val="-1"/>
        </w:rPr>
        <w:t>1,022,640,167.17</w:t>
      </w:r>
      <w:r>
        <w:rPr>
          <w:spacing w:val="-1"/>
        </w:rPr>
        <w:t>元，较期初</w:t>
      </w:r>
      <w:r>
        <w:rPr>
          <w:rFonts w:ascii="Times New Roman" w:hAnsi="Times New Roman" w:cs="Times New Roman" w:eastAsia="Times New Roman" w:hint="default"/>
          <w:spacing w:val="-1"/>
        </w:rPr>
        <w:t>426,672,023.27</w:t>
      </w:r>
      <w:r>
        <w:rPr>
          <w:spacing w:val="-1"/>
        </w:rPr>
        <w:t>元增加</w:t>
      </w:r>
      <w:r>
        <w:rPr>
          <w:rFonts w:ascii="Times New Roman" w:hAnsi="Times New Roman" w:cs="Times New Roman" w:eastAsia="Times New Roman" w:hint="default"/>
          <w:spacing w:val="-1"/>
        </w:rPr>
        <w:t>139.68%</w:t>
      </w:r>
      <w:r>
        <w:rPr>
          <w:spacing w:val="-1"/>
        </w:rPr>
        <w:t>。主要原因是报告期内公司公开发行股票取得募集资金所致，其次</w:t>
      </w:r>
    </w:p>
    <w:p>
      <w:pPr>
        <w:pStyle w:val="BodyText"/>
        <w:spacing w:line="233" w:lineRule="exact"/>
        <w:ind w:right="1235"/>
        <w:jc w:val="left"/>
      </w:pPr>
      <w:r>
        <w:rPr/>
        <w:t>得益于公司的经营业绩。</w:t>
      </w:r>
    </w:p>
    <w:p>
      <w:pPr>
        <w:spacing w:after="0" w:line="233" w:lineRule="exact"/>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235"/>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850"/>
        <w:gridCol w:w="175"/>
        <w:gridCol w:w="819"/>
        <w:gridCol w:w="399"/>
        <w:gridCol w:w="309"/>
        <w:gridCol w:w="896"/>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17,392</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17,177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8" w:right="78"/>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469" w:type="dxa"/>
            <w:gridSpan w:val="2"/>
            <w:vMerge/>
            <w:tcBorders>
              <w:left w:val="single" w:sz="4" w:space="0" w:color="000000"/>
              <w:right w:val="single" w:sz="4" w:space="0" w:color="000000"/>
            </w:tcBorders>
            <w:shd w:val="clear" w:color="auto" w:fill="D2D2D2"/>
          </w:tcPr>
          <w:p>
            <w:pPr/>
          </w:p>
        </w:tc>
        <w:tc>
          <w:tcPr>
            <w:tcW w:w="108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8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65"/>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08" w:type="dxa"/>
            <w:gridSpan w:val="2"/>
            <w:vMerge/>
            <w:tcBorders>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469" w:type="dxa"/>
            <w:gridSpan w:val="2"/>
            <w:vMerge/>
            <w:tcBorders>
              <w:left w:val="single" w:sz="4" w:space="0" w:color="000000"/>
              <w:right w:val="single" w:sz="4" w:space="0" w:color="000000"/>
            </w:tcBorders>
            <w:shd w:val="clear" w:color="auto" w:fill="D2D2D2"/>
          </w:tcPr>
          <w:p>
            <w:pPr/>
          </w:p>
        </w:tc>
        <w:tc>
          <w:tcPr>
            <w:tcW w:w="108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896"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
        </w:tc>
        <w:tc>
          <w:tcPr>
            <w:tcW w:w="1348"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vMerge/>
            <w:tcBorders>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23,600,000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23,600,000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13,200,000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13,200,000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9,600,000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9,600,000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3,700,000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8,000,000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8,000,000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0" w:right="0"/>
              <w:jc w:val="lef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6,000,000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6,000,000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5,200,000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深圳至为投资企 业（有限合伙）</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5,650,624</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5,650,624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5,600,000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5,600,000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3,200,000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1,012,000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2,066,200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2,066,200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深圳致璞投资企 业（有限合伙）</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1,635,080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1,635,080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55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11"/>
            <w:vMerge w:val="restart"/>
            <w:tcBorders>
              <w:top w:val="single" w:sz="4" w:space="0" w:color="000000"/>
              <w:left w:val="single" w:sz="10" w:space="0" w:color="D2D2D2"/>
              <w:right w:val="single" w:sz="4" w:space="0" w:color="000000"/>
            </w:tcBorders>
          </w:tcPr>
          <w:p>
            <w:pPr>
              <w:pStyle w:val="TableParagraph"/>
              <w:spacing w:line="309" w:lineRule="auto" w:before="51"/>
              <w:ind w:left="15" w:right="21"/>
              <w:jc w:val="both"/>
              <w:rPr>
                <w:rFonts w:ascii="宋体" w:hAnsi="宋体" w:cs="宋体" w:eastAsia="宋体" w:hint="default"/>
                <w:sz w:val="18"/>
                <w:szCs w:val="18"/>
              </w:rPr>
            </w:pPr>
            <w:r>
              <w:rPr>
                <w:rFonts w:ascii="宋体" w:hAnsi="宋体" w:cs="宋体" w:eastAsia="宋体" w:hint="default"/>
                <w:spacing w:val="-2"/>
                <w:sz w:val="18"/>
                <w:szCs w:val="18"/>
              </w:rPr>
              <w:t>股东罗瑞发为股东深圳市敏行电子有限公司的控股股东、法定代表人，持有深圳市敏行电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子有限公司</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94%</w:t>
            </w:r>
            <w:r>
              <w:rPr>
                <w:rFonts w:ascii="宋体" w:hAnsi="宋体" w:cs="宋体" w:eastAsia="宋体" w:hint="default"/>
                <w:spacing w:val="-3"/>
                <w:sz w:val="18"/>
                <w:szCs w:val="18"/>
              </w:rPr>
              <w:t>的股份；股东王明宽与李娜系夫妻关系；股东罗瑞发、刘咏平、杨成、王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明宽、李娜属于一致行动人。</w:t>
            </w:r>
          </w:p>
        </w:tc>
      </w:tr>
      <w:tr>
        <w:trPr>
          <w:trHeight w:val="703" w:hRule="exact"/>
        </w:trPr>
        <w:tc>
          <w:tcPr>
            <w:tcW w:w="255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1"/>
            <w:vMerge/>
            <w:tcBorders>
              <w:left w:val="single" w:sz="10" w:space="0" w:color="D2D2D2"/>
              <w:right w:val="single" w:sz="4" w:space="0" w:color="000000"/>
            </w:tcBorders>
          </w:tcPr>
          <w:p>
            <w:pPr/>
          </w:p>
        </w:tc>
      </w:tr>
      <w:tr>
        <w:trPr>
          <w:trHeight w:val="161" w:hRule="exact"/>
        </w:trPr>
        <w:tc>
          <w:tcPr>
            <w:tcW w:w="255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11"/>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珠海佳博科技股份有限公司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818,900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常子秀</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331,829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331,829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何铭</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185,900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梁国庆</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姜晓静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138,749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118,972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118,972</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陈荣荣</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除上述前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名普通股股东提及的情况外，公司前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名无限售条件普通股股东中公司</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无法判断前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名无限售普通股股东和前</w:t>
            </w:r>
          </w:p>
          <w:p>
            <w:pPr>
              <w:pStyle w:val="TableParagraph"/>
              <w:spacing w:line="240" w:lineRule="auto" w:before="6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名普通股股东之间是否存在关联关系，也无法判断他们是否属于一致行动人。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2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2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233"/>
        <w:jc w:val="left"/>
      </w:pPr>
      <w:r>
        <w:rPr/>
        <w:t>控股股东性质：自然人控股 公司不存在控股股东情况的说明</w:t>
      </w:r>
    </w:p>
    <w:p>
      <w:pPr>
        <w:pStyle w:val="BodyText"/>
        <w:spacing w:line="300" w:lineRule="auto" w:before="25"/>
        <w:ind w:right="0" w:firstLine="360"/>
        <w:jc w:val="left"/>
      </w:pPr>
      <w:r>
        <w:rPr>
          <w:spacing w:val="-5"/>
        </w:rPr>
        <w:t>公司无控股股东。公司第一大股东为深圳市敏行电子有限公司（简称</w:t>
      </w:r>
      <w:r>
        <w:rPr>
          <w:rFonts w:ascii="Times New Roman" w:hAnsi="Times New Roman" w:cs="Times New Roman" w:eastAsia="Times New Roman" w:hint="default"/>
          <w:spacing w:val="-5"/>
        </w:rPr>
        <w:t>“</w:t>
      </w:r>
      <w:r>
        <w:rPr>
          <w:spacing w:val="-5"/>
        </w:rPr>
        <w:t>敏行电子</w:t>
      </w:r>
      <w:r>
        <w:rPr>
          <w:rFonts w:ascii="Times New Roman" w:hAnsi="Times New Roman" w:cs="Times New Roman" w:eastAsia="Times New Roman" w:hint="default"/>
          <w:spacing w:val="-5"/>
        </w:rPr>
        <w:t>"</w:t>
      </w:r>
      <w:r>
        <w:rPr>
          <w:spacing w:val="-5"/>
        </w:rPr>
        <w:t>），公司实际控制人为罗瑞发、刘咏平、</w:t>
      </w:r>
      <w:r>
        <w:rPr/>
        <w:t> 杨成、王明宽、李娜和李朝莉。</w:t>
      </w:r>
    </w:p>
    <w:p>
      <w:pPr>
        <w:pStyle w:val="BodyText"/>
        <w:spacing w:line="300" w:lineRule="auto" w:before="31"/>
        <w:ind w:left="513" w:right="1153"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）公司第一大股东</w:t>
      </w:r>
      <w:r>
        <w:rPr>
          <w:rFonts w:ascii="宋体" w:hAnsi="宋体" w:cs="宋体" w:eastAsia="宋体" w:hint="default"/>
          <w:b/>
          <w:bCs/>
          <w:w w:val="99"/>
        </w:rPr>
        <w:t> </w:t>
      </w:r>
      <w:r>
        <w:rPr/>
        <w:t>敏行电子持有公司股份</w:t>
      </w:r>
      <w:r>
        <w:rPr>
          <w:rFonts w:ascii="Times New Roman" w:hAnsi="Times New Roman" w:cs="Times New Roman" w:eastAsia="Times New Roman" w:hint="default"/>
        </w:rPr>
        <w:t>2,360</w:t>
      </w:r>
      <w:r>
        <w:rPr/>
        <w:t>万股，占公司总股本</w:t>
      </w:r>
      <w:r>
        <w:rPr>
          <w:rFonts w:ascii="Times New Roman" w:hAnsi="Times New Roman" w:cs="Times New Roman" w:eastAsia="Times New Roman" w:hint="default"/>
        </w:rPr>
        <w:t>20.03%</w:t>
      </w:r>
      <w:r>
        <w:rPr/>
        <w:t>，为公司第一大股东。公司董事长、总经理罗瑞发持有敏行电</w:t>
      </w:r>
    </w:p>
    <w:p>
      <w:pPr>
        <w:pStyle w:val="BodyText"/>
        <w:spacing w:line="300" w:lineRule="auto" w:before="13"/>
        <w:ind w:left="154" w:right="1114"/>
        <w:jc w:val="left"/>
      </w:pPr>
      <w:r>
        <w:rPr>
          <w:spacing w:val="-2"/>
        </w:rPr>
        <w:t>子</w:t>
      </w:r>
      <w:r>
        <w:rPr>
          <w:rFonts w:ascii="Times New Roman" w:hAnsi="Times New Roman" w:cs="Times New Roman" w:eastAsia="Times New Roman" w:hint="default"/>
          <w:spacing w:val="-2"/>
        </w:rPr>
        <w:t>94%</w:t>
      </w:r>
      <w:r>
        <w:rPr>
          <w:spacing w:val="-2"/>
        </w:rPr>
        <w:t>的股权，公司董事、董事会秘书郑映虹持有敏行电子</w:t>
      </w:r>
      <w:r>
        <w:rPr>
          <w:rFonts w:ascii="Times New Roman" w:hAnsi="Times New Roman" w:cs="Times New Roman" w:eastAsia="Times New Roman" w:hint="default"/>
          <w:spacing w:val="-2"/>
        </w:rPr>
        <w:t>6%</w:t>
      </w:r>
      <w:r>
        <w:rPr>
          <w:spacing w:val="-2"/>
        </w:rPr>
        <w:t>的股权。敏行电子的主营业务为对外股权投资，无实体经营。</w:t>
      </w:r>
      <w:r>
        <w:rPr/>
        <w:t> 目前，敏行电子除持有公司的股份外，再无其他资产和投资。</w:t>
      </w:r>
    </w:p>
    <w:p>
      <w:pPr>
        <w:pStyle w:val="BodyText"/>
        <w:spacing w:line="300" w:lineRule="auto" w:before="31"/>
        <w:ind w:left="513" w:right="1168" w:firstLine="1"/>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）公司实际控制人</w:t>
      </w:r>
      <w:r>
        <w:rPr>
          <w:rFonts w:ascii="宋体" w:hAnsi="宋体" w:cs="宋体" w:eastAsia="宋体" w:hint="default"/>
          <w:b/>
          <w:bCs/>
          <w:w w:val="99"/>
        </w:rPr>
        <w:t> </w:t>
      </w:r>
      <w:r>
        <w:rPr/>
        <w:t>公司实际控制人为罗瑞发、刘咏平、杨成、王明宽、李娜和李朝莉，报告期内上述实际控制人合计控制公司股份</w:t>
      </w:r>
      <w:r>
        <w:rPr>
          <w:rFonts w:ascii="Times New Roman" w:hAnsi="Times New Roman" w:cs="Times New Roman" w:eastAsia="Times New Roman" w:hint="default"/>
        </w:rPr>
        <w:t>6,680</w:t>
      </w:r>
    </w:p>
    <w:p>
      <w:pPr>
        <w:pStyle w:val="BodyText"/>
        <w:spacing w:line="240" w:lineRule="auto" w:before="13"/>
        <w:ind w:right="1235"/>
        <w:jc w:val="left"/>
      </w:pPr>
      <w:r>
        <w:rPr/>
        <w:t>万股，占公司总股本</w:t>
      </w:r>
      <w:r>
        <w:rPr>
          <w:rFonts w:ascii="Times New Roman" w:hAnsi="Times New Roman" w:cs="Times New Roman" w:eastAsia="Times New Roman" w:hint="default"/>
        </w:rPr>
        <w:t>56.71%</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4" w:right="1235"/>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6.459999pt;margin-top:-239.128265pt;width:479.2pt;height:425.4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8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、罗瑞发，男，</w:t>
                        </w:r>
                        <w:r>
                          <w:rPr>
                            <w:rFonts w:ascii="Times New Roman" w:hAnsi="Times New Roman" w:cs="Times New Roman" w:eastAsia="Times New Roman" w:hint="default"/>
                            <w:sz w:val="18"/>
                            <w:szCs w:val="18"/>
                          </w:rPr>
                          <w:t>1976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年出生，中国国籍，无境外永久居留权，硕士研究生学 </w:t>
                        </w:r>
                        <w:r>
                          <w:rPr>
                            <w:rFonts w:ascii="宋体" w:hAnsi="宋体" w:cs="宋体" w:eastAsia="宋体" w:hint="default"/>
                            <w:spacing w:val="-1"/>
                            <w:sz w:val="18"/>
                            <w:szCs w:val="18"/>
                          </w:rPr>
                          <w:t>历，高级工程师职称。现任金溢科技董事长兼总经理、深圳立尊执行董事、敏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行电子执行董事。</w:t>
                        </w:r>
                      </w:p>
                      <w:p>
                        <w:pPr>
                          <w:pStyle w:val="TableParagraph"/>
                          <w:spacing w:line="309" w:lineRule="auto" w:before="64"/>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、刘咏平，男，</w:t>
                        </w: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年出生，中国国籍，无境外永久居留权，高级工程师， </w:t>
                        </w:r>
                        <w:r>
                          <w:rPr>
                            <w:rFonts w:ascii="宋体" w:hAnsi="宋体" w:cs="宋体" w:eastAsia="宋体" w:hint="default"/>
                            <w:spacing w:val="-1"/>
                            <w:sz w:val="18"/>
                            <w:szCs w:val="18"/>
                          </w:rPr>
                          <w:t>博士研究生学历。现任金溢科技副总经理、兼任中国智能交通标准化委员会电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子收费专家组通讯委员。</w:t>
                        </w:r>
                      </w:p>
                      <w:p>
                        <w:pPr>
                          <w:pStyle w:val="TableParagraph"/>
                          <w:spacing w:line="302" w:lineRule="auto" w:before="62"/>
                          <w:ind w:left="23" w:right="11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、杨成，男，</w:t>
                        </w:r>
                        <w:r>
                          <w:rPr>
                            <w:rFonts w:ascii="Times New Roman" w:hAnsi="Times New Roman" w:cs="Times New Roman" w:eastAsia="Times New Roman" w:hint="default"/>
                            <w:spacing w:val="-4"/>
                            <w:sz w:val="18"/>
                            <w:szCs w:val="18"/>
                          </w:rPr>
                          <w:t>1977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年出生，中国国籍，无境外永久居留权，硕士研究生学历 工程师职称。现任金溢科技董事、常务副总经理。</w:t>
                        </w:r>
                      </w:p>
                      <w:p>
                        <w:pPr>
                          <w:pStyle w:val="TableParagraph"/>
                          <w:spacing w:line="302" w:lineRule="auto" w:before="68"/>
                          <w:ind w:left="23"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、王明宽，男，</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年出生，中国国籍，无境外永久居留权，大专学历。现 任金溢科技副总经理。</w:t>
                        </w:r>
                      </w:p>
                      <w:p>
                        <w:pPr>
                          <w:pStyle w:val="TableParagraph"/>
                          <w:spacing w:line="309" w:lineRule="auto" w:before="6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、李娜，女，</w:t>
                        </w:r>
                        <w:r>
                          <w:rPr>
                            <w:rFonts w:ascii="Times New Roman" w:hAnsi="Times New Roman" w:cs="Times New Roman" w:eastAsia="Times New Roman" w:hint="default"/>
                            <w:sz w:val="18"/>
                            <w:szCs w:val="18"/>
                          </w:rPr>
                          <w:t>1978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年出生，中国国籍，无境外永久居留权，大专学历。为公 </w:t>
                        </w:r>
                        <w:r>
                          <w:rPr>
                            <w:rFonts w:ascii="宋体" w:hAnsi="宋体" w:cs="宋体" w:eastAsia="宋体" w:hint="default"/>
                            <w:spacing w:val="-1"/>
                            <w:sz w:val="18"/>
                            <w:szCs w:val="18"/>
                          </w:rPr>
                          <w:t>司副总经理王明宽配偶、公司董事李朝莉之女，未在公司担任任何职位，自由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职业。</w:t>
                        </w:r>
                      </w:p>
                      <w:p>
                        <w:pPr>
                          <w:pStyle w:val="TableParagraph"/>
                          <w:spacing w:line="309" w:lineRule="auto" w:before="62"/>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、李朝莉，女，</w:t>
                        </w: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年出生，中国国籍，无境外永久居留权，初中学历。曾 任公司前身深圳市金溢科技有限公司执行董事；现任金溢实业执行董事兼经 理，深圳立尊经理、金溢科技的董事。</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154" w:right="1235"/>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7"/>
          <w:szCs w:val="17"/>
        </w:rPr>
      </w:pPr>
    </w:p>
    <w:p>
      <w:pPr>
        <w:spacing w:line="2044" w:lineRule="exact"/>
        <w:ind w:left="1403"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4455171" cy="129825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4455171" cy="1298257"/>
                    </a:xfrm>
                    <a:prstGeom prst="rect">
                      <a:avLst/>
                    </a:prstGeom>
                  </pic:spPr>
                </pic:pic>
              </a:graphicData>
            </a:graphic>
          </wp:inline>
        </w:drawing>
      </w:r>
      <w:r>
        <w:rPr>
          <w:rFonts w:ascii="宋体" w:hAnsi="宋体" w:cs="宋体" w:eastAsia="宋体" w:hint="default"/>
          <w:position w:val="-40"/>
          <w:sz w:val="20"/>
          <w:szCs w:val="20"/>
        </w:rPr>
      </w:r>
    </w:p>
    <w:p>
      <w:pPr>
        <w:spacing w:after="0" w:line="2044"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实际控制人通过信托或其他资产管理方式控制公司</w:t>
      </w:r>
    </w:p>
    <w:p>
      <w:pPr>
        <w:pStyle w:val="BodyText"/>
        <w:spacing w:line="240" w:lineRule="auto" w:before="116"/>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235"/>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235"/>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235"/>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76"/>
        <w:gridCol w:w="576"/>
        <w:gridCol w:w="922"/>
        <w:gridCol w:w="922"/>
        <w:gridCol w:w="994"/>
        <w:gridCol w:w="755"/>
        <w:gridCol w:w="756"/>
        <w:gridCol w:w="756"/>
        <w:gridCol w:w="925"/>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6" w:right="94"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6" w:right="9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0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0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2,066,200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528,096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76"/>
        <w:gridCol w:w="576"/>
        <w:gridCol w:w="922"/>
        <w:gridCol w:w="922"/>
        <w:gridCol w:w="994"/>
        <w:gridCol w:w="755"/>
        <w:gridCol w:w="756"/>
        <w:gridCol w:w="756"/>
        <w:gridCol w:w="925"/>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44,994,296</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44,994,296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235"/>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2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报告期内，翁小雄女士因个人原因，申请辞去公司第 二届董事会独立董事职务，同时一并辞去董事会薪酬 与考核委员会召集人、董事会提名委员会委员职务， 详情请见公司于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日发布的《关于独立</w:t>
            </w:r>
            <w:r>
              <w:rPr>
                <w:rFonts w:ascii="宋体" w:hAnsi="宋体" w:cs="宋体" w:eastAsia="宋体" w:hint="default"/>
                <w:sz w:val="18"/>
                <w:szCs w:val="18"/>
              </w:rPr>
              <w:t> </w:t>
            </w:r>
            <w:r>
              <w:rPr>
                <w:rFonts w:ascii="宋体" w:hAnsi="宋体" w:cs="宋体" w:eastAsia="宋体" w:hint="default"/>
                <w:spacing w:val="-7"/>
                <w:sz w:val="18"/>
                <w:szCs w:val="18"/>
              </w:rPr>
              <w:t>董事辞职的公告》（公告编号：</w:t>
            </w:r>
            <w:r>
              <w:rPr>
                <w:rFonts w:ascii="Times New Roman" w:hAnsi="Times New Roman" w:cs="Times New Roman" w:eastAsia="Times New Roman" w:hint="default"/>
                <w:spacing w:val="-7"/>
                <w:sz w:val="18"/>
                <w:szCs w:val="18"/>
              </w:rPr>
              <w:t>2017-061</w:t>
            </w:r>
            <w:r>
              <w:rPr>
                <w:rFonts w:ascii="宋体" w:hAnsi="宋体" w:cs="宋体" w:eastAsia="宋体" w:hint="default"/>
                <w:spacing w:val="-7"/>
                <w:sz w:val="18"/>
                <w:szCs w:val="18"/>
              </w:rPr>
              <w:t>）。翁小雄女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士的辞职在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 股东大会选举产生新任独立董事后生效。</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115"/>
        <w:ind w:right="0"/>
        <w:jc w:val="both"/>
      </w:pPr>
      <w:r>
        <w:rPr>
          <w:rFonts w:ascii="Times New Roman" w:hAnsi="Times New Roman" w:cs="Times New Roman" w:eastAsia="Times New Roman" w:hint="default"/>
        </w:rPr>
        <w:t>1</w:t>
      </w:r>
      <w:r>
        <w:rPr/>
        <w:t>、董事会成员</w:t>
      </w:r>
    </w:p>
    <w:p>
      <w:pPr>
        <w:pStyle w:val="BodyText"/>
        <w:spacing w:line="300" w:lineRule="auto" w:before="63"/>
        <w:ind w:left="513" w:right="0"/>
        <w:jc w:val="left"/>
      </w:pPr>
      <w:r>
        <w:rPr/>
        <w:t>公司现任董事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 </w:t>
      </w:r>
      <w:r>
        <w:rPr>
          <w:spacing w:val="-2"/>
        </w:rPr>
        <w:t>罗瑞发，男，</w:t>
      </w:r>
      <w:r>
        <w:rPr>
          <w:rFonts w:ascii="Times New Roman" w:hAnsi="Times New Roman" w:cs="Times New Roman" w:eastAsia="Times New Roman" w:hint="default"/>
          <w:spacing w:val="-2"/>
        </w:rPr>
        <w:t>1976</w:t>
      </w:r>
      <w:r>
        <w:rPr>
          <w:spacing w:val="-2"/>
        </w:rPr>
        <w:t>年出生，中国国籍，无境外永久居留权，硕士研究生学历，高级工程师职称。本科毕业于华南理工大</w:t>
      </w:r>
    </w:p>
    <w:p>
      <w:pPr>
        <w:pStyle w:val="BodyText"/>
        <w:spacing w:line="300" w:lineRule="auto" w:before="13"/>
        <w:ind w:left="154" w:right="1130"/>
        <w:jc w:val="both"/>
      </w:pPr>
      <w:r>
        <w:rPr>
          <w:spacing w:val="-2"/>
        </w:rPr>
        <w:t>学，交通控制专业；硕士研究生毕业于中山大学，</w:t>
      </w:r>
      <w:r>
        <w:rPr>
          <w:rFonts w:ascii="Times New Roman" w:hAnsi="Times New Roman" w:cs="Times New Roman" w:eastAsia="Times New Roman" w:hint="default"/>
          <w:spacing w:val="-2"/>
        </w:rPr>
        <w:t>EMBA</w:t>
      </w:r>
      <w:r>
        <w:rPr>
          <w:spacing w:val="-2"/>
        </w:rPr>
        <w:t>专业。曾任广州市埃特斯通讯设备有限公司部门经理（总经理助理</w:t>
      </w:r>
      <w:r>
        <w:rPr>
          <w:spacing w:val="-45"/>
        </w:rPr>
        <w:t> </w:t>
      </w:r>
      <w:r>
        <w:rPr>
          <w:spacing w:val="-45"/>
        </w:rPr>
      </w:r>
      <w:r>
        <w:rPr/>
        <w:t>级）、金溢有限总经理；现任金溢科技董事长兼总经理、深圳立尊执行董事、敏行电子执行董事。</w:t>
      </w:r>
    </w:p>
    <w:p>
      <w:pPr>
        <w:pStyle w:val="BodyText"/>
        <w:spacing w:line="300" w:lineRule="auto" w:before="31"/>
        <w:ind w:left="154" w:right="1133" w:firstLine="360"/>
        <w:jc w:val="both"/>
      </w:pPr>
      <w:r>
        <w:rPr>
          <w:spacing w:val="-2"/>
        </w:rPr>
        <w:t>李朝莉，女，</w:t>
      </w:r>
      <w:r>
        <w:rPr>
          <w:rFonts w:ascii="Times New Roman" w:hAnsi="Times New Roman" w:cs="Times New Roman" w:eastAsia="Times New Roman" w:hint="default"/>
          <w:spacing w:val="-2"/>
        </w:rPr>
        <w:t>1955</w:t>
      </w:r>
      <w:r>
        <w:rPr>
          <w:spacing w:val="-2"/>
        </w:rPr>
        <w:t>年出生，中国国籍，无境外永久居留权，初中学历。曾任金溢有限执行董事；现任金溢实业执行董事</w:t>
      </w:r>
      <w:r>
        <w:rPr/>
        <w:t> 兼经理，深圳立尊经理、金溢科技的董事。</w:t>
      </w:r>
    </w:p>
    <w:p>
      <w:pPr>
        <w:pStyle w:val="BodyText"/>
        <w:spacing w:line="309" w:lineRule="auto" w:before="31"/>
        <w:ind w:right="1131" w:firstLine="360"/>
        <w:jc w:val="both"/>
      </w:pPr>
      <w:r>
        <w:rPr>
          <w:spacing w:val="-2"/>
        </w:rPr>
        <w:t>杨成，男，</w:t>
      </w:r>
      <w:r>
        <w:rPr>
          <w:rFonts w:ascii="Times New Roman" w:hAnsi="Times New Roman" w:cs="Times New Roman" w:eastAsia="Times New Roman" w:hint="default"/>
          <w:spacing w:val="-2"/>
        </w:rPr>
        <w:t>1977</w:t>
      </w:r>
      <w:r>
        <w:rPr>
          <w:spacing w:val="-2"/>
        </w:rPr>
        <w:t>年出生，中国国籍，无境外永久居留权，硕士研究生学历，工程师职称。本科毕业于浙江大学，应用电</w:t>
      </w:r>
      <w:r>
        <w:rPr/>
        <w:t> </w:t>
      </w:r>
      <w:r>
        <w:rPr>
          <w:spacing w:val="-2"/>
        </w:rPr>
        <w:t>子技术专业；硕士毕业于清华大学，电子与通信工程专业。曾任广州市埃特斯通讯设备有限公司技术经理、金溢有限常务副</w:t>
      </w:r>
      <w:r>
        <w:rPr>
          <w:spacing w:val="-66"/>
        </w:rPr>
        <w:t> </w:t>
      </w:r>
      <w:r>
        <w:rPr>
          <w:spacing w:val="-66"/>
        </w:rPr>
      </w:r>
      <w:r>
        <w:rPr/>
        <w:t>总经理；现任金溢科技董事、常务副总经理。</w:t>
      </w:r>
    </w:p>
    <w:p>
      <w:pPr>
        <w:pStyle w:val="BodyText"/>
        <w:spacing w:line="300" w:lineRule="auto" w:before="24"/>
        <w:ind w:right="1132" w:firstLine="360"/>
        <w:jc w:val="both"/>
      </w:pPr>
      <w:r>
        <w:rPr>
          <w:spacing w:val="-2"/>
        </w:rPr>
        <w:t>郑映虹，女，</w:t>
      </w:r>
      <w:r>
        <w:rPr>
          <w:rFonts w:ascii="Times New Roman" w:hAnsi="Times New Roman" w:cs="Times New Roman" w:eastAsia="Times New Roman" w:hint="default"/>
          <w:spacing w:val="-2"/>
        </w:rPr>
        <w:t>1977</w:t>
      </w:r>
      <w:r>
        <w:rPr>
          <w:spacing w:val="-2"/>
        </w:rPr>
        <w:t>年出生，中国国籍，无境外永久居留权，本科学历，律师。毕业于中山大学，法学专业。曾任广东卓</w:t>
      </w:r>
      <w:r>
        <w:rPr/>
        <w:t> 信律师事务所律师、广东安华理达律师事务所律师、金溢有限董事会秘书；现任金溢科技董事、董事会秘书。</w:t>
      </w:r>
    </w:p>
    <w:p>
      <w:pPr>
        <w:pStyle w:val="BodyText"/>
        <w:spacing w:line="316" w:lineRule="auto" w:before="31"/>
        <w:ind w:left="513" w:right="1118"/>
        <w:jc w:val="left"/>
      </w:pPr>
      <w:r>
        <w:rPr/>
        <w:t>独立董事： </w:t>
      </w:r>
      <w:r>
        <w:rPr>
          <w:spacing w:val="-4"/>
        </w:rPr>
        <w:t>关志超，男，</w:t>
      </w:r>
      <w:r>
        <w:rPr>
          <w:rFonts w:ascii="Times New Roman" w:hAnsi="Times New Roman" w:cs="Times New Roman" w:eastAsia="Times New Roman" w:hint="default"/>
          <w:spacing w:val="-4"/>
        </w:rPr>
        <w:t>1959</w:t>
      </w:r>
      <w:r>
        <w:rPr>
          <w:spacing w:val="-4"/>
        </w:rPr>
        <w:t>年出生，中国国籍，无境外永久居留权，博士研究生学历。曾任中科院长春物理所</w:t>
      </w:r>
      <w:r>
        <w:rPr>
          <w:rFonts w:ascii="Times New Roman" w:hAnsi="Times New Roman" w:cs="Times New Roman" w:eastAsia="Times New Roman" w:hint="default"/>
          <w:spacing w:val="-4"/>
        </w:rPr>
        <w:t>202</w:t>
      </w:r>
      <w:r>
        <w:rPr>
          <w:spacing w:val="-4"/>
        </w:rPr>
        <w:t>室技术副主任，</w:t>
      </w:r>
    </w:p>
    <w:p>
      <w:pPr>
        <w:pStyle w:val="BodyText"/>
        <w:spacing w:line="316" w:lineRule="auto"/>
        <w:ind w:right="1131"/>
        <w:jc w:val="both"/>
      </w:pPr>
      <w:r>
        <w:rPr>
          <w:spacing w:val="-2"/>
        </w:rPr>
        <w:t>深圳市先科企业集团与中国人民保险公司合资公司董事总经理、（香港）航天科技电子实业公司副总经理、深圳市中兴通讯</w:t>
      </w:r>
      <w:r>
        <w:rPr>
          <w:spacing w:val="-65"/>
        </w:rPr>
        <w:t> </w:t>
      </w:r>
      <w:r>
        <w:rPr>
          <w:spacing w:val="-65"/>
        </w:rPr>
      </w:r>
      <w:r>
        <w:rPr>
          <w:spacing w:val="-2"/>
        </w:rPr>
        <w:t>股份有限公司智能化负责人、中国电信深圳公司通信网络分公司技术总监、深圳市城市交通规划研究中心副总工程师、深圳</w:t>
      </w:r>
      <w:r>
        <w:rPr>
          <w:spacing w:val="-66"/>
        </w:rPr>
        <w:t> </w:t>
      </w:r>
      <w:r>
        <w:rPr>
          <w:spacing w:val="-66"/>
        </w:rPr>
      </w:r>
      <w:r>
        <w:rPr/>
        <w:t>市易行网交通科技有限公司董事</w:t>
      </w:r>
      <w:r>
        <w:rPr>
          <w:spacing w:val="-19"/>
        </w:rPr>
        <w:t> </w:t>
      </w:r>
      <w:r>
        <w:rPr/>
        <w:t>总经理；现任深圳市综合交通运行指挥中心总工程师，金溢科技独立董事。</w:t>
      </w:r>
    </w:p>
    <w:p>
      <w:pPr>
        <w:pStyle w:val="BodyText"/>
        <w:spacing w:line="314" w:lineRule="auto" w:before="19"/>
        <w:ind w:right="1130" w:firstLine="360"/>
        <w:jc w:val="both"/>
      </w:pPr>
      <w:r>
        <w:rPr>
          <w:spacing w:val="-5"/>
        </w:rPr>
        <w:t>许岳明，男，</w:t>
      </w:r>
      <w:r>
        <w:rPr>
          <w:rFonts w:ascii="Times New Roman" w:hAnsi="Times New Roman" w:cs="Times New Roman" w:eastAsia="Times New Roman" w:hint="default"/>
          <w:spacing w:val="-5"/>
        </w:rPr>
        <w:t>1973</w:t>
      </w:r>
      <w:r>
        <w:rPr>
          <w:spacing w:val="-5"/>
        </w:rPr>
        <w:t>年出生，中国国籍，无境外永久居留权，本科学历，中国注册会计师、中国注册税务师、高级会计师，</w:t>
      </w:r>
      <w:r>
        <w:rPr/>
        <w:t> </w:t>
      </w:r>
      <w:r>
        <w:rPr>
          <w:spacing w:val="-2"/>
        </w:rPr>
        <w:t>曾任深圳赛格三星股份有限公司主办会计、深圳中华会计师事务所高级经理、深圳信隆实业股份有限公司财务经理与证券事</w:t>
      </w:r>
      <w:r>
        <w:rPr>
          <w:spacing w:val="-64"/>
        </w:rPr>
        <w:t> </w:t>
      </w:r>
      <w:r>
        <w:rPr>
          <w:spacing w:val="-64"/>
        </w:rPr>
      </w:r>
      <w:r>
        <w:rPr>
          <w:spacing w:val="-2"/>
        </w:rPr>
        <w:t>务代表、深圳市裕同印刷包装有限公司财务总监、宝德科技集团股份有限公司财务总监与董事会秘书、非执行董事、深圳中</w:t>
      </w:r>
      <w:r>
        <w:rPr>
          <w:spacing w:val="-66"/>
        </w:rPr>
        <w:t> </w:t>
      </w:r>
      <w:r>
        <w:rPr>
          <w:spacing w:val="-66"/>
        </w:rPr>
      </w:r>
      <w:r>
        <w:rPr>
          <w:spacing w:val="-2"/>
        </w:rPr>
        <w:t>青宝互动网络股份有限公司副总经理、财务总监、董事会秘书；现任深圳市沃尔核材股份有限公司董事、深圳市宝德计算机</w:t>
      </w:r>
      <w:r>
        <w:rPr>
          <w:spacing w:val="-66"/>
        </w:rPr>
        <w:t> </w:t>
      </w:r>
      <w:r>
        <w:rPr>
          <w:spacing w:val="-66"/>
        </w:rPr>
      </w:r>
      <w:r>
        <w:rPr/>
        <w:t>系统有限公司副总经理、财务总监，金溢科技独立董事。</w:t>
      </w:r>
    </w:p>
    <w:p>
      <w:pPr>
        <w:pStyle w:val="BodyText"/>
        <w:spacing w:line="300" w:lineRule="auto" w:before="20"/>
        <w:ind w:right="1131" w:firstLine="360"/>
        <w:jc w:val="both"/>
      </w:pPr>
      <w:r>
        <w:rPr/>
        <w:t>向吉英，于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日起担任公司第二届董事会独立董事。男，</w:t>
      </w:r>
      <w:r>
        <w:rPr>
          <w:rFonts w:ascii="Times New Roman" w:hAnsi="Times New Roman" w:cs="Times New Roman" w:eastAsia="Times New Roman" w:hint="default"/>
        </w:rPr>
        <w:t>1965</w:t>
      </w:r>
      <w:r>
        <w:rPr/>
        <w:t>年出生，中国国籍，无境外永久居留权，博士 </w:t>
      </w:r>
      <w:r>
        <w:rPr>
          <w:spacing w:val="-2"/>
        </w:rPr>
        <w:t>研究生学历。曾任湖南省龙山电力公司技术员、湖南省社会科学院助理研究员、招商局蛇口工业区有限公司高级经理、招商</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18"/>
        <w:jc w:val="left"/>
      </w:pPr>
      <w:r>
        <w:rPr>
          <w:spacing w:val="-2"/>
        </w:rPr>
        <w:t>局集团有限公司重大项目办公室高级经理、招商局集团驻越南办事处高级经理；现任深圳职业技术学院教授、金溢科技独立</w:t>
      </w:r>
      <w:r>
        <w:rPr>
          <w:spacing w:val="-66"/>
        </w:rPr>
        <w:t> </w:t>
      </w:r>
      <w:r>
        <w:rPr>
          <w:spacing w:val="-66"/>
        </w:rPr>
      </w:r>
      <w:r>
        <w:rPr/>
        <w:t>董事。</w:t>
      </w:r>
    </w:p>
    <w:p>
      <w:pPr>
        <w:pStyle w:val="BodyText"/>
        <w:spacing w:line="300" w:lineRule="auto" w:before="19"/>
        <w:ind w:right="7333"/>
        <w:jc w:val="left"/>
      </w:pPr>
      <w:r>
        <w:rPr>
          <w:rFonts w:ascii="Times New Roman" w:hAnsi="Times New Roman" w:cs="Times New Roman" w:eastAsia="Times New Roman" w:hint="default"/>
        </w:rPr>
        <w:t>2</w:t>
      </w:r>
      <w:r>
        <w:rPr/>
        <w:t>、监事会成员 公司现任监事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w:t>
      </w:r>
    </w:p>
    <w:p>
      <w:pPr>
        <w:pStyle w:val="BodyText"/>
        <w:spacing w:line="312" w:lineRule="auto" w:before="13"/>
        <w:ind w:right="1131" w:firstLine="360"/>
        <w:jc w:val="both"/>
      </w:pPr>
      <w:r>
        <w:rPr>
          <w:spacing w:val="-2"/>
        </w:rPr>
        <w:t>周海荣，男，</w:t>
      </w:r>
      <w:r>
        <w:rPr>
          <w:rFonts w:ascii="Times New Roman" w:hAnsi="Times New Roman" w:cs="Times New Roman" w:eastAsia="Times New Roman" w:hint="default"/>
          <w:spacing w:val="-2"/>
        </w:rPr>
        <w:t>1963</w:t>
      </w:r>
      <w:r>
        <w:rPr>
          <w:spacing w:val="-2"/>
        </w:rPr>
        <w:t>年出生，中国国籍，无境外永久居留权，博士研究生学历。毕业于武汉大学，国际私法专业。曾任深</w:t>
      </w:r>
      <w:r>
        <w:rPr/>
        <w:t> </w:t>
      </w:r>
      <w:r>
        <w:rPr>
          <w:spacing w:val="-2"/>
        </w:rPr>
        <w:t>圳市深华集团公司审计监察部副部长、法律部部长、深圳华业律师事务所合伙人律师、主任；现任广东晟典律师事务所高级</w:t>
      </w:r>
      <w:r>
        <w:rPr>
          <w:spacing w:val="-66"/>
        </w:rPr>
        <w:t> </w:t>
      </w:r>
      <w:r>
        <w:rPr>
          <w:spacing w:val="-66"/>
        </w:rPr>
      </w:r>
      <w:r>
        <w:rPr>
          <w:spacing w:val="-2"/>
        </w:rPr>
        <w:t>合伙人、深圳市政府法制办公室专家咨询委员会委员、中国国际私法协会理事、深圳仲裁委员会仲裁员、金溢科技监事会主</w:t>
      </w:r>
      <w:r>
        <w:rPr>
          <w:spacing w:val="-66"/>
        </w:rPr>
        <w:t> </w:t>
      </w:r>
      <w:r>
        <w:rPr>
          <w:spacing w:val="-66"/>
        </w:rPr>
      </w:r>
      <w:r>
        <w:rPr/>
        <w:t>席。</w:t>
      </w:r>
    </w:p>
    <w:p>
      <w:pPr>
        <w:pStyle w:val="BodyText"/>
        <w:spacing w:line="300" w:lineRule="auto" w:before="22"/>
        <w:ind w:right="1132" w:firstLine="360"/>
        <w:jc w:val="both"/>
      </w:pPr>
      <w:r>
        <w:rPr>
          <w:spacing w:val="-2"/>
        </w:rPr>
        <w:t>甘云龙，男，</w:t>
      </w:r>
      <w:r>
        <w:rPr>
          <w:rFonts w:ascii="Times New Roman" w:hAnsi="Times New Roman" w:cs="Times New Roman" w:eastAsia="Times New Roman" w:hint="default"/>
          <w:spacing w:val="-2"/>
        </w:rPr>
        <w:t>1975</w:t>
      </w:r>
      <w:r>
        <w:rPr>
          <w:spacing w:val="-2"/>
        </w:rPr>
        <w:t>年出生，中国国籍，无境外永久居留权，本科学历。毕业于吉林大学，电子信息工程专业。曾任金溢</w:t>
      </w:r>
      <w:r>
        <w:rPr/>
        <w:t> 有限高级总监；现任金溢科技管理中心总经理、监事。</w:t>
      </w:r>
    </w:p>
    <w:p>
      <w:pPr>
        <w:pStyle w:val="BodyText"/>
        <w:spacing w:line="309" w:lineRule="auto" w:before="31"/>
        <w:ind w:right="1118" w:firstLine="360"/>
        <w:jc w:val="left"/>
      </w:pPr>
      <w:r>
        <w:rPr>
          <w:spacing w:val="-2"/>
        </w:rPr>
        <w:t>钟勇，男，</w:t>
      </w:r>
      <w:r>
        <w:rPr>
          <w:rFonts w:ascii="Times New Roman" w:hAnsi="Times New Roman" w:cs="Times New Roman" w:eastAsia="Times New Roman" w:hint="default"/>
          <w:spacing w:val="-2"/>
        </w:rPr>
        <w:t>1978</w:t>
      </w:r>
      <w:r>
        <w:rPr>
          <w:spacing w:val="-2"/>
        </w:rPr>
        <w:t>年出生，中国国籍，无境外永久居留权，本科学历。毕业于电子科技大学，物理电子技术专业。曾任金</w:t>
      </w:r>
      <w:r>
        <w:rPr/>
        <w:t> 溢有限广州分公司部门经理；现任金溢科技技术中心部门研发项目经理、金溢科技监事（职工代表监事）。 </w:t>
      </w:r>
      <w:r>
        <w:rPr>
          <w:rFonts w:ascii="Times New Roman" w:hAnsi="Times New Roman" w:cs="Times New Roman" w:eastAsia="Times New Roman" w:hint="default"/>
        </w:rPr>
        <w:t>3</w:t>
      </w:r>
      <w:r>
        <w:rPr/>
        <w:t>、高级管理人员</w:t>
      </w:r>
    </w:p>
    <w:p>
      <w:pPr>
        <w:pStyle w:val="BodyText"/>
        <w:spacing w:line="300" w:lineRule="auto" w:before="5"/>
        <w:ind w:left="513" w:right="4183"/>
        <w:jc w:val="left"/>
      </w:pPr>
      <w:r>
        <w:rPr/>
        <w:t>公司高级管理人员包括总经理，副总经理，财务负责人及董事会秘书，共</w:t>
      </w:r>
      <w:r>
        <w:rPr>
          <w:rFonts w:ascii="Times New Roman" w:hAnsi="Times New Roman" w:cs="Times New Roman" w:eastAsia="Times New Roman" w:hint="default"/>
        </w:rPr>
        <w:t>7</w:t>
      </w:r>
      <w:r>
        <w:rPr/>
        <w:t>人。 罗瑞发，总经理，参见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杨成，常务副总经理，参见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300" w:lineRule="auto" w:before="13"/>
        <w:ind w:right="1130" w:firstLine="360"/>
        <w:jc w:val="both"/>
      </w:pPr>
      <w:r>
        <w:rPr>
          <w:spacing w:val="-5"/>
        </w:rPr>
        <w:t>王明宽，副总经理，男，</w:t>
      </w:r>
      <w:r>
        <w:rPr>
          <w:rFonts w:ascii="Times New Roman" w:hAnsi="Times New Roman" w:cs="Times New Roman" w:eastAsia="Times New Roman" w:hint="default"/>
          <w:spacing w:val="-5"/>
        </w:rPr>
        <w:t>1970</w:t>
      </w:r>
      <w:r>
        <w:rPr>
          <w:spacing w:val="-5"/>
        </w:rPr>
        <w:t>年出生，中国国籍，无境外永久居留权，大专学历。曾任珠海中业信托有限公司投资经理，</w:t>
      </w:r>
      <w:r>
        <w:rPr/>
        <w:t> 金溢有限监事、副总经理；现任金溢科技副总经理。</w:t>
      </w:r>
    </w:p>
    <w:p>
      <w:pPr>
        <w:pStyle w:val="BodyText"/>
        <w:spacing w:line="300" w:lineRule="auto" w:before="31"/>
        <w:ind w:right="1133" w:firstLine="360"/>
        <w:jc w:val="both"/>
      </w:pPr>
      <w:r>
        <w:rPr>
          <w:spacing w:val="-2"/>
        </w:rPr>
        <w:t>蔡福春，副总经理，男，</w:t>
      </w:r>
      <w:r>
        <w:rPr>
          <w:rFonts w:ascii="Times New Roman" w:hAnsi="Times New Roman" w:cs="Times New Roman" w:eastAsia="Times New Roman" w:hint="default"/>
          <w:spacing w:val="-2"/>
        </w:rPr>
        <w:t>1979</w:t>
      </w:r>
      <w:r>
        <w:rPr>
          <w:spacing w:val="-2"/>
        </w:rPr>
        <w:t>年出生，中国国籍，无境外永久居留权，本科学历。曾任广州市天时和科技发展有限公司</w:t>
      </w:r>
      <w:r>
        <w:rPr/>
        <w:t> 销售工程师，金溢有限副总经理；现任金溢科技副总经理。</w:t>
      </w:r>
    </w:p>
    <w:p>
      <w:pPr>
        <w:pStyle w:val="BodyText"/>
        <w:spacing w:line="309" w:lineRule="auto" w:before="31"/>
        <w:ind w:left="154" w:right="1131" w:firstLine="360"/>
        <w:jc w:val="both"/>
      </w:pPr>
      <w:r>
        <w:rPr>
          <w:spacing w:val="-2"/>
        </w:rPr>
        <w:t>刘咏平，副总经理，男，</w:t>
      </w:r>
      <w:r>
        <w:rPr>
          <w:rFonts w:ascii="Times New Roman" w:hAnsi="Times New Roman" w:cs="Times New Roman" w:eastAsia="Times New Roman" w:hint="default"/>
          <w:spacing w:val="-2"/>
        </w:rPr>
        <w:t>1974</w:t>
      </w:r>
      <w:r>
        <w:rPr>
          <w:spacing w:val="-2"/>
        </w:rPr>
        <w:t>年出生，中国国籍，无境外永久居留权，高级工程师，博士研究生学历。曾任广州市埃特</w:t>
      </w:r>
      <w:r>
        <w:rPr/>
        <w:t> </w:t>
      </w:r>
      <w:r>
        <w:rPr>
          <w:spacing w:val="-2"/>
        </w:rPr>
        <w:t>斯通讯设备有限公司高级技术经理，金溢有限部门经理、总工程师，现任金溢科技副总经理、兼任中国智能交通标准化委员</w:t>
      </w:r>
      <w:r>
        <w:rPr>
          <w:spacing w:val="-66"/>
        </w:rPr>
        <w:t> </w:t>
      </w:r>
      <w:r>
        <w:rPr>
          <w:spacing w:val="-66"/>
        </w:rPr>
      </w:r>
      <w:r>
        <w:rPr/>
        <w:t>会电子收费专家组通讯委员。</w:t>
      </w:r>
    </w:p>
    <w:p>
      <w:pPr>
        <w:pStyle w:val="BodyText"/>
        <w:spacing w:line="309" w:lineRule="auto" w:before="24"/>
        <w:ind w:left="154" w:right="1132" w:firstLine="360"/>
        <w:jc w:val="both"/>
      </w:pPr>
      <w:r>
        <w:rPr>
          <w:spacing w:val="-2"/>
        </w:rPr>
        <w:t>刘厚军，财务总监，男，</w:t>
      </w:r>
      <w:r>
        <w:rPr>
          <w:rFonts w:ascii="Times New Roman" w:hAnsi="Times New Roman" w:cs="Times New Roman" w:eastAsia="Times New Roman" w:hint="default"/>
          <w:spacing w:val="-2"/>
        </w:rPr>
        <w:t>1972</w:t>
      </w:r>
      <w:r>
        <w:rPr>
          <w:spacing w:val="-2"/>
        </w:rPr>
        <w:t>年出生，中国国籍，无境外永久居留权，本科学历，注册会计师、中级会计师职称。曾任</w:t>
      </w:r>
      <w:r>
        <w:rPr/>
        <w:t> </w:t>
      </w:r>
      <w:r>
        <w:rPr>
          <w:spacing w:val="-2"/>
        </w:rPr>
        <w:t>中国南玻集团股份有限公司财务管理部主任、子公司财务经理，深圳市华景企业管理咨询有限公司高级顾问，深圳新宙邦科</w:t>
      </w:r>
      <w:r>
        <w:rPr>
          <w:spacing w:val="-66"/>
        </w:rPr>
        <w:t> </w:t>
      </w:r>
      <w:r>
        <w:rPr>
          <w:spacing w:val="-66"/>
        </w:rPr>
      </w:r>
      <w:r>
        <w:rPr/>
        <w:t>技股份有限公司财务经理，金溢有限财务总监；现任金溢科技财务总监。</w:t>
      </w:r>
    </w:p>
    <w:p>
      <w:pPr>
        <w:pStyle w:val="BodyText"/>
        <w:spacing w:line="340" w:lineRule="auto" w:before="24"/>
        <w:ind w:left="154" w:right="6992" w:firstLine="360"/>
        <w:jc w:val="left"/>
      </w:pPr>
      <w:r>
        <w:rPr/>
        <w:t>郑映虹，董事会秘书，参见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在股东单位任职情况</w:t>
      </w:r>
    </w:p>
    <w:p>
      <w:pPr>
        <w:pStyle w:val="BodyText"/>
        <w:spacing w:line="240" w:lineRule="auto" w:before="41"/>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235"/>
        <w:jc w:val="left"/>
      </w:pPr>
      <w:r>
        <w:rPr/>
        <w:t>在其他单位任职情况</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深圳立尊科技有限公司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广东省交通车联网（金溢）工程技术研究</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工程中心主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广州市铂金科技合伙企业（有限合伙）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深圳市金溢实业有限公司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深圳市综合交通运行指挥中心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副总经理、财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务总监、董秘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副总经理、财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深圳市沃尔核材股份有限公司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深圳职业技术学院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广东晟典律师事务所</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中国智能交通标准化委员会电子收费专 家组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通讯委员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235"/>
        <w:jc w:val="left"/>
      </w:pPr>
      <w:r>
        <w:rPr/>
        <w:t>公司现任及报告期内离任董事、监事和高级管理人员近三年证券监管机构处罚的情况</w:t>
      </w:r>
    </w:p>
    <w:p>
      <w:pPr>
        <w:pStyle w:val="BodyText"/>
        <w:spacing w:line="240" w:lineRule="auto" w:before="117"/>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董事、监事、高级管理人员报酬的决策程序、确定依据、实际支付情况</w:t>
      </w:r>
    </w:p>
    <w:p>
      <w:pPr>
        <w:pStyle w:val="BodyText"/>
        <w:spacing w:line="309" w:lineRule="auto" w:before="115"/>
        <w:ind w:left="154" w:right="1132" w:firstLine="360"/>
        <w:jc w:val="both"/>
      </w:pPr>
      <w:r>
        <w:rPr>
          <w:rFonts w:ascii="Times New Roman" w:hAnsi="Times New Roman" w:cs="Times New Roman" w:eastAsia="Times New Roman" w:hint="default"/>
        </w:rPr>
        <w:t>1</w:t>
      </w:r>
      <w:r>
        <w:rPr/>
        <w:t>、在公司任职的董事（非独立董事）、监事和高级管理人员按其行政岗位及职务，根据公司现行薪酬制度领取薪酬， </w:t>
      </w:r>
      <w:r>
        <w:rPr>
          <w:spacing w:val="-2"/>
        </w:rPr>
        <w:t>年底根据企业效益、高管本人的贡献系数和年度绩效考核系数共同决定年度绩效奖金。董事李朝莉女士因未在公司任职，不</w:t>
      </w:r>
      <w:r>
        <w:rPr>
          <w:spacing w:val="-65"/>
        </w:rPr>
        <w:t> </w:t>
      </w:r>
      <w:r>
        <w:rPr>
          <w:spacing w:val="-65"/>
        </w:rPr>
      </w:r>
      <w:r>
        <w:rPr/>
        <w:t>领取报酬。</w:t>
      </w:r>
    </w:p>
    <w:p>
      <w:pPr>
        <w:pStyle w:val="BodyText"/>
        <w:spacing w:line="240" w:lineRule="auto" w:before="24"/>
        <w:ind w:left="514" w:right="0"/>
        <w:jc w:val="left"/>
      </w:pPr>
      <w:r>
        <w:rPr>
          <w:rFonts w:ascii="Times New Roman" w:hAnsi="Times New Roman" w:cs="Times New Roman" w:eastAsia="Times New Roman" w:hint="default"/>
        </w:rPr>
        <w:t>2</w:t>
      </w: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2014</w:t>
      </w:r>
      <w:r>
        <w:rPr/>
        <w:t>年第一次临时股东大会审议通过，独立董事津贴为每年税前人民币</w:t>
      </w:r>
      <w:r>
        <w:rPr>
          <w:rFonts w:ascii="Times New Roman" w:hAnsi="Times New Roman" w:cs="Times New Roman" w:eastAsia="Times New Roman" w:hint="default"/>
        </w:rPr>
        <w:t>6</w:t>
      </w:r>
      <w:r>
        <w:rPr/>
        <w:t>万元（含税），监事</w:t>
      </w:r>
    </w:p>
    <w:p>
      <w:pPr>
        <w:pStyle w:val="BodyText"/>
        <w:spacing w:line="300" w:lineRule="auto" w:before="63"/>
        <w:ind w:left="513" w:right="1123" w:hanging="360"/>
        <w:jc w:val="left"/>
      </w:pPr>
      <w:r>
        <w:rPr/>
        <w:t>（不包括在公司任职的监事）津贴为每年税前人民币</w:t>
      </w:r>
      <w:r>
        <w:rPr>
          <w:rFonts w:ascii="Times New Roman" w:hAnsi="Times New Roman" w:cs="Times New Roman" w:eastAsia="Times New Roman" w:hint="default"/>
        </w:rPr>
        <w:t>6</w:t>
      </w:r>
      <w:r>
        <w:rPr/>
        <w:t>万元（含税）。 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日第二届董事会第十次会议和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2018</w:t>
      </w:r>
      <w:r>
        <w:rPr/>
        <w:t>年第一次临时股东大会决议有关内容，翁小雄</w:t>
      </w:r>
    </w:p>
    <w:p>
      <w:pPr>
        <w:pStyle w:val="BodyText"/>
        <w:spacing w:line="319" w:lineRule="auto" w:before="13"/>
        <w:ind w:right="0"/>
        <w:jc w:val="left"/>
      </w:pPr>
      <w:r>
        <w:rPr>
          <w:spacing w:val="-2"/>
        </w:rPr>
        <w:t>女士离任独立董事，选举向吉英先生为第二届董事会独立董事，任期与第二届董事会相同。翁小雄女士在报告期内为公司独</w:t>
      </w:r>
      <w:r>
        <w:rPr>
          <w:spacing w:val="-65"/>
        </w:rPr>
        <w:t> </w:t>
      </w:r>
      <w:r>
        <w:rPr>
          <w:spacing w:val="-65"/>
        </w:rPr>
      </w:r>
      <w:r>
        <w:rPr/>
        <w:t>立董事，按规定领取独立董事津贴。</w:t>
      </w:r>
    </w:p>
    <w:p>
      <w:pPr>
        <w:pStyle w:val="BodyText"/>
        <w:spacing w:line="360" w:lineRule="auto" w:before="17"/>
        <w:ind w:left="154" w:right="6792" w:firstLine="360"/>
        <w:jc w:val="left"/>
      </w:pPr>
      <w:r>
        <w:rPr/>
        <w:t>上述人员报酬已按期发放。 公司报告期内董事、监事和高级管理人员报酬情况</w:t>
      </w:r>
    </w:p>
    <w:p>
      <w:pPr>
        <w:pStyle w:val="BodyText"/>
        <w:spacing w:line="240" w:lineRule="auto" w:before="27"/>
        <w:ind w:left="0" w:right="1130"/>
        <w:jc w:val="right"/>
      </w:pPr>
      <w:r>
        <w:rPr/>
        <w:t>单位：万元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235"/>
        <w:jc w:val="left"/>
      </w:pPr>
      <w:r>
        <w:rPr/>
        <w:t>公司董事、高级管理人员报告期内被授予的股权激励情况</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r>
    </w:tbl>
    <w:p>
      <w:pPr>
        <w:spacing w:line="240" w:lineRule="auto" w:before="2"/>
        <w:rPr>
          <w:rFonts w:ascii="宋体" w:hAnsi="宋体" w:cs="宋体" w:eastAsia="宋体" w:hint="default"/>
          <w:b/>
          <w:bCs/>
          <w:sz w:val="19"/>
          <w:szCs w:val="19"/>
        </w:rPr>
      </w:pPr>
    </w:p>
    <w:p>
      <w:pPr>
        <w:pStyle w:val="Heading3"/>
        <w:spacing w:line="240" w:lineRule="auto" w:before="35"/>
        <w:ind w:right="1235"/>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spacing w:val="-2"/>
        </w:rPr>
        <w:t>公司严格遵守《劳动法》、《劳动合同法》等法律法规，建立了完善的人力资源管理制度和流程，规范用工，切实保护</w:t>
      </w:r>
      <w:r>
        <w:rPr/>
        <w:t> 员工的权益。</w:t>
      </w:r>
    </w:p>
    <w:p>
      <w:pPr>
        <w:pStyle w:val="BodyText"/>
        <w:spacing w:line="316" w:lineRule="auto" w:before="19"/>
        <w:ind w:left="154" w:right="1131" w:firstLine="360"/>
        <w:jc w:val="both"/>
      </w:pPr>
      <w:r>
        <w:rPr>
          <w:spacing w:val="-2"/>
        </w:rPr>
        <w:t>公司遵循市场化原则，建立了具备市场竞争力的薪酬激励机制。公司的薪酬体系主要包括基本工资、岗位工资和绩效工</w:t>
      </w:r>
      <w:r>
        <w:rPr/>
        <w:t> </w:t>
      </w:r>
      <w:r>
        <w:rPr>
          <w:spacing w:val="-5"/>
        </w:rPr>
        <w:t>资三大方面，坚持公司与员工共同发展的原则，为员工提供公平和有竞争力的福利待遇，严格遵照劳动法及劳动合同法规定，</w:t>
      </w:r>
      <w:r>
        <w:rPr>
          <w:spacing w:val="-79"/>
        </w:rPr>
        <w:t> </w:t>
      </w:r>
      <w:r>
        <w:rPr>
          <w:spacing w:val="-79"/>
        </w:rPr>
      </w:r>
      <w:r>
        <w:rPr/>
        <w:t>实行对全体员工劳动合同制，公司员工的工资、福利和劳动保护均按照国家和地方政府的有关规定执行。</w:t>
      </w:r>
    </w:p>
    <w:p>
      <w:pPr>
        <w:pStyle w:val="BodyText"/>
        <w:spacing w:line="319" w:lineRule="auto" w:before="19"/>
        <w:ind w:left="154" w:right="1133" w:firstLine="360"/>
        <w:jc w:val="both"/>
      </w:pPr>
      <w:r>
        <w:rPr>
          <w:spacing w:val="-2"/>
        </w:rPr>
        <w:t>公司积极探索并不断深化薪酬激励机制，未来将根据市场情况和行业发展趋势，对其进行适时调整，以不断提升公司人</w:t>
      </w:r>
      <w:r>
        <w:rPr/>
        <w:t> 才竞争优势。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235"/>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9" w:firstLine="360"/>
        <w:jc w:val="both"/>
      </w:pPr>
      <w:r>
        <w:rPr>
          <w:spacing w:val="-6"/>
        </w:rPr>
        <w:t>公司注重员工培养和人才储备，制定了《人才培养手册》，建立了完善的培训体系，以新员工入职培训、企业内部培训、</w:t>
      </w:r>
      <w:r>
        <w:rPr/>
        <w:t> </w:t>
      </w:r>
      <w:r>
        <w:rPr>
          <w:spacing w:val="-2"/>
        </w:rPr>
        <w:t>外部培训、委托培训、内部交流、岗位辅导、外出参观和对外交流、员工自学等多种形式，提升全体员工岗位技能和专业知</w:t>
      </w:r>
      <w:r>
        <w:rPr>
          <w:spacing w:val="-68"/>
        </w:rPr>
        <w:t> </w:t>
      </w:r>
      <w:r>
        <w:rPr>
          <w:spacing w:val="-68"/>
        </w:rPr>
      </w:r>
      <w:r>
        <w:rPr>
          <w:spacing w:val="-5"/>
        </w:rPr>
        <w:t>识。公司每年会结合公司战略、年度工作重点及各层级员工培训需求调研结果拟定年度培训计划，设置不同类别的培训课程，</w:t>
      </w:r>
      <w:r>
        <w:rPr>
          <w:spacing w:val="-79"/>
        </w:rPr>
        <w:t> </w:t>
      </w:r>
      <w:r>
        <w:rPr>
          <w:spacing w:val="-79"/>
        </w:rPr>
      </w:r>
      <w:r>
        <w:rPr/>
        <w:t>以保证公司业务发展对各层级员工发展的需要。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235"/>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报告期内，公司严格按照《公司法》、《证券法》、《上市公司治理准则》、《深圳证券交易所股票上市规则》、《深</w:t>
      </w:r>
      <w:r>
        <w:rPr/>
        <w:t> </w:t>
      </w:r>
      <w:r>
        <w:rPr>
          <w:spacing w:val="-2"/>
        </w:rPr>
        <w:t>圳证券交易所中小板上市公司规范运作指引》等法律法规、规范性文件的要求，不断完善公司治理结构，建立健全内部管理</w:t>
      </w:r>
      <w:r>
        <w:rPr>
          <w:spacing w:val="-66"/>
        </w:rPr>
        <w:t> </w:t>
      </w:r>
      <w:r>
        <w:rPr>
          <w:spacing w:val="-66"/>
        </w:rPr>
      </w:r>
      <w:r>
        <w:rPr>
          <w:spacing w:val="-5"/>
        </w:rPr>
        <w:t>和控制制度，进一步提高公司治理水平。截至报告期末，公司治理的实际状况符合前述有关上市公司治理的法律文件的要求，</w:t>
      </w:r>
      <w:r>
        <w:rPr>
          <w:spacing w:val="-79"/>
        </w:rPr>
        <w:t> </w:t>
      </w:r>
      <w:r>
        <w:rPr>
          <w:spacing w:val="-79"/>
        </w:rPr>
      </w:r>
      <w:r>
        <w:rPr/>
        <w:t>不存在尚未解决的治理问题。</w:t>
      </w:r>
    </w:p>
    <w:p>
      <w:pPr>
        <w:pStyle w:val="BodyText"/>
        <w:spacing w:line="300" w:lineRule="auto" w:before="19"/>
        <w:ind w:left="513" w:right="0" w:firstLine="1"/>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报告期内，公司严格按照《上市公司股东大会规则》、《公司章程》和《股东大会议事规则》等的规定和要求召集、召</w:t>
      </w:r>
    </w:p>
    <w:p>
      <w:pPr>
        <w:pStyle w:val="BodyText"/>
        <w:spacing w:line="312" w:lineRule="auto" w:before="31"/>
        <w:ind w:right="1131"/>
        <w:jc w:val="both"/>
      </w:pPr>
      <w:r>
        <w:rPr>
          <w:spacing w:val="-2"/>
        </w:rPr>
        <w:t>开股东大会，并聘请律师对股东大会召集、召开程序的合法性、合规性出具法律意见书，确保全体股东特别是中小股东享有</w:t>
      </w:r>
      <w:r>
        <w:rPr>
          <w:spacing w:val="-66"/>
        </w:rPr>
        <w:t> </w:t>
      </w:r>
      <w:r>
        <w:rPr>
          <w:spacing w:val="-66"/>
        </w:rPr>
      </w:r>
      <w:r>
        <w:rPr/>
        <w:t>平等地位，充分行使自己的权利。报告期内召开的</w:t>
      </w:r>
      <w:r>
        <w:rPr>
          <w:rFonts w:ascii="Times New Roman" w:hAnsi="Times New Roman" w:cs="Times New Roman" w:eastAsia="Times New Roman" w:hint="default"/>
        </w:rPr>
        <w:t>4</w:t>
      </w:r>
      <w:r>
        <w:rPr/>
        <w:t>次股东大会均由公司董事会召集、召开，出席股东大会的人员资格及股 </w:t>
      </w:r>
      <w:r>
        <w:rPr>
          <w:spacing w:val="-2"/>
        </w:rPr>
        <w:t>东大会的召开和表决程序合法。根据相关法律法规及《公司章程》的规定应由股东大会表决的事项均按照相应的权限审批后</w:t>
      </w:r>
      <w:r>
        <w:rPr>
          <w:spacing w:val="-66"/>
        </w:rPr>
        <w:t> </w:t>
      </w:r>
      <w:r>
        <w:rPr>
          <w:spacing w:val="-66"/>
        </w:rPr>
      </w:r>
      <w:r>
        <w:rPr/>
        <w:t>提交股东大会审议，不存在越权审批或先实施后审议的情况。</w:t>
      </w:r>
    </w:p>
    <w:p>
      <w:pPr>
        <w:pStyle w:val="BodyText"/>
        <w:spacing w:line="300" w:lineRule="auto" w:before="22"/>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、关于董事和董事会</w:t>
      </w:r>
      <w:r>
        <w:rPr>
          <w:rFonts w:ascii="宋体" w:hAnsi="宋体" w:cs="宋体" w:eastAsia="宋体" w:hint="default"/>
          <w:b/>
          <w:bCs/>
          <w:w w:val="99"/>
        </w:rPr>
        <w:t> </w:t>
      </w:r>
      <w:r>
        <w:rPr>
          <w:spacing w:val="-2"/>
        </w:rPr>
        <w:t>报告期内，公司共召开</w:t>
      </w:r>
      <w:r>
        <w:rPr>
          <w:rFonts w:ascii="Times New Roman" w:hAnsi="Times New Roman" w:cs="Times New Roman" w:eastAsia="Times New Roman" w:hint="default"/>
          <w:spacing w:val="-2"/>
        </w:rPr>
        <w:t>12</w:t>
      </w:r>
      <w:r>
        <w:rPr>
          <w:spacing w:val="-2"/>
        </w:rPr>
        <w:t>次董事会。公司目前有董事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名，占全体董事的三分之一，董事会的人数及</w:t>
      </w:r>
    </w:p>
    <w:p>
      <w:pPr>
        <w:pStyle w:val="BodyText"/>
        <w:spacing w:line="316" w:lineRule="auto" w:before="13"/>
        <w:ind w:left="154" w:right="1130"/>
        <w:jc w:val="both"/>
      </w:pPr>
      <w:r>
        <w:rPr>
          <w:spacing w:val="-2"/>
        </w:rPr>
        <w:t>人员构成符合法律法规和《公司章程》的要求；董事会下设战略发展及投资审查、薪酬与考核、审计及预算审核、提名四个</w:t>
      </w:r>
      <w:r>
        <w:rPr>
          <w:spacing w:val="-68"/>
        </w:rPr>
        <w:t> </w:t>
      </w:r>
      <w:r>
        <w:rPr>
          <w:spacing w:val="-68"/>
        </w:rPr>
      </w:r>
      <w:r>
        <w:rPr>
          <w:spacing w:val="-2"/>
        </w:rPr>
        <w:t>专门委员会，各专门委员会的人员构成均符合有关法律法规的规定；公司全体董事能够按照《深圳证券交易所中小板上市公</w:t>
      </w:r>
      <w:r>
        <w:rPr>
          <w:spacing w:val="-66"/>
        </w:rPr>
        <w:t> </w:t>
      </w:r>
      <w:r>
        <w:rPr>
          <w:spacing w:val="-66"/>
        </w:rPr>
      </w:r>
      <w:r>
        <w:rPr/>
        <w:t>司规范运作指引》、《公司章程》和《董事会议事规则》等的要求开展工作，依法出席董事会和股东大会。</w:t>
      </w:r>
    </w:p>
    <w:p>
      <w:pPr>
        <w:pStyle w:val="BodyText"/>
        <w:spacing w:line="300" w:lineRule="auto" w:before="19"/>
        <w:ind w:left="587" w:right="0" w:hanging="72"/>
        <w:jc w:val="left"/>
      </w:pPr>
      <w:r>
        <w:rPr>
          <w:rFonts w:ascii="Times New Roman" w:hAnsi="Times New Roman" w:cs="Times New Roman" w:eastAsia="Times New Roman" w:hint="default"/>
          <w:b/>
          <w:bCs/>
        </w:rPr>
        <w:t>3</w:t>
      </w:r>
      <w:r>
        <w:rPr>
          <w:rFonts w:ascii="宋体" w:hAnsi="宋体" w:cs="宋体" w:eastAsia="宋体" w:hint="default"/>
          <w:b/>
          <w:bCs/>
        </w:rPr>
        <w:t>、关于监事与监事会</w:t>
      </w:r>
      <w:r>
        <w:rPr>
          <w:rFonts w:ascii="宋体" w:hAnsi="宋体" w:cs="宋体" w:eastAsia="宋体" w:hint="default"/>
          <w:b/>
          <w:bCs/>
          <w:w w:val="99"/>
        </w:rPr>
        <w:t> </w:t>
      </w:r>
      <w:r>
        <w:rPr>
          <w:spacing w:val="-2"/>
        </w:rPr>
        <w:t>报告期内，公司共召开</w:t>
      </w:r>
      <w:r>
        <w:rPr>
          <w:rFonts w:ascii="Times New Roman" w:hAnsi="Times New Roman" w:cs="Times New Roman" w:eastAsia="Times New Roman" w:hint="default"/>
          <w:spacing w:val="-2"/>
        </w:rPr>
        <w:t>8</w:t>
      </w:r>
      <w:r>
        <w:rPr>
          <w:spacing w:val="-2"/>
        </w:rPr>
        <w:t>次监事会。公司监事会目前由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名，监事会的人数及构成符合</w:t>
      </w:r>
    </w:p>
    <w:p>
      <w:pPr>
        <w:pStyle w:val="BodyText"/>
        <w:spacing w:line="316" w:lineRule="auto" w:before="13"/>
        <w:ind w:right="1133"/>
        <w:jc w:val="both"/>
      </w:pPr>
      <w:r>
        <w:rPr>
          <w:spacing w:val="-2"/>
        </w:rPr>
        <w:t>法律法规和《公司章程》的要求。公司全体监事能够按照《公司章程》和《监事会议事规则》等的要求，认真履行自己的职</w:t>
      </w:r>
      <w:r>
        <w:rPr>
          <w:spacing w:val="-67"/>
        </w:rPr>
        <w:t> </w:t>
      </w:r>
      <w:r>
        <w:rPr>
          <w:spacing w:val="-67"/>
        </w:rPr>
      </w:r>
      <w:r>
        <w:rPr/>
        <w:t>责，对公司重大事项、关联交易、财务状况、董事和高管的履职情况等进行有效监督并发表意见。</w:t>
      </w:r>
    </w:p>
    <w:p>
      <w:pPr>
        <w:spacing w:line="300" w:lineRule="auto" w:before="19"/>
        <w:ind w:left="587" w:right="1139" w:hanging="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、关于绩效评价和激励约束机制</w:t>
      </w:r>
      <w:r>
        <w:rPr>
          <w:rFonts w:ascii="宋体" w:hAnsi="宋体" w:cs="宋体" w:eastAsia="宋体" w:hint="default"/>
          <w:b/>
          <w:bCs/>
          <w:w w:val="99"/>
          <w:sz w:val="18"/>
          <w:szCs w:val="18"/>
        </w:rPr>
        <w:t> </w:t>
      </w:r>
      <w:r>
        <w:rPr>
          <w:rFonts w:ascii="宋体" w:hAnsi="宋体" w:cs="宋体" w:eastAsia="宋体" w:hint="default"/>
          <w:sz w:val="18"/>
          <w:szCs w:val="18"/>
        </w:rPr>
        <w:t>公司已建立和完善了公正、透明的高级管理人员的绩效评价标准和激励约束机制，公司高级管理人员的聘任公开、透</w:t>
      </w:r>
    </w:p>
    <w:p>
      <w:pPr>
        <w:pStyle w:val="BodyText"/>
        <w:spacing w:line="240" w:lineRule="auto" w:before="31"/>
        <w:ind w:right="0"/>
        <w:jc w:val="both"/>
      </w:pPr>
      <w:r>
        <w:rPr/>
        <w:t>明，符合法律法规的规定。</w:t>
      </w:r>
    </w:p>
    <w:p>
      <w:pPr>
        <w:pStyle w:val="BodyText"/>
        <w:spacing w:line="300" w:lineRule="auto" w:before="76"/>
        <w:ind w:left="587" w:right="1139" w:hanging="72"/>
        <w:jc w:val="left"/>
      </w:pPr>
      <w:r>
        <w:rPr>
          <w:rFonts w:ascii="Times New Roman" w:hAnsi="Times New Roman" w:cs="Times New Roman" w:eastAsia="Times New Roman" w:hint="default"/>
          <w:b/>
          <w:bCs/>
        </w:rPr>
        <w:t>5</w:t>
      </w:r>
      <w:r>
        <w:rPr>
          <w:rFonts w:ascii="宋体" w:hAnsi="宋体" w:cs="宋体" w:eastAsia="宋体" w:hint="default"/>
          <w:b/>
          <w:bCs/>
        </w:rPr>
        <w:t>、关于相关利益者</w:t>
      </w:r>
      <w:r>
        <w:rPr>
          <w:rFonts w:ascii="宋体" w:hAnsi="宋体" w:cs="宋体" w:eastAsia="宋体" w:hint="default"/>
          <w:b/>
          <w:bCs/>
          <w:w w:val="99"/>
        </w:rPr>
        <w:t> </w:t>
      </w:r>
      <w:r>
        <w:rPr/>
        <w:t>公司充分尊重和维护包括员工、债权人和客户在内的所有相关利益者的合法权益，积极与相关利益者合作，加强沟通</w:t>
      </w:r>
    </w:p>
    <w:p>
      <w:pPr>
        <w:pStyle w:val="BodyText"/>
        <w:spacing w:line="240" w:lineRule="auto" w:before="31"/>
        <w:ind w:left="154" w:right="0"/>
        <w:jc w:val="both"/>
      </w:pPr>
      <w:r>
        <w:rPr/>
        <w:t>和交流，实现股东、员工、社会各方利益的均衡，共同推动公司持续、稳定、健康地发展。</w:t>
      </w:r>
    </w:p>
    <w:p>
      <w:pPr>
        <w:spacing w:line="300" w:lineRule="auto" w:before="76"/>
        <w:ind w:left="587" w:right="1139" w:hanging="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公司严格按照有关法律法规的规定和公司《信息披露管理制度》的要求，加强信息披露事务管理，强化重大事项的内</w:t>
      </w:r>
    </w:p>
    <w:p>
      <w:pPr>
        <w:pStyle w:val="BodyText"/>
        <w:spacing w:line="316" w:lineRule="auto" w:before="31"/>
        <w:ind w:right="1133"/>
        <w:jc w:val="both"/>
      </w:pPr>
      <w:r>
        <w:rPr>
          <w:spacing w:val="-2"/>
        </w:rPr>
        <w:t>部报告，履行信息披露义务，并指定《证券时报》、《证券日报》、《中国证券报》、《上海证券报》和巨潮资讯网为公司</w:t>
      </w:r>
      <w:r>
        <w:rPr>
          <w:spacing w:val="-70"/>
        </w:rPr>
        <w:t> </w:t>
      </w:r>
      <w:r>
        <w:rPr>
          <w:spacing w:val="-70"/>
        </w:rPr>
      </w:r>
      <w:r>
        <w:rPr/>
        <w:t>信息披露的报纸和网站，真实、准确、及时、完整地披露信息，确保所有投资者公平获取公司信息。</w:t>
      </w:r>
    </w:p>
    <w:p>
      <w:pPr>
        <w:pStyle w:val="Heading4"/>
        <w:spacing w:line="240" w:lineRule="auto" w:before="19"/>
        <w:ind w:right="1235"/>
        <w:jc w:val="left"/>
        <w:rPr>
          <w:b w:val="0"/>
          <w:bCs w:val="0"/>
        </w:rPr>
      </w:pPr>
      <w:r>
        <w:rPr>
          <w:rFonts w:ascii="Times New Roman" w:hAnsi="Times New Roman" w:cs="Times New Roman" w:eastAsia="Times New Roman" w:hint="default"/>
        </w:rPr>
        <w:t>7</w:t>
      </w:r>
      <w:r>
        <w:rPr/>
        <w:t>、关于投资者关系管理工作</w:t>
      </w:r>
      <w:r>
        <w:rPr>
          <w:b w:val="0"/>
          <w:bCs w:val="0"/>
        </w:rPr>
      </w:r>
    </w:p>
    <w:p>
      <w:pPr>
        <w:pStyle w:val="BodyText"/>
        <w:spacing w:line="240" w:lineRule="auto" w:before="63"/>
        <w:ind w:left="587" w:right="1235"/>
        <w:jc w:val="left"/>
      </w:pPr>
      <w:r>
        <w:rPr/>
        <w:t>（</w:t>
      </w:r>
      <w:r>
        <w:rPr>
          <w:rFonts w:ascii="Times New Roman" w:hAnsi="Times New Roman" w:cs="Times New Roman" w:eastAsia="Times New Roman" w:hint="default"/>
        </w:rPr>
        <w:t>1</w:t>
      </w:r>
      <w:r>
        <w:rPr/>
        <w:t>）公司指定董事会秘书作为投资者关系管理负责人，安排专人作好投资者来访接待工作；</w:t>
      </w:r>
    </w:p>
    <w:p>
      <w:pPr>
        <w:pStyle w:val="BodyText"/>
        <w:spacing w:line="300" w:lineRule="auto" w:before="63"/>
        <w:ind w:right="1132" w:firstLine="433"/>
        <w:jc w:val="both"/>
      </w:pPr>
      <w:r>
        <w:rPr>
          <w:spacing w:val="-2"/>
        </w:rPr>
        <w:t>（</w:t>
      </w:r>
      <w:r>
        <w:rPr>
          <w:rFonts w:ascii="Times New Roman" w:hAnsi="Times New Roman" w:cs="Times New Roman" w:eastAsia="Times New Roman" w:hint="default"/>
          <w:spacing w:val="-2"/>
        </w:rPr>
        <w:t>2</w:t>
      </w:r>
      <w:r>
        <w:rPr>
          <w:spacing w:val="-2"/>
        </w:rPr>
        <w:t>）通过股东大会、投资者关系管理电话、电子信箱、传真、巨潮资讯网站、投资者关系互动平台等多种渠道与投资</w:t>
      </w:r>
      <w:r>
        <w:rPr/>
        <w:t> 者加强沟通，并尽可能解答投资者的疑问；，</w:t>
      </w:r>
    </w:p>
    <w:p>
      <w:pPr>
        <w:pStyle w:val="BodyText"/>
        <w:spacing w:line="300" w:lineRule="auto" w:before="31"/>
        <w:ind w:right="1132" w:firstLine="433"/>
        <w:jc w:val="both"/>
      </w:pPr>
      <w:r>
        <w:rPr>
          <w:spacing w:val="-2"/>
        </w:rPr>
        <w:t>（</w:t>
      </w:r>
      <w:r>
        <w:rPr>
          <w:rFonts w:ascii="Times New Roman" w:hAnsi="Times New Roman" w:cs="Times New Roman" w:eastAsia="Times New Roman" w:hint="default"/>
          <w:spacing w:val="-2"/>
        </w:rPr>
        <w:t>3</w:t>
      </w:r>
      <w:r>
        <w:rPr>
          <w:spacing w:val="-2"/>
        </w:rPr>
        <w:t>）公司在接待特定对象调研前要求来访的特定对象签署承诺书，安排专人做好投资者来访接待工作，确保信息披露</w:t>
      </w:r>
      <w:r>
        <w:rPr/>
        <w:t> 的公平性。</w:t>
      </w:r>
    </w:p>
    <w:p>
      <w:pPr>
        <w:pStyle w:val="BodyText"/>
        <w:spacing w:line="240" w:lineRule="auto" w:before="72"/>
        <w:ind w:right="0"/>
        <w:jc w:val="both"/>
      </w:pPr>
      <w:r>
        <w:rPr/>
        <w:t>公司治理的实际状况与中国证监会发布的有关上市公司治理的规范性文件是否存在重大差异</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235"/>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5"/>
        </w:rPr>
        <w:t>公司自成立以来，严格按照《公司法》、《证券法》等有关法律、法规和《公司章程》的要求规范运作，在资产、人员、</w:t>
      </w:r>
      <w:r>
        <w:rPr/>
        <w:t> </w:t>
      </w:r>
      <w:r>
        <w:rPr>
          <w:spacing w:val="-2"/>
        </w:rPr>
        <w:t>财务、机构和业务等方面与第一大股东、实际控制人及其控制的其他企业完全分开，具有完整的业务体系及面向市场独立经</w:t>
      </w:r>
      <w:r>
        <w:rPr>
          <w:spacing w:val="-66"/>
        </w:rPr>
        <w:t> </w:t>
      </w:r>
      <w:r>
        <w:rPr>
          <w:spacing w:val="-66"/>
        </w:rPr>
      </w:r>
      <w:r>
        <w:rPr/>
        <w:t>营的能力。</w:t>
      </w:r>
    </w:p>
    <w:p>
      <w:pPr>
        <w:pStyle w:val="BodyText"/>
        <w:spacing w:line="300" w:lineRule="auto" w:before="17"/>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、资产独立情况</w:t>
      </w:r>
      <w:r>
        <w:rPr>
          <w:rFonts w:ascii="宋体" w:hAnsi="宋体" w:cs="宋体" w:eastAsia="宋体" w:hint="default"/>
          <w:b/>
          <w:bCs/>
          <w:w w:val="99"/>
        </w:rPr>
        <w:t> </w:t>
      </w:r>
      <w:r>
        <w:rPr>
          <w:spacing w:val="-2"/>
        </w:rPr>
        <w:t>公司拥有完整的产品生产的工艺流程、完整的生产经营性资产、相关生产技术和配套设施、独立完整的采购和销售系统</w:t>
      </w:r>
    </w:p>
    <w:p>
      <w:pPr>
        <w:pStyle w:val="BodyText"/>
        <w:spacing w:line="316" w:lineRule="auto" w:before="31"/>
        <w:ind w:left="154" w:right="1131"/>
        <w:jc w:val="both"/>
      </w:pPr>
      <w:r>
        <w:rPr>
          <w:spacing w:val="-2"/>
        </w:rPr>
        <w:t>等，合法拥有与生产经营有关的土地、厂房、机器设备以及商标、专利等资产的所有权或使用权。公司与股东之间的资产产</w:t>
      </w:r>
      <w:r>
        <w:rPr>
          <w:spacing w:val="-66"/>
        </w:rPr>
        <w:t> </w:t>
      </w:r>
      <w:r>
        <w:rPr>
          <w:spacing w:val="-66"/>
        </w:rPr>
      </w:r>
      <w:r>
        <w:rPr>
          <w:spacing w:val="-2"/>
        </w:rPr>
        <w:t>权界定清晰，生产经营场所独立，不存在依靠股东的生产经营场所进行生产经营的情况。公司不存在以公司资产、信用为第</w:t>
      </w:r>
      <w:r>
        <w:rPr>
          <w:spacing w:val="-66"/>
        </w:rPr>
        <w:t> </w:t>
      </w:r>
      <w:r>
        <w:rPr>
          <w:spacing w:val="-66"/>
        </w:rPr>
      </w:r>
      <w:r>
        <w:rPr>
          <w:spacing w:val="-2"/>
        </w:rPr>
        <w:t>一大股东、实际控制人及其控制的其他企业进行违规担保的情形，不存在资金被第一大股东、实际控制人及其控制的其他企</w:t>
      </w:r>
      <w:r>
        <w:rPr>
          <w:spacing w:val="-66"/>
        </w:rPr>
        <w:t> </w:t>
      </w:r>
      <w:r>
        <w:rPr>
          <w:spacing w:val="-66"/>
        </w:rPr>
      </w:r>
      <w:r>
        <w:rPr/>
        <w:t>业以借款、代偿债务、代垫款项或者其他方式占用的情形。</w:t>
      </w:r>
    </w:p>
    <w:p>
      <w:pPr>
        <w:pStyle w:val="BodyText"/>
        <w:spacing w:line="300" w:lineRule="auto" w:before="19"/>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、人员独立情况</w:t>
      </w:r>
      <w:r>
        <w:rPr>
          <w:rFonts w:ascii="宋体" w:hAnsi="宋体" w:cs="宋体" w:eastAsia="宋体" w:hint="default"/>
          <w:b/>
          <w:bCs/>
          <w:w w:val="99"/>
        </w:rPr>
        <w:t> </w:t>
      </w:r>
      <w:r>
        <w:rPr>
          <w:spacing w:val="-2"/>
        </w:rPr>
        <w:t>公司拥有独立、完整的人事管理体系，拥有生产经营所需的研发技术人员、管理人员及相应的生产技术人员和销售人员</w:t>
      </w:r>
    </w:p>
    <w:p>
      <w:pPr>
        <w:pStyle w:val="BodyText"/>
        <w:spacing w:line="316" w:lineRule="auto" w:before="31"/>
        <w:ind w:left="154" w:right="0"/>
        <w:jc w:val="left"/>
      </w:pPr>
      <w:r>
        <w:rPr>
          <w:spacing w:val="-2"/>
        </w:rPr>
        <w:t>等，员工均与公司签订了劳动聘用合同，工资发放、福利支出与股东及其关联人严格分离。公司建立了独立的人事档案、人</w:t>
      </w:r>
      <w:r>
        <w:rPr>
          <w:spacing w:val="-66"/>
        </w:rPr>
        <w:t> </w:t>
      </w:r>
      <w:r>
        <w:rPr>
          <w:spacing w:val="-66"/>
        </w:rPr>
      </w:r>
      <w:r>
        <w:rPr/>
        <w:t>事聘用和任免制度、考核和奖惩制度，拥有独立的薪酬管理、福利与社会保障体系。</w:t>
      </w:r>
    </w:p>
    <w:p>
      <w:pPr>
        <w:pStyle w:val="BodyText"/>
        <w:spacing w:line="316" w:lineRule="auto" w:before="19"/>
        <w:ind w:right="1130" w:firstLine="360"/>
        <w:jc w:val="both"/>
      </w:pPr>
      <w:r>
        <w:rPr>
          <w:spacing w:val="-2"/>
        </w:rPr>
        <w:t>公司的董事、监事及高级管理人员的选举和聘任均严格按照《公司法》和《公司章程》的有关规定执行，不存在受其他</w:t>
      </w:r>
      <w:r>
        <w:rPr/>
        <w:t> </w:t>
      </w:r>
      <w:r>
        <w:rPr>
          <w:spacing w:val="-2"/>
        </w:rPr>
        <w:t>机构或个人干预的情形。公司总经理、副总经理、财务总监、董事会秘书等高级管理人员均专职在公司工作并领取薪酬，没</w:t>
      </w:r>
      <w:r>
        <w:rPr>
          <w:spacing w:val="-66"/>
        </w:rPr>
        <w:t> </w:t>
      </w:r>
      <w:r>
        <w:rPr>
          <w:spacing w:val="-66"/>
        </w:rPr>
      </w:r>
      <w:r>
        <w:rPr>
          <w:spacing w:val="-2"/>
        </w:rPr>
        <w:t>有在第一大股东、实际控制人及其控制的其他企业中担任除董事、监事以外的任何职务，亦没有在与公司业务相同或相近的</w:t>
      </w:r>
      <w:r>
        <w:rPr>
          <w:spacing w:val="-66"/>
        </w:rPr>
        <w:t> </w:t>
      </w:r>
      <w:r>
        <w:rPr>
          <w:spacing w:val="-66"/>
        </w:rPr>
      </w:r>
      <w:r>
        <w:rPr>
          <w:spacing w:val="-2"/>
        </w:rPr>
        <w:t>其他企业任职的情况。公司董事、监事、高级管理人员及其父母、配偶、子女、兄弟姐妹、兄弟姐妹的配偶等均未从事与公</w:t>
      </w:r>
      <w:r>
        <w:rPr>
          <w:spacing w:val="-72"/>
        </w:rPr>
        <w:t> </w:t>
      </w:r>
      <w:r>
        <w:rPr>
          <w:spacing w:val="-72"/>
        </w:rPr>
      </w:r>
      <w:r>
        <w:rPr/>
        <w:t>司利益相冲突的工作。</w:t>
      </w:r>
    </w:p>
    <w:p>
      <w:pPr>
        <w:pStyle w:val="BodyText"/>
        <w:spacing w:line="300" w:lineRule="auto" w:before="19"/>
        <w:ind w:left="514" w:right="1117" w:firstLine="1"/>
        <w:jc w:val="left"/>
      </w:pPr>
      <w:r>
        <w:rPr>
          <w:rFonts w:ascii="Times New Roman" w:hAnsi="Times New Roman" w:cs="Times New Roman" w:eastAsia="Times New Roman" w:hint="default"/>
          <w:b/>
          <w:bCs/>
        </w:rPr>
        <w:t>3</w:t>
      </w:r>
      <w:r>
        <w:rPr>
          <w:rFonts w:ascii="宋体" w:hAnsi="宋体" w:cs="宋体" w:eastAsia="宋体" w:hint="default"/>
          <w:b/>
          <w:bCs/>
        </w:rPr>
        <w:t>、财务独立情况</w:t>
      </w:r>
      <w:r>
        <w:rPr>
          <w:rFonts w:ascii="宋体" w:hAnsi="宋体" w:cs="宋体" w:eastAsia="宋体" w:hint="default"/>
          <w:b/>
          <w:bCs/>
          <w:w w:val="99"/>
        </w:rPr>
        <w:t> </w:t>
      </w:r>
      <w:r>
        <w:rPr>
          <w:spacing w:val="-5"/>
        </w:rPr>
        <w:t>公司已按照《企业会计准则》的要求建立了一套独立、完整、规范的财务会计核算体系和财务管理制度，实施严格管理。</w:t>
      </w:r>
    </w:p>
    <w:p>
      <w:pPr>
        <w:pStyle w:val="BodyText"/>
        <w:spacing w:line="316" w:lineRule="auto" w:before="32"/>
        <w:ind w:left="154" w:right="1032"/>
        <w:jc w:val="left"/>
      </w:pPr>
      <w:r>
        <w:rPr>
          <w:spacing w:val="-2"/>
        </w:rPr>
        <w:t>公司设立了独立的财务部门，配备了专职财务人员；公司在银行拥有独立的银行账户，不存在与第一大股东、实际控制人及</w:t>
      </w:r>
      <w:r>
        <w:rPr>
          <w:spacing w:val="-66"/>
        </w:rPr>
        <w:t> </w:t>
      </w:r>
      <w:r>
        <w:rPr>
          <w:spacing w:val="-66"/>
        </w:rPr>
      </w:r>
      <w:r>
        <w:rPr>
          <w:spacing w:val="-2"/>
        </w:rPr>
        <w:t>其控制的其他企业共用银行账户的情形，亦不存在货币资金或其他资产被第一大股东、实际控制人或其他关联方以任何名义</w:t>
      </w:r>
      <w:r>
        <w:rPr>
          <w:spacing w:val="-64"/>
        </w:rPr>
        <w:t> </w:t>
      </w:r>
      <w:r>
        <w:rPr>
          <w:spacing w:val="-64"/>
        </w:rPr>
      </w:r>
      <w:r>
        <w:rPr>
          <w:spacing w:val="-2"/>
        </w:rPr>
        <w:t>占用的情况，也不存在为第一大股东及其关联方提供担保的情况；公司办理了独立的税务登记证并独立申报纳税，不存在与</w:t>
      </w:r>
      <w:r>
        <w:rPr>
          <w:spacing w:val="-66"/>
        </w:rPr>
        <w:t> </w:t>
      </w:r>
      <w:r>
        <w:rPr>
          <w:spacing w:val="-66"/>
        </w:rPr>
      </w:r>
      <w:r>
        <w:rPr/>
        <w:t>股东单位混合纳税的情形；公司依据《公司章程》及自身情况做出财务决策，完全自主决定资金使用，不存在第一大股东、</w:t>
      </w:r>
      <w:r>
        <w:rPr>
          <w:spacing w:val="-85"/>
        </w:rPr>
        <w:t> </w:t>
      </w:r>
      <w:r>
        <w:rPr>
          <w:spacing w:val="-85"/>
        </w:rPr>
      </w:r>
      <w:r>
        <w:rPr/>
        <w:t>实际控制人干预公司资金使用的情况。</w:t>
      </w:r>
    </w:p>
    <w:p>
      <w:pPr>
        <w:pStyle w:val="BodyText"/>
        <w:spacing w:line="300" w:lineRule="auto" w:before="19"/>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、机构独立情况</w:t>
      </w:r>
      <w:r>
        <w:rPr>
          <w:rFonts w:ascii="宋体" w:hAnsi="宋体" w:cs="宋体" w:eastAsia="宋体" w:hint="default"/>
          <w:b/>
          <w:bCs/>
          <w:w w:val="99"/>
        </w:rPr>
        <w:t> </w:t>
      </w:r>
      <w:r>
        <w:rPr>
          <w:spacing w:val="-2"/>
        </w:rPr>
        <w:t>公司按照《公司法》、《公司章程》的规定，设立了股东大会、董事会、监事会等议事、决策、监督机构，聘任了总经</w:t>
      </w:r>
    </w:p>
    <w:p>
      <w:pPr>
        <w:pStyle w:val="BodyText"/>
        <w:spacing w:line="316" w:lineRule="auto" w:before="31"/>
        <w:ind w:left="154" w:right="0"/>
        <w:jc w:val="left"/>
      </w:pPr>
      <w:r>
        <w:rPr>
          <w:spacing w:val="-2"/>
        </w:rPr>
        <w:t>理、副总经理、董事会秘书、财务总监等高级管理人员，并制定了相适应的股东大会、董事会、监事会议事规则，以及独立</w:t>
      </w:r>
      <w:r>
        <w:rPr>
          <w:spacing w:val="-71"/>
        </w:rPr>
        <w:t> </w:t>
      </w:r>
      <w:r>
        <w:rPr>
          <w:spacing w:val="-71"/>
        </w:rPr>
      </w:r>
      <w:r>
        <w:rPr/>
        <w:t>董事、董事会各专门委员会和总经理工作细则等。</w:t>
      </w:r>
    </w:p>
    <w:p>
      <w:pPr>
        <w:pStyle w:val="BodyText"/>
        <w:spacing w:line="316" w:lineRule="auto" w:before="19"/>
        <w:ind w:left="154" w:right="1133" w:firstLine="360"/>
        <w:jc w:val="both"/>
      </w:pPr>
      <w:r>
        <w:rPr>
          <w:spacing w:val="-2"/>
        </w:rPr>
        <w:t>根据业务经营需要，公司设置了包括营销与服务体系、研发体系、供应链体系、管理支持体系、质量中心在内的职能部</w:t>
      </w:r>
      <w:r>
        <w:rPr/>
        <w:t> </w:t>
      </w:r>
      <w:r>
        <w:rPr>
          <w:spacing w:val="-2"/>
        </w:rPr>
        <w:t>门，建立健全了公司内部各部门的规章制度。公司内部经营管理机构与第一大股东、实际控制人及其控制的其他企业完全分</w:t>
      </w:r>
      <w:r>
        <w:rPr>
          <w:spacing w:val="-66"/>
        </w:rPr>
        <w:t> </w:t>
      </w:r>
      <w:r>
        <w:rPr>
          <w:spacing w:val="-66"/>
        </w:rPr>
      </w:r>
      <w:r>
        <w:rPr>
          <w:spacing w:val="-2"/>
        </w:rPr>
        <w:t>开，独立行使经营管理职权，不存在与第一大股东、实际控制人及其控制的其他企业共用管理机构、混合经营、合署办公等</w:t>
      </w:r>
      <w:r>
        <w:rPr>
          <w:spacing w:val="-66"/>
        </w:rPr>
        <w:t> </w:t>
      </w:r>
      <w:r>
        <w:rPr>
          <w:spacing w:val="-66"/>
        </w:rPr>
      </w:r>
      <w:r>
        <w:rPr/>
        <w:t>机构混同的情形，亦不存在股东单位直接干预公司生产经营活动的情况。</w:t>
      </w:r>
    </w:p>
    <w:p>
      <w:pPr>
        <w:pStyle w:val="BodyText"/>
        <w:spacing w:line="300" w:lineRule="auto" w:before="19"/>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、业务独立情况</w:t>
      </w:r>
      <w:r>
        <w:rPr>
          <w:rFonts w:ascii="宋体" w:hAnsi="宋体" w:cs="宋体" w:eastAsia="宋体" w:hint="default"/>
          <w:b/>
          <w:bCs/>
          <w:w w:val="99"/>
        </w:rPr>
        <w:t> </w:t>
      </w:r>
      <w:r>
        <w:rPr>
          <w:spacing w:val="-2"/>
        </w:rPr>
        <w:t>目前公司已具有独立完整的研发、采购、生产、销售体系，具有面向市场自主经营业务的能力，主营业务收入和主营业</w:t>
      </w:r>
    </w:p>
    <w:p>
      <w:pPr>
        <w:pStyle w:val="BodyText"/>
        <w:spacing w:line="316" w:lineRule="auto" w:before="31"/>
        <w:ind w:left="513" w:right="0" w:hanging="360"/>
        <w:jc w:val="left"/>
      </w:pPr>
      <w:r>
        <w:rPr/>
        <w:t>务利润不存在依赖于股东及其他关联方的关联交易的情况，同时也不存在受制于股东及其他关联方的情况。 公司在业务上与第一大股东、实际控制人及其控制的其他公司之间不存在同业竞争及显失公允的关联交易。 </w:t>
      </w:r>
      <w:r>
        <w:rPr>
          <w:spacing w:val="-2"/>
        </w:rPr>
        <w:t>综上所述，公司目前已建立了独立完整的研发、采购、生产和销售系统，在资产、人员、财务、机构和业务等方面与第</w:t>
      </w:r>
    </w:p>
    <w:p>
      <w:pPr>
        <w:pStyle w:val="BodyText"/>
        <w:spacing w:line="316" w:lineRule="auto" w:before="19"/>
        <w:ind w:right="1118"/>
        <w:jc w:val="left"/>
      </w:pPr>
      <w:r>
        <w:rPr>
          <w:spacing w:val="-2"/>
        </w:rPr>
        <w:t>一大股东、实际控制人及其控制的其他企业完全分开，实现了独立运作，具有独立完整的业务体系及面向市场自主开发独立</w:t>
      </w:r>
      <w:r>
        <w:rPr>
          <w:spacing w:val="-66"/>
        </w:rPr>
        <w:t> </w:t>
      </w:r>
      <w:r>
        <w:rPr>
          <w:spacing w:val="-66"/>
        </w:rPr>
      </w:r>
      <w:r>
        <w:rPr/>
        <w:t>经营的能力。</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35"/>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235"/>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2"/>
                <w:sz w:val="18"/>
                <w:szCs w:val="18"/>
              </w:rPr>
              <w:t>，</w:t>
            </w:r>
            <w:r>
              <w:rPr>
                <w:rFonts w:ascii="宋体" w:hAnsi="宋体" w:cs="宋体" w:eastAsia="宋体" w:hint="default"/>
                <w:sz w:val="18"/>
                <w:szCs w:val="18"/>
              </w:rPr>
              <w:t>上市前召开会议</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2"/>
                <w:sz w:val="18"/>
                <w:szCs w:val="18"/>
              </w:rPr>
              <w:t>，</w:t>
            </w:r>
            <w:r>
              <w:rPr>
                <w:rFonts w:ascii="宋体" w:hAnsi="宋体" w:cs="宋体" w:eastAsia="宋体" w:hint="default"/>
                <w:sz w:val="18"/>
                <w:szCs w:val="18"/>
              </w:rPr>
              <w:t>上市前召开会议</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年第 二次临时股东大会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2017-018</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年第 三次临时股东大会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2017-047</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235"/>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35"/>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1235"/>
        <w:jc w:val="left"/>
      </w:pPr>
      <w:r>
        <w:rPr/>
        <w:t>连续两次未亲自出席董事会的说明</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1235"/>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0" w:firstLine="360"/>
        <w:jc w:val="both"/>
      </w:pPr>
      <w:r>
        <w:rPr>
          <w:spacing w:val="-2"/>
        </w:rPr>
        <w:t>关志超先生、许岳明先生及翁小雄女士在担任公司独立董事期间，严格按照《公司法》、《关于在上市公司建立独立董</w:t>
      </w:r>
      <w:r>
        <w:rPr/>
        <w:t> </w:t>
      </w:r>
      <w:r>
        <w:rPr>
          <w:spacing w:val="-2"/>
        </w:rPr>
        <w:t>事的指导意见》、《深圳证券交易所中小板上市公司规范运作指引》及《公司章程》等法律法规的相关规定履行独立董事职</w:t>
      </w:r>
      <w:r>
        <w:rPr>
          <w:spacing w:val="-69"/>
        </w:rPr>
        <w:t> </w:t>
      </w:r>
      <w:r>
        <w:rPr>
          <w:spacing w:val="-69"/>
        </w:rPr>
      </w:r>
      <w:r>
        <w:rPr>
          <w:spacing w:val="-2"/>
        </w:rPr>
        <w:t>责，深入了解公司经营情况和财务状况，认真研究议案相关材料，运用自身的知识背景，为公司的科学决策和风险防范提供</w:t>
      </w:r>
      <w:r>
        <w:rPr>
          <w:spacing w:val="-66"/>
        </w:rPr>
        <w:t> </w:t>
      </w:r>
      <w:r>
        <w:rPr>
          <w:spacing w:val="-66"/>
        </w:rPr>
      </w:r>
      <w:r>
        <w:rPr>
          <w:spacing w:val="-2"/>
        </w:rPr>
        <w:t>意见和建议，就公司日常经营、关联交易、权益分派、募集资金使用、定期报告等事项进行审核，并独立、客观地发表了意</w:t>
      </w:r>
      <w:r>
        <w:rPr>
          <w:spacing w:val="-70"/>
        </w:rPr>
        <w:t> </w:t>
      </w:r>
      <w:r>
        <w:rPr>
          <w:spacing w:val="-70"/>
        </w:rPr>
      </w:r>
      <w:r>
        <w:rPr/>
        <w:t>见，保证了公司董事会决议的公正性，维护公司和广大股东尤其是中小股东的利益，促进了公司的规范运作和持续发展。</w:t>
      </w:r>
    </w:p>
    <w:p>
      <w:pPr>
        <w:spacing w:line="240" w:lineRule="auto" w:before="10"/>
        <w:rPr>
          <w:rFonts w:ascii="宋体" w:hAnsi="宋体" w:cs="宋体" w:eastAsia="宋体" w:hint="default"/>
          <w:sz w:val="20"/>
          <w:szCs w:val="20"/>
        </w:rPr>
      </w:pPr>
    </w:p>
    <w:p>
      <w:pPr>
        <w:pStyle w:val="Heading2"/>
        <w:spacing w:line="240" w:lineRule="auto"/>
        <w:ind w:right="1235"/>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公司董事会下设立四个专门委员会，分别为审计及预算审核委员会、薪酬与考核委员会、提名委员会以及战略发展及投</w:t>
      </w:r>
      <w:r>
        <w:rPr/>
        <w:t> </w:t>
      </w:r>
      <w:r>
        <w:rPr>
          <w:spacing w:val="-2"/>
        </w:rPr>
        <w:t>资审查委员会。</w:t>
      </w:r>
      <w:r>
        <w:rPr>
          <w:rFonts w:ascii="Times New Roman" w:hAnsi="Times New Roman" w:cs="Times New Roman" w:eastAsia="Times New Roman" w:hint="default"/>
          <w:spacing w:val="-2"/>
        </w:rPr>
        <w:t>2017</w:t>
      </w:r>
      <w:r>
        <w:rPr>
          <w:spacing w:val="-2"/>
        </w:rPr>
        <w:t>年，各专门委员会本着勤勉尽责的原则，按照有关法律法规、公司章程及各专门委员会工作细则的有关</w:t>
      </w:r>
      <w:r>
        <w:rPr>
          <w:spacing w:val="-61"/>
        </w:rPr>
        <w:t> </w:t>
      </w:r>
      <w:r>
        <w:rPr>
          <w:spacing w:val="-61"/>
        </w:rPr>
      </w:r>
      <w:r>
        <w:rPr/>
        <w:t>规定开展相关工作。报告期内，各专门委员会履行情况如下：</w:t>
      </w:r>
    </w:p>
    <w:p>
      <w:pPr>
        <w:pStyle w:val="BodyText"/>
        <w:spacing w:line="300" w:lineRule="auto" w:before="24"/>
        <w:ind w:left="514" w:right="0"/>
        <w:jc w:val="left"/>
      </w:pPr>
      <w:r>
        <w:rPr>
          <w:rFonts w:ascii="Times New Roman" w:hAnsi="Times New Roman" w:cs="Times New Roman" w:eastAsia="Times New Roman" w:hint="default"/>
        </w:rPr>
        <w:t>1</w:t>
      </w:r>
      <w:r>
        <w:rPr/>
        <w:t>、审计及预算审核委员会的履职情况 </w:t>
      </w:r>
      <w:r>
        <w:rPr>
          <w:spacing w:val="-2"/>
        </w:rPr>
        <w:t>报告期内，审计及预算审核委员会认真履行职责，按照公司《内部审计制度》、《董事会审计及预算审核委员会工作细</w:t>
      </w:r>
    </w:p>
    <w:p>
      <w:pPr>
        <w:pStyle w:val="BodyText"/>
        <w:spacing w:line="312" w:lineRule="auto" w:before="31"/>
        <w:ind w:left="154" w:right="0"/>
        <w:jc w:val="left"/>
      </w:pPr>
      <w:r>
        <w:rPr>
          <w:spacing w:val="-2"/>
        </w:rPr>
        <w:t>则》的要求开展各项工作。报告期内，公司董事会审计及预算审核委员会详细了解公司财务状况和经营情况，讨论审议了公</w:t>
      </w:r>
      <w:r>
        <w:rPr>
          <w:spacing w:val="-66"/>
        </w:rPr>
        <w:t> </w:t>
      </w:r>
      <w:r>
        <w:rPr>
          <w:spacing w:val="-66"/>
        </w:rPr>
      </w:r>
      <w:r>
        <w:rPr>
          <w:spacing w:val="-4"/>
        </w:rPr>
        <w:t>司定期报告、内审部门日常审计工作报告和审计工作计划、审查审计机构资质和工作情况并向董事会提议续聘年度审计机构、</w:t>
      </w:r>
      <w:r>
        <w:rPr>
          <w:spacing w:val="-44"/>
        </w:rPr>
        <w:t> </w:t>
      </w:r>
      <w:r>
        <w:rPr>
          <w:spacing w:val="-44"/>
        </w:rPr>
      </w:r>
      <w:r>
        <w:rPr>
          <w:spacing w:val="-2"/>
        </w:rPr>
        <w:t>审查公司</w:t>
      </w:r>
      <w:r>
        <w:rPr>
          <w:rFonts w:ascii="Times New Roman" w:hAnsi="Times New Roman" w:cs="Times New Roman" w:eastAsia="Times New Roman" w:hint="default"/>
          <w:spacing w:val="-2"/>
        </w:rPr>
        <w:t>2016</w:t>
      </w:r>
      <w:r>
        <w:rPr>
          <w:spacing w:val="-2"/>
        </w:rPr>
        <w:t>年度日常关联交易执行情况及</w:t>
      </w:r>
      <w:r>
        <w:rPr>
          <w:rFonts w:ascii="Times New Roman" w:hAnsi="Times New Roman" w:cs="Times New Roman" w:eastAsia="Times New Roman" w:hint="default"/>
          <w:spacing w:val="-2"/>
        </w:rPr>
        <w:t>2017</w:t>
      </w:r>
      <w:r>
        <w:rPr>
          <w:spacing w:val="-2"/>
        </w:rPr>
        <w:t>年度日常关联交易预计情况、审查控股子公司伟龙金溢股权转让及增资暨关</w:t>
      </w:r>
      <w:r>
        <w:rPr>
          <w:spacing w:val="-56"/>
        </w:rPr>
        <w:t> </w:t>
      </w:r>
      <w:r>
        <w:rPr>
          <w:spacing w:val="-56"/>
        </w:rPr>
      </w:r>
      <w:r>
        <w:rPr/>
        <w:t>联交易事项，对公司内控制度和内部审计制度的实施进行了有效监督和指导。</w:t>
      </w:r>
    </w:p>
    <w:p>
      <w:pPr>
        <w:pStyle w:val="BodyText"/>
        <w:spacing w:line="300" w:lineRule="auto" w:before="22"/>
        <w:ind w:left="513" w:right="0"/>
        <w:jc w:val="left"/>
      </w:pPr>
      <w:r>
        <w:rPr>
          <w:rFonts w:ascii="Times New Roman" w:hAnsi="Times New Roman" w:cs="Times New Roman" w:eastAsia="Times New Roman" w:hint="default"/>
        </w:rPr>
        <w:t>2</w:t>
      </w:r>
      <w:r>
        <w:rPr/>
        <w:t>、薪酬与考核委员会的履职情况 </w:t>
      </w:r>
      <w:r>
        <w:rPr>
          <w:spacing w:val="-2"/>
        </w:rPr>
        <w:t>报告期内，薪酬与考核委员按照《董事会薪酬与考核委员会工作细则》的要求开展工作，对公司</w:t>
      </w:r>
      <w:r>
        <w:rPr>
          <w:rFonts w:ascii="Times New Roman" w:hAnsi="Times New Roman" w:cs="Times New Roman" w:eastAsia="Times New Roman" w:hint="default"/>
          <w:spacing w:val="-2"/>
        </w:rPr>
        <w:t>2016</w:t>
      </w:r>
      <w:r>
        <w:rPr>
          <w:spacing w:val="-2"/>
        </w:rPr>
        <w:t>年度高级管理人员</w:t>
      </w:r>
    </w:p>
    <w:p>
      <w:pPr>
        <w:pStyle w:val="BodyText"/>
        <w:spacing w:line="316" w:lineRule="auto" w:before="13"/>
        <w:ind w:right="1118"/>
        <w:jc w:val="left"/>
      </w:pPr>
      <w:r>
        <w:rPr>
          <w:spacing w:val="-2"/>
        </w:rPr>
        <w:t>的薪酬事项进行了审核，认为其薪酬标准和年度薪酬总额的确定符合公司相关薪酬管理制度的规定，同意提交公司董事会审</w:t>
      </w:r>
      <w:r>
        <w:rPr>
          <w:spacing w:val="-64"/>
        </w:rPr>
        <w:t> </w:t>
      </w:r>
      <w:r>
        <w:rPr>
          <w:spacing w:val="-64"/>
        </w:rPr>
      </w:r>
      <w:r>
        <w:rPr/>
        <w:t>议。</w:t>
      </w:r>
    </w:p>
    <w:p>
      <w:pPr>
        <w:pStyle w:val="BodyText"/>
        <w:spacing w:line="300" w:lineRule="auto" w:before="19"/>
        <w:ind w:left="514" w:right="0"/>
        <w:jc w:val="left"/>
      </w:pPr>
      <w:r>
        <w:rPr>
          <w:rFonts w:ascii="Times New Roman" w:hAnsi="Times New Roman" w:cs="Times New Roman" w:eastAsia="Times New Roman" w:hint="default"/>
        </w:rPr>
        <w:t>3</w:t>
      </w:r>
      <w:r>
        <w:rPr/>
        <w:t>、提名委员会的履职情况 </w:t>
      </w:r>
      <w:r>
        <w:rPr>
          <w:spacing w:val="-2"/>
        </w:rPr>
        <w:t>报告期内，提名委员会按照《董事会提名委员会工作细则》的要求开展工作，对公司第二届董事会董事候选人和补选独</w:t>
      </w:r>
    </w:p>
    <w:p>
      <w:pPr>
        <w:pStyle w:val="BodyText"/>
        <w:spacing w:line="316" w:lineRule="auto" w:before="31"/>
        <w:ind w:left="154" w:right="0"/>
        <w:jc w:val="left"/>
      </w:pPr>
      <w:r>
        <w:rPr>
          <w:spacing w:val="-2"/>
        </w:rPr>
        <w:t>立董事候选人的任职资格进行认真审查，认为各候选人符合《公司法》等相关法律法规及《公司章程》的有关规定，未发现</w:t>
      </w:r>
      <w:r>
        <w:rPr>
          <w:spacing w:val="-68"/>
        </w:rPr>
        <w:t> </w:t>
      </w:r>
      <w:r>
        <w:rPr>
          <w:spacing w:val="-68"/>
        </w:rPr>
      </w:r>
      <w:r>
        <w:rPr/>
        <w:t>其有《公司法》规定不得任职的情形以及被中国证监会确定为市场禁入者并且尚未解除的情况，同意提交董事会审议。</w:t>
      </w:r>
    </w:p>
    <w:p>
      <w:pPr>
        <w:pStyle w:val="BodyText"/>
        <w:spacing w:line="300" w:lineRule="auto" w:before="19"/>
        <w:ind w:left="514" w:right="0"/>
        <w:jc w:val="left"/>
      </w:pPr>
      <w:r>
        <w:rPr>
          <w:rFonts w:ascii="Times New Roman" w:hAnsi="Times New Roman" w:cs="Times New Roman" w:eastAsia="Times New Roman" w:hint="default"/>
        </w:rPr>
        <w:t>4</w:t>
      </w:r>
      <w:r>
        <w:rPr/>
        <w:t>、战略发展及投资审查委员会的履职情况 </w:t>
      </w:r>
      <w:r>
        <w:rPr>
          <w:spacing w:val="-2"/>
        </w:rPr>
        <w:t>报告期内，战略及投资审查委员会严格按照相关法律法规和公司《董事会战略与投资审查委员会工作细则》的要求，结</w:t>
      </w:r>
    </w:p>
    <w:p>
      <w:pPr>
        <w:pStyle w:val="BodyText"/>
        <w:spacing w:line="309" w:lineRule="auto" w:before="32"/>
        <w:ind w:right="1033"/>
        <w:jc w:val="left"/>
      </w:pPr>
      <w:r>
        <w:rPr>
          <w:spacing w:val="-2"/>
        </w:rPr>
        <w:t>合宏观经济环境变化、行业趋势的发展变化及公司经营现状、发展战略，组织和领导相关人员对公司</w:t>
      </w:r>
      <w:r>
        <w:rPr>
          <w:rFonts w:ascii="Times New Roman" w:hAnsi="Times New Roman" w:cs="Times New Roman" w:eastAsia="Times New Roman" w:hint="default"/>
          <w:spacing w:val="-2"/>
        </w:rPr>
        <w:t>2017</w:t>
      </w:r>
      <w:r>
        <w:rPr>
          <w:spacing w:val="-2"/>
        </w:rPr>
        <w:t>年度经营计划、使</w:t>
      </w:r>
      <w:r>
        <w:rPr>
          <w:spacing w:val="-61"/>
        </w:rPr>
        <w:t> </w:t>
      </w:r>
      <w:r>
        <w:rPr>
          <w:spacing w:val="-61"/>
        </w:rPr>
      </w:r>
      <w:r>
        <w:rPr/>
        <w:t>用募集资金向全资子公司佛山金溢科技有限公司投资及调整部分募集资金投资项目具体投资计划事项等进行了讨论和研究，</w:t>
      </w:r>
      <w:r>
        <w:rPr>
          <w:spacing w:val="-85"/>
        </w:rPr>
        <w:t> </w:t>
      </w:r>
      <w:r>
        <w:rPr>
          <w:spacing w:val="-85"/>
        </w:rPr>
      </w:r>
      <w:r>
        <w:rPr/>
        <w:t>制定出符合公司未来发展的战略和规划，并报董事会审议。</w:t>
      </w:r>
    </w:p>
    <w:p>
      <w:pPr>
        <w:spacing w:after="0" w:line="309"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235"/>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235"/>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公司建立了完善的高级管理人员绩效考核和薪酬管理制度，董事会下设薪酬与考核委员会负责制定高级管理人员年度薪</w:t>
      </w:r>
      <w:r>
        <w:rPr/>
        <w:t> </w:t>
      </w:r>
      <w:r>
        <w:rPr>
          <w:spacing w:val="-2"/>
        </w:rPr>
        <w:t>酬方案。高级管理人员年度薪酬由基本薪酬和绩效薪酬两部分构成，薪酬与考核委员会根据企业效益、高管个人贡献系数和</w:t>
      </w:r>
      <w:r>
        <w:rPr>
          <w:spacing w:val="-66"/>
        </w:rPr>
        <w:t> </w:t>
      </w:r>
      <w:r>
        <w:rPr>
          <w:spacing w:val="-66"/>
        </w:rPr>
      </w:r>
      <w:r>
        <w:rPr/>
        <w:t>年度绩效考核系数，评定高级管理人员年度绩效奖金，并报董事会批准后发放。</w:t>
      </w:r>
    </w:p>
    <w:p>
      <w:pPr>
        <w:spacing w:line="240" w:lineRule="auto" w:before="10"/>
        <w:rPr>
          <w:rFonts w:ascii="宋体" w:hAnsi="宋体" w:cs="宋体" w:eastAsia="宋体" w:hint="default"/>
          <w:sz w:val="20"/>
          <w:szCs w:val="20"/>
        </w:rPr>
      </w:pPr>
    </w:p>
    <w:p>
      <w:pPr>
        <w:pStyle w:val="Heading2"/>
        <w:spacing w:line="240" w:lineRule="auto"/>
        <w:ind w:right="1235"/>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6.459999pt;margin-top:-152.668274pt;width:479.2pt;height:373.2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1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7" w:lineRule="auto"/>
                          <w:ind w:left="22" w:right="53"/>
                          <w:jc w:val="left"/>
                          <w:rPr>
                            <w:rFonts w:ascii="宋体" w:hAnsi="宋体" w:cs="宋体" w:eastAsia="宋体" w:hint="default"/>
                            <w:sz w:val="18"/>
                            <w:szCs w:val="18"/>
                          </w:rPr>
                        </w:pPr>
                        <w:r>
                          <w:rPr>
                            <w:rFonts w:ascii="宋体" w:hAnsi="宋体" w:cs="宋体" w:eastAsia="宋体" w:hint="default"/>
                            <w:sz w:val="18"/>
                            <w:szCs w:val="18"/>
                          </w:rPr>
                          <w:t>重大缺陷：财务报告内部控制可能存在重 </w:t>
                        </w:r>
                        <w:r>
                          <w:rPr>
                            <w:rFonts w:ascii="宋体" w:hAnsi="宋体" w:cs="宋体" w:eastAsia="宋体" w:hint="default"/>
                            <w:spacing w:val="-5"/>
                            <w:sz w:val="18"/>
                            <w:szCs w:val="18"/>
                          </w:rPr>
                          <w:t>大缺陷的迹象：（</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w:t>
                        </w:r>
                        <w:r>
                          <w:rPr>
                            <w:rFonts w:ascii="宋体" w:hAnsi="宋体" w:cs="宋体" w:eastAsia="宋体" w:hint="default"/>
                            <w:spacing w:val="-85"/>
                            <w:sz w:val="18"/>
                            <w:szCs w:val="18"/>
                          </w:rPr>
                          <w:t> </w:t>
                        </w:r>
                        <w:r>
                          <w:rPr>
                            <w:rFonts w:ascii="宋体" w:hAnsi="宋体" w:cs="宋体" w:eastAsia="宋体" w:hint="default"/>
                            <w:spacing w:val="-5"/>
                            <w:sz w:val="18"/>
                            <w:szCs w:val="18"/>
                          </w:rPr>
                          <w:t>理人员舞弊，给公司造成重大损失；（</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已披露的财务报告和会计信息严重不准 </w:t>
                        </w:r>
                        <w:r>
                          <w:rPr>
                            <w:rFonts w:ascii="宋体" w:hAnsi="宋体" w:cs="宋体" w:eastAsia="宋体" w:hint="default"/>
                            <w:spacing w:val="-5"/>
                            <w:sz w:val="18"/>
                            <w:szCs w:val="18"/>
                          </w:rPr>
                          <w:t>确、不公允；（</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）企业审计委员会和内部</w:t>
                        </w:r>
                        <w:r>
                          <w:rPr>
                            <w:rFonts w:ascii="宋体" w:hAnsi="宋体" w:cs="宋体" w:eastAsia="宋体" w:hint="default"/>
                            <w:spacing w:val="-85"/>
                            <w:sz w:val="18"/>
                            <w:szCs w:val="18"/>
                          </w:rPr>
                          <w:t> </w:t>
                        </w:r>
                        <w:r>
                          <w:rPr>
                            <w:rFonts w:ascii="宋体" w:hAnsi="宋体" w:cs="宋体" w:eastAsia="宋体" w:hint="default"/>
                            <w:sz w:val="18"/>
                            <w:szCs w:val="18"/>
                          </w:rPr>
                          <w:t>审计机构对内部控制的监督无效。重要缺 </w:t>
                        </w:r>
                        <w:r>
                          <w:rPr>
                            <w:rFonts w:ascii="宋体" w:hAnsi="宋体" w:cs="宋体" w:eastAsia="宋体" w:hint="default"/>
                            <w:spacing w:val="-5"/>
                            <w:sz w:val="18"/>
                            <w:szCs w:val="18"/>
                          </w:rPr>
                          <w:t>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）已披露的财务报告和会计信息存</w:t>
                        </w:r>
                        <w:r>
                          <w:rPr>
                            <w:rFonts w:ascii="宋体" w:hAnsi="宋体" w:cs="宋体" w:eastAsia="宋体" w:hint="default"/>
                            <w:spacing w:val="-85"/>
                            <w:sz w:val="18"/>
                            <w:szCs w:val="18"/>
                          </w:rPr>
                          <w:t> </w:t>
                        </w:r>
                        <w:r>
                          <w:rPr>
                            <w:rFonts w:ascii="宋体" w:hAnsi="宋体" w:cs="宋体" w:eastAsia="宋体" w:hint="default"/>
                            <w:spacing w:val="-9"/>
                            <w:sz w:val="18"/>
                            <w:szCs w:val="18"/>
                          </w:rPr>
                          <w:t>在较大不准确、不公允。（</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）企业监事会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审计委员会或内部审计部门对内部控制监 </w:t>
                        </w:r>
                        <w:r>
                          <w:rPr>
                            <w:rFonts w:ascii="宋体" w:hAnsi="宋体" w:cs="宋体" w:eastAsia="宋体" w:hint="default"/>
                            <w:spacing w:val="-5"/>
                            <w:sz w:val="18"/>
                            <w:szCs w:val="18"/>
                          </w:rPr>
                          <w:t>督不到位；（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）未建立反舞弊程序和控制</w:t>
                        </w:r>
                        <w:r>
                          <w:rPr>
                            <w:rFonts w:ascii="宋体" w:hAnsi="宋体" w:cs="宋体" w:eastAsia="宋体" w:hint="default"/>
                            <w:spacing w:val="-85"/>
                            <w:sz w:val="18"/>
                            <w:szCs w:val="18"/>
                          </w:rPr>
                          <w:t> </w:t>
                        </w:r>
                        <w:r>
                          <w:rPr>
                            <w:rFonts w:ascii="宋体" w:hAnsi="宋体" w:cs="宋体" w:eastAsia="宋体" w:hint="default"/>
                            <w:sz w:val="18"/>
                            <w:szCs w:val="18"/>
                          </w:rPr>
                          <w:t>措施。除以上缺陷外认定为一般缺陷。</w:t>
                        </w:r>
                      </w:p>
                    </w:tc>
                    <w:tc>
                      <w:tcPr>
                        <w:tcW w:w="3039" w:type="dxa"/>
                        <w:vMerge w:val="restart"/>
                        <w:tcBorders>
                          <w:top w:val="single" w:sz="4" w:space="0" w:color="000000"/>
                          <w:left w:val="single" w:sz="9" w:space="0" w:color="FFFFFF"/>
                          <w:right w:val="single" w:sz="4" w:space="0" w:color="000000"/>
                        </w:tcBorders>
                      </w:tcPr>
                      <w:p>
                        <w:pPr>
                          <w:pStyle w:val="TableParagraph"/>
                          <w:spacing w:line="312" w:lineRule="exact" w:before="12"/>
                          <w:ind w:left="4" w:right="-42"/>
                          <w:jc w:val="left"/>
                          <w:rPr>
                            <w:rFonts w:ascii="宋体" w:hAnsi="宋体" w:cs="宋体" w:eastAsia="宋体" w:hint="default"/>
                            <w:sz w:val="18"/>
                            <w:szCs w:val="18"/>
                          </w:rPr>
                        </w:pPr>
                        <w:r>
                          <w:rPr>
                            <w:rFonts w:ascii="宋体" w:hAnsi="宋体" w:cs="宋体" w:eastAsia="宋体" w:hint="default"/>
                            <w:spacing w:val="-10"/>
                            <w:sz w:val="18"/>
                            <w:szCs w:val="18"/>
                          </w:rPr>
                          <w:t>重大缺陷：严重违反法律、法规、规章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政府政策、其他规范性文件等，导致中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央政府或监管机构的调查，并被限令行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业退出、吊销营业执照、强制关闭等。 战略与运营目标或关键业绩指标的执 行不合理，严重偏离且存在方向性错 </w:t>
                        </w:r>
                        <w:r>
                          <w:rPr>
                            <w:rFonts w:ascii="宋体" w:hAnsi="宋体" w:cs="宋体" w:eastAsia="宋体" w:hint="default"/>
                            <w:spacing w:val="-4"/>
                            <w:sz w:val="18"/>
                            <w:szCs w:val="18"/>
                          </w:rPr>
                          <w:t>误，对战略与运营目标的实现产生严重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负面作用。除上述定性指标外，另外明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确了通常表明非财务报告内部控制可</w:t>
                        </w:r>
                      </w:p>
                      <w:p>
                        <w:pPr>
                          <w:pStyle w:val="TableParagraph"/>
                          <w:spacing w:line="6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20" w:lineRule="exact"/>
                          <w:ind w:left="4" w:right="0"/>
                          <w:jc w:val="left"/>
                          <w:rPr>
                            <w:rFonts w:ascii="宋体" w:hAnsi="宋体" w:cs="宋体" w:eastAsia="宋体" w:hint="default"/>
                            <w:sz w:val="18"/>
                            <w:szCs w:val="18"/>
                          </w:rPr>
                        </w:pPr>
                        <w:r>
                          <w:rPr>
                            <w:rFonts w:ascii="宋体" w:hAnsi="宋体" w:cs="宋体" w:eastAsia="宋体" w:hint="default"/>
                            <w:sz w:val="18"/>
                            <w:szCs w:val="18"/>
                          </w:rPr>
                          <w:t>能存在重大缺陷的迹象</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3"/>
                            <w:sz w:val="18"/>
                            <w:szCs w:val="18"/>
                          </w:rPr>
                          <w:t>）</w:t>
                        </w:r>
                        <w:r>
                          <w:rPr>
                            <w:rFonts w:ascii="宋体" w:hAnsi="宋体" w:cs="宋体" w:eastAsia="宋体" w:hint="default"/>
                            <w:sz w:val="18"/>
                            <w:szCs w:val="18"/>
                          </w:rPr>
                          <w:t>企业缺乏</w:t>
                        </w:r>
                      </w:p>
                      <w:p>
                        <w:pPr>
                          <w:pStyle w:val="TableParagraph"/>
                          <w:spacing w:line="300" w:lineRule="auto" w:before="63"/>
                          <w:ind w:left="4" w:right="19"/>
                          <w:jc w:val="both"/>
                          <w:rPr>
                            <w:rFonts w:ascii="宋体" w:hAnsi="宋体" w:cs="宋体" w:eastAsia="宋体" w:hint="default"/>
                            <w:sz w:val="18"/>
                            <w:szCs w:val="18"/>
                          </w:rPr>
                        </w:pPr>
                        <w:r>
                          <w:rPr>
                            <w:rFonts w:ascii="宋体" w:hAnsi="宋体" w:cs="宋体" w:eastAsia="宋体" w:hint="default"/>
                            <w:spacing w:val="-3"/>
                            <w:sz w:val="18"/>
                            <w:szCs w:val="18"/>
                          </w:rPr>
                          <w:t>民主决策程序，如缺乏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w:t>
                        </w:r>
                        <w:r>
                          <w:rPr>
                            <w:rFonts w:ascii="宋体" w:hAnsi="宋体" w:cs="宋体" w:eastAsia="宋体" w:hint="default"/>
                            <w:spacing w:val="-81"/>
                            <w:sz w:val="18"/>
                            <w:szCs w:val="18"/>
                          </w:rPr>
                          <w:t> </w:t>
                        </w:r>
                        <w:r>
                          <w:rPr>
                            <w:rFonts w:ascii="宋体" w:hAnsi="宋体" w:cs="宋体" w:eastAsia="宋体" w:hint="default"/>
                            <w:spacing w:val="-9"/>
                            <w:sz w:val="18"/>
                            <w:szCs w:val="18"/>
                          </w:rPr>
                          <w:t>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）企业决策程序不科学，如决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策失误，导致并购不成功；（</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）违犯国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家法律、法规，如环境污染；（</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）管理</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01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44"/>
        <w:ind w:left="0" w:right="1139"/>
        <w:jc w:val="right"/>
      </w:pPr>
      <w:r>
        <w:rPr/>
        <w:pict>
          <v:shape style="position:absolute;margin-left:56.459999pt;margin-top:-61.228302pt;width:479.2pt;height:540.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348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1" w:right="20"/>
                          <w:jc w:val="both"/>
                          <w:rPr>
                            <w:rFonts w:ascii="宋体" w:hAnsi="宋体" w:cs="宋体" w:eastAsia="宋体" w:hint="default"/>
                            <w:sz w:val="18"/>
                            <w:szCs w:val="18"/>
                          </w:rPr>
                        </w:pPr>
                        <w:r>
                          <w:rPr>
                            <w:rFonts w:ascii="宋体" w:hAnsi="宋体" w:cs="宋体" w:eastAsia="宋体" w:hint="default"/>
                            <w:spacing w:val="-9"/>
                            <w:sz w:val="18"/>
                            <w:szCs w:val="18"/>
                          </w:rPr>
                          <w:t>人员或技术人员纷纷流失；（</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）媒体负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面新闻频现；（</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）内部控制评价的结果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特别是重大或重要缺陷未得到整改；</w:t>
                        </w:r>
                      </w:p>
                      <w:p>
                        <w:pPr>
                          <w:pStyle w:val="TableParagraph"/>
                          <w:spacing w:line="316" w:lineRule="auto" w:before="31"/>
                          <w:ind w:left="11" w:right="-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）重要业务缺乏制度控制或制度系 </w:t>
                        </w:r>
                        <w:r>
                          <w:rPr>
                            <w:rFonts w:ascii="宋体" w:hAnsi="宋体" w:cs="宋体" w:eastAsia="宋体" w:hint="default"/>
                            <w:spacing w:val="-10"/>
                            <w:sz w:val="18"/>
                            <w:szCs w:val="18"/>
                          </w:rPr>
                          <w:t>统性失效。重要缺陷：违反法律、法规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规章、政府政策、其他规范性文件等， </w:t>
                        </w:r>
                        <w:r>
                          <w:rPr>
                            <w:rFonts w:ascii="宋体" w:hAnsi="宋体" w:cs="宋体" w:eastAsia="宋体" w:hint="default"/>
                            <w:spacing w:val="-4"/>
                            <w:sz w:val="18"/>
                            <w:szCs w:val="18"/>
                          </w:rPr>
                          <w:t>导致地方政府或监管机构的调查，并责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令停业整顿等。战略与运营目标或关键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业绩指标执行不合理，严重偏离，对战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略与运营目标的实现产生明显的消极 作用。除以上缺陷外认定为一般缺陷。</w:t>
                        </w:r>
                      </w:p>
                    </w:tc>
                  </w:tr>
                  <w:tr>
                    <w:trPr>
                      <w:trHeight w:val="57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3" w:right="-28"/>
                          <w:jc w:val="left"/>
                          <w:rPr>
                            <w:rFonts w:ascii="宋体" w:hAnsi="宋体" w:cs="宋体" w:eastAsia="宋体" w:hint="default"/>
                            <w:sz w:val="18"/>
                            <w:szCs w:val="18"/>
                          </w:rPr>
                        </w:pPr>
                        <w:r>
                          <w:rPr>
                            <w:rFonts w:ascii="宋体" w:hAnsi="宋体" w:cs="宋体" w:eastAsia="宋体" w:hint="default"/>
                            <w:spacing w:val="-4"/>
                            <w:sz w:val="18"/>
                            <w:szCs w:val="18"/>
                          </w:rPr>
                          <w:t>重大缺陷：利润总额潜在错报金额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w:t>
                        </w:r>
                        <w:r>
                          <w:rPr>
                            <w:rFonts w:ascii="宋体" w:hAnsi="宋体" w:cs="宋体" w:eastAsia="宋体" w:hint="default"/>
                            <w:spacing w:val="-87"/>
                            <w:sz w:val="18"/>
                            <w:szCs w:val="18"/>
                          </w:rPr>
                          <w:t> </w:t>
                        </w:r>
                        <w:r>
                          <w:rPr>
                            <w:rFonts w:ascii="宋体" w:hAnsi="宋体" w:cs="宋体" w:eastAsia="宋体" w:hint="default"/>
                            <w:sz w:val="18"/>
                            <w:szCs w:val="18"/>
                          </w:rPr>
                          <w:t>计报表利润总额的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；资产总额潜在错报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；经 营收入潜在错报的金额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 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w:t>
                        </w:r>
                        <w:r>
                          <w:rPr>
                            <w:rFonts w:ascii="宋体" w:hAnsi="宋体" w:cs="宋体" w:eastAsia="宋体" w:hint="default"/>
                            <w:spacing w:val="-22"/>
                            <w:sz w:val="18"/>
                            <w:szCs w:val="18"/>
                          </w:rPr>
                          <w:t> </w:t>
                        </w:r>
                        <w:r>
                          <w:rPr>
                            <w:rFonts w:ascii="宋体" w:hAnsi="宋体" w:cs="宋体" w:eastAsia="宋体" w:hint="default"/>
                            <w:sz w:val="18"/>
                            <w:szCs w:val="18"/>
                          </w:rPr>
                          <w:t>合并会计报表利润总额的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错报＜合并 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；合并会计报表资</w:t>
                        </w:r>
                        <w:r>
                          <w:rPr>
                            <w:rFonts w:ascii="宋体" w:hAnsi="宋体" w:cs="宋体" w:eastAsia="宋体" w:hint="default"/>
                            <w:sz w:val="18"/>
                            <w:szCs w:val="18"/>
                          </w:rPr>
                          <w:t> 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错报＜合并会计报表资产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；合并会计报表主营业务收入或</w:t>
                        </w:r>
                        <w:r>
                          <w:rPr>
                            <w:rFonts w:ascii="宋体" w:hAnsi="宋体" w:cs="宋体" w:eastAsia="宋体" w:hint="default"/>
                            <w:sz w:val="18"/>
                            <w:szCs w:val="18"/>
                          </w:rPr>
                          <w:t> 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 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。一般缺陷：利</w:t>
                        </w:r>
                        <w:r>
                          <w:rPr>
                            <w:rFonts w:ascii="宋体" w:hAnsi="宋体" w:cs="宋体" w:eastAsia="宋体" w:hint="default"/>
                            <w:sz w:val="18"/>
                            <w:szCs w:val="18"/>
                          </w:rPr>
                          <w:t> 润总额潜在错报金额＜合并会计报表利润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；资产总额潜在错报的金额＜合</w:t>
                        </w:r>
                        <w:r>
                          <w:rPr>
                            <w:rFonts w:ascii="宋体" w:hAnsi="宋体" w:cs="宋体" w:eastAsia="宋体" w:hint="default"/>
                            <w:sz w:val="18"/>
                            <w:szCs w:val="18"/>
                          </w:rPr>
                          <w:t> 并会计报表资产总额的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；经营收入潜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在错报的金额＜合并会计报表主营业务收 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4" w:lineRule="auto" w:before="51"/>
                          <w:ind w:left="4" w:right="21"/>
                          <w:jc w:val="left"/>
                          <w:rPr>
                            <w:rFonts w:ascii="宋体" w:hAnsi="宋体" w:cs="宋体" w:eastAsia="宋体" w:hint="default"/>
                            <w:sz w:val="18"/>
                            <w:szCs w:val="18"/>
                          </w:rPr>
                        </w:pPr>
                        <w:r>
                          <w:rPr>
                            <w:rFonts w:ascii="宋体" w:hAnsi="宋体" w:cs="宋体" w:eastAsia="宋体" w:hint="default"/>
                            <w:sz w:val="18"/>
                            <w:szCs w:val="18"/>
                          </w:rPr>
                          <w:t>重大缺陷：利润总额潜在错报金额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 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；资产总额 潜在错报的金额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；经营收入潜在错报的金额</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合并会计报表主营业务收入或营业收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。重要缺陷：合并会计报表利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错报＜合并会计报表利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；合并会计报表资产总额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；合并会计报表主营业务收入 或营业收入的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错报＜合并会计报 表主营业务收入或营业收入的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 </w:t>
                        </w:r>
                        <w:r>
                          <w:rPr>
                            <w:rFonts w:ascii="宋体" w:hAnsi="宋体" w:cs="宋体" w:eastAsia="宋体" w:hint="default"/>
                            <w:spacing w:val="-4"/>
                            <w:sz w:val="18"/>
                            <w:szCs w:val="18"/>
                          </w:rPr>
                          <w:t>般缺陷：利润总额潜在错报金额＜合并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；资产总额潜 在错报的金额＜合并会计报表资产总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；经营收入潜在错报的金额＜ 合并会计报表主营业务收入或营业收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left="154" w:right="1235"/>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83"/>
              <w:jc w:val="left"/>
              <w:rPr>
                <w:rFonts w:ascii="宋体" w:hAnsi="宋体" w:cs="宋体" w:eastAsia="宋体" w:hint="default"/>
                <w:sz w:val="18"/>
                <w:szCs w:val="18"/>
              </w:rPr>
            </w:pPr>
            <w:r>
              <w:rPr>
                <w:rFonts w:ascii="宋体" w:hAnsi="宋体" w:cs="宋体" w:eastAsia="宋体" w:hint="default"/>
                <w:sz w:val="18"/>
                <w:szCs w:val="18"/>
              </w:rPr>
              <w:t>我们认为，金溢科技公司按照深圳证券交易所《中小企业板上市公司规范运作指引》规定于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大方面保持了有效的财务报告内部控制。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235"/>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12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1235"/>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7" w:right="1235"/>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35"/>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[2018}3-176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赵国梁、龙海燕</w:t>
            </w:r>
          </w:p>
        </w:tc>
      </w:tr>
    </w:tbl>
    <w:p>
      <w:pPr>
        <w:pStyle w:val="BodyText"/>
        <w:spacing w:line="240" w:lineRule="auto" w:before="51"/>
        <w:ind w:left="0" w:right="976"/>
        <w:jc w:val="center"/>
      </w:pPr>
      <w:r>
        <w:rPr/>
        <w:t>审计报告正文</w:t>
      </w:r>
    </w:p>
    <w:p>
      <w:pPr>
        <w:pStyle w:val="Heading4"/>
        <w:spacing w:line="240" w:lineRule="auto" w:before="115"/>
        <w:ind w:left="153" w:right="1235"/>
        <w:jc w:val="left"/>
        <w:rPr>
          <w:b w:val="0"/>
          <w:bCs w:val="0"/>
        </w:rPr>
      </w:pPr>
      <w:r>
        <w:rPr/>
        <w:t>深圳市金溢科技股份有限公司全体股东：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633" w:right="1118"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我们审计了深圳市金溢科技股份有限公司（以下简称金溢科技公司）财务报表，包括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w:t>
      </w:r>
    </w:p>
    <w:p>
      <w:pPr>
        <w:pStyle w:val="BodyText"/>
        <w:spacing w:line="300" w:lineRule="auto"/>
        <w:ind w:left="154" w:right="1118"/>
        <w:jc w:val="left"/>
      </w:pPr>
      <w:r>
        <w:rPr>
          <w:spacing w:val="-2"/>
        </w:rPr>
        <w:t>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年度的合并及母公司利润表、合并及母公司现金流量表、合并及母公司所有者权益变动表，以及相关财务</w:t>
      </w:r>
      <w:r>
        <w:rPr>
          <w:spacing w:val="-61"/>
        </w:rPr>
        <w:t> </w:t>
      </w:r>
      <w:r>
        <w:rPr>
          <w:spacing w:val="-61"/>
        </w:rPr>
      </w:r>
      <w:r>
        <w:rPr/>
        <w:t>报表附注。</w:t>
      </w:r>
    </w:p>
    <w:p>
      <w:pPr>
        <w:pStyle w:val="BodyText"/>
        <w:spacing w:line="300" w:lineRule="auto" w:before="31"/>
        <w:ind w:right="0" w:firstLine="480"/>
        <w:jc w:val="left"/>
      </w:pPr>
      <w:r>
        <w:rPr>
          <w:spacing w:val="-1"/>
        </w:rPr>
        <w:t>我们认为，后附的财务报表在所有重大方面按照企业会计准则的规定编制，公允反映了金溢科技公司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11"/>
        <w:rPr>
          <w:rFonts w:ascii="宋体" w:hAnsi="宋体" w:cs="宋体" w:eastAsia="宋体" w:hint="default"/>
          <w:sz w:val="24"/>
          <w:szCs w:val="24"/>
        </w:rPr>
      </w:pPr>
    </w:p>
    <w:p>
      <w:pPr>
        <w:pStyle w:val="BodyText"/>
        <w:spacing w:line="316" w:lineRule="auto"/>
        <w:ind w:left="633" w:right="1113"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步阐述了我们在这些准则下的责任。按照中国注册会计师职业道德守则，我们独立于金溢科技公司，并履行了职业道德方面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9"/>
        <w:ind w:right="1235"/>
        <w:jc w:val="left"/>
      </w:pPr>
      <w:r>
        <w:rPr/>
        <w:t>行审计并形成审计意见为背景，我们不对这些事项单独发表意见。</w:t>
      </w:r>
    </w:p>
    <w:p>
      <w:pPr>
        <w:pStyle w:val="BodyText"/>
        <w:spacing w:line="240" w:lineRule="auto" w:before="76"/>
        <w:ind w:left="633" w:right="123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收入确认</w:t>
      </w:r>
    </w:p>
    <w:p>
      <w:pPr>
        <w:pStyle w:val="BodyText"/>
        <w:spacing w:line="300" w:lineRule="auto" w:before="63"/>
        <w:ind w:left="633" w:right="0"/>
        <w:jc w:val="left"/>
      </w:pPr>
      <w:r>
        <w:rPr>
          <w:rFonts w:ascii="Times New Roman" w:hAnsi="Times New Roman" w:cs="Times New Roman" w:eastAsia="Times New Roman" w:hint="default"/>
        </w:rPr>
        <w:t>1. </w:t>
      </w:r>
      <w:r>
        <w:rPr/>
        <w:t>关键审计事项 </w:t>
      </w:r>
      <w:r>
        <w:rPr>
          <w:spacing w:val="-3"/>
        </w:rPr>
        <w:t>如财务报表附注五（二）</w:t>
      </w:r>
      <w:r>
        <w:rPr>
          <w:rFonts w:ascii="Times New Roman" w:hAnsi="Times New Roman" w:cs="Times New Roman" w:eastAsia="Times New Roman" w:hint="default"/>
          <w:spacing w:val="-3"/>
        </w:rPr>
        <w:t>1</w:t>
      </w:r>
      <w:r>
        <w:rPr>
          <w:spacing w:val="-3"/>
        </w:rPr>
        <w:t>所述，金溢科技公司</w:t>
      </w:r>
      <w:r>
        <w:rPr>
          <w:rFonts w:ascii="Times New Roman" w:hAnsi="Times New Roman" w:cs="Times New Roman" w:eastAsia="Times New Roman" w:hint="default"/>
          <w:spacing w:val="-3"/>
        </w:rPr>
        <w:t>2017</w:t>
      </w:r>
      <w:r>
        <w:rPr>
          <w:spacing w:val="-3"/>
        </w:rPr>
        <w:t>年度销售收入</w:t>
      </w:r>
      <w:r>
        <w:rPr>
          <w:rFonts w:ascii="Times New Roman" w:hAnsi="Times New Roman" w:cs="Times New Roman" w:eastAsia="Times New Roman" w:hint="default"/>
          <w:spacing w:val="-3"/>
        </w:rPr>
        <w:t>622,649,833.01</w:t>
      </w:r>
      <w:r>
        <w:rPr>
          <w:spacing w:val="-3"/>
        </w:rPr>
        <w:t>元。本年为金溢科技公司上市第一年，</w:t>
      </w:r>
    </w:p>
    <w:p>
      <w:pPr>
        <w:pStyle w:val="BodyText"/>
        <w:spacing w:line="300" w:lineRule="auto" w:before="13"/>
        <w:ind w:left="154" w:right="1128"/>
        <w:jc w:val="left"/>
      </w:pPr>
      <w:r>
        <w:rPr>
          <w:rFonts w:ascii="Times New Roman" w:hAnsi="Times New Roman" w:cs="Times New Roman" w:eastAsia="Times New Roman" w:hint="default"/>
          <w:spacing w:val="-1"/>
        </w:rPr>
        <w:t>2017</w:t>
      </w:r>
      <w:r>
        <w:rPr>
          <w:spacing w:val="-1"/>
        </w:rPr>
        <w:t>年度销售收入相比上年</w:t>
      </w:r>
      <w:r>
        <w:rPr>
          <w:rFonts w:ascii="Times New Roman" w:hAnsi="Times New Roman" w:cs="Times New Roman" w:eastAsia="Times New Roman" w:hint="default"/>
          <w:spacing w:val="-1"/>
        </w:rPr>
        <w:t>668,721,241.20</w:t>
      </w:r>
      <w:r>
        <w:rPr>
          <w:spacing w:val="-1"/>
        </w:rPr>
        <w:t>元下降</w:t>
      </w:r>
      <w:r>
        <w:rPr>
          <w:rFonts w:ascii="Times New Roman" w:hAnsi="Times New Roman" w:cs="Times New Roman" w:eastAsia="Times New Roman" w:hint="default"/>
          <w:spacing w:val="-1"/>
        </w:rPr>
        <w:t>6.89%</w:t>
      </w:r>
      <w:r>
        <w:rPr>
          <w:spacing w:val="-1"/>
        </w:rPr>
        <w:t>，由于收入的真实性和准确性对于金溢科技公司财务报表的公允列报</w:t>
      </w:r>
      <w:r>
        <w:rPr>
          <w:spacing w:val="-82"/>
        </w:rPr>
        <w:t> </w:t>
      </w:r>
      <w:r>
        <w:rPr>
          <w:spacing w:val="-82"/>
        </w:rPr>
      </w:r>
      <w:r>
        <w:rPr/>
        <w:t>至关重要，我们将收入确认作为关键审计事项。</w:t>
      </w:r>
    </w:p>
    <w:p>
      <w:pPr>
        <w:pStyle w:val="BodyText"/>
        <w:spacing w:line="300" w:lineRule="auto" w:before="31"/>
        <w:ind w:left="634" w:right="1962"/>
        <w:jc w:val="left"/>
      </w:pPr>
      <w:r>
        <w:rPr>
          <w:rFonts w:ascii="Times New Roman" w:hAnsi="Times New Roman" w:cs="Times New Roman" w:eastAsia="Times New Roman" w:hint="default"/>
        </w:rPr>
        <w:t>2.  </w:t>
      </w:r>
      <w:r>
        <w:rPr/>
        <w:t>审计中的应对 </w:t>
      </w:r>
      <w:r>
        <w:rPr>
          <w:rFonts w:ascii="Times New Roman" w:hAnsi="Times New Roman" w:cs="Times New Roman" w:eastAsia="Times New Roman" w:hint="default"/>
        </w:rPr>
        <w:t>(1)</w:t>
      </w:r>
      <w:r>
        <w:rPr/>
        <w:t>了解金溢科技公司与销售、收款相关的内部控制，并对其中的关键内部控制执行测试； </w:t>
      </w:r>
      <w:r>
        <w:rPr>
          <w:rFonts w:ascii="Times New Roman" w:hAnsi="Times New Roman" w:cs="Times New Roman" w:eastAsia="Times New Roman" w:hint="default"/>
        </w:rPr>
        <w:t>(2)</w:t>
      </w:r>
      <w:r>
        <w:rPr/>
        <w:t>执行分析性复核程序，分析销售收入和毛利率的变动是否合理； </w:t>
      </w:r>
      <w:r>
        <w:rPr>
          <w:rFonts w:ascii="Times New Roman" w:hAnsi="Times New Roman" w:cs="Times New Roman" w:eastAsia="Times New Roman" w:hint="default"/>
        </w:rPr>
        <w:t>(3)</w:t>
      </w:r>
      <w:r>
        <w:rPr/>
        <w:t>对本期的销售收入记录进行抽样，并执行包括函证在内的测试程序，以检查相关记录是否真实、准确； </w:t>
      </w:r>
      <w:r>
        <w:rPr>
          <w:rFonts w:ascii="Times New Roman" w:hAnsi="Times New Roman" w:cs="Times New Roman" w:eastAsia="Times New Roman" w:hint="default"/>
        </w:rPr>
        <w:t>(4)</w:t>
      </w:r>
      <w:r>
        <w:rPr/>
        <w:t>对资产负债表日前后发生的销售记录执行截止性测试，检查相关销售收入是否计入正确会计期间。</w:t>
      </w:r>
    </w:p>
    <w:p>
      <w:pPr>
        <w:pStyle w:val="BodyText"/>
        <w:spacing w:line="240" w:lineRule="auto" w:before="13"/>
        <w:ind w:left="634" w:right="123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应收账款坏账准备</w:t>
      </w:r>
    </w:p>
    <w:p>
      <w:pPr>
        <w:pStyle w:val="BodyText"/>
        <w:spacing w:line="300" w:lineRule="auto" w:before="63"/>
        <w:ind w:left="634" w:right="0"/>
        <w:jc w:val="left"/>
      </w:pPr>
      <w:r>
        <w:rPr>
          <w:rFonts w:ascii="Times New Roman" w:hAnsi="Times New Roman" w:cs="Times New Roman" w:eastAsia="Times New Roman" w:hint="default"/>
        </w:rPr>
        <w:t>1. </w:t>
      </w:r>
      <w:r>
        <w:rPr/>
        <w:t>关键审计事项 如财务报表附注五（一）</w:t>
      </w:r>
      <w:r>
        <w:rPr>
          <w:rFonts w:ascii="Times New Roman" w:hAnsi="Times New Roman" w:cs="Times New Roman" w:eastAsia="Times New Roman" w:hint="default"/>
        </w:rPr>
        <w:t>3</w:t>
      </w:r>
      <w:r>
        <w:rPr/>
        <w:t>所述，截至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日，金溢科技公司应收账款账面价值</w:t>
      </w:r>
      <w:r>
        <w:rPr>
          <w:rFonts w:ascii="Times New Roman" w:hAnsi="Times New Roman" w:cs="Times New Roman" w:eastAsia="Times New Roman" w:hint="default"/>
        </w:rPr>
        <w:t>232,493,751.08</w:t>
      </w:r>
      <w:r>
        <w:rPr/>
        <w:t>元，占金溢科</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1"/>
        <w:jc w:val="both"/>
      </w:pPr>
      <w:r>
        <w:rPr>
          <w:spacing w:val="-2"/>
        </w:rPr>
        <w:t>技公司</w:t>
      </w:r>
      <w:r>
        <w:rPr>
          <w:rFonts w:ascii="Times New Roman" w:hAnsi="Times New Roman" w:cs="Times New Roman" w:eastAsia="Times New Roman" w:hint="default"/>
          <w:spacing w:val="-2"/>
        </w:rPr>
        <w:t>2017</w:t>
      </w:r>
      <w:r>
        <w:rPr>
          <w:spacing w:val="-2"/>
        </w:rPr>
        <w:t>年度合并营业收入的</w:t>
      </w:r>
      <w:r>
        <w:rPr>
          <w:rFonts w:ascii="Times New Roman" w:hAnsi="Times New Roman" w:cs="Times New Roman" w:eastAsia="Times New Roman" w:hint="default"/>
          <w:spacing w:val="-2"/>
        </w:rPr>
        <w:t>37.34%</w:t>
      </w:r>
      <w:r>
        <w:rPr>
          <w:spacing w:val="-2"/>
        </w:rPr>
        <w:t>，占金溢科技公司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日资产总额的</w:t>
      </w:r>
      <w:r>
        <w:rPr>
          <w:rFonts w:ascii="Times New Roman" w:hAnsi="Times New Roman" w:cs="Times New Roman" w:eastAsia="Times New Roman" w:hint="default"/>
          <w:spacing w:val="-2"/>
        </w:rPr>
        <w:t>16.85%</w:t>
      </w:r>
      <w:r>
        <w:rPr>
          <w:spacing w:val="-2"/>
        </w:rPr>
        <w:t>。由于期末应收账款余额重大，</w:t>
      </w:r>
      <w:r>
        <w:rPr>
          <w:spacing w:val="-74"/>
        </w:rPr>
        <w:t> </w:t>
      </w:r>
      <w:r>
        <w:rPr>
          <w:spacing w:val="-74"/>
        </w:rPr>
      </w:r>
      <w:r>
        <w:rPr>
          <w:spacing w:val="-2"/>
        </w:rPr>
        <w:t>且应收账款坏账准备的估计涉及金溢科技公司管理层（以下简称管理层）的主观假设和判断，因此我们将期末应收账款的坏</w:t>
      </w:r>
      <w:r>
        <w:rPr>
          <w:spacing w:val="-66"/>
        </w:rPr>
        <w:t> </w:t>
      </w:r>
      <w:r>
        <w:rPr>
          <w:spacing w:val="-66"/>
        </w:rPr>
      </w:r>
      <w:r>
        <w:rPr/>
        <w:t>账准备作为关键审计事项。</w:t>
      </w:r>
    </w:p>
    <w:p>
      <w:pPr>
        <w:pStyle w:val="BodyText"/>
        <w:spacing w:line="240" w:lineRule="auto" w:before="24"/>
        <w:ind w:left="606"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审计中的应对</w:t>
      </w:r>
    </w:p>
    <w:p>
      <w:pPr>
        <w:pStyle w:val="BodyText"/>
        <w:spacing w:line="300" w:lineRule="auto" w:before="63"/>
        <w:ind w:right="1131" w:firstLine="480"/>
        <w:jc w:val="both"/>
      </w:pPr>
      <w:r>
        <w:rPr>
          <w:rFonts w:ascii="Times New Roman" w:hAnsi="Times New Roman" w:cs="Times New Roman" w:eastAsia="Times New Roman" w:hint="default"/>
          <w:spacing w:val="-1"/>
        </w:rPr>
        <w:t>(1)</w:t>
      </w:r>
      <w:r>
        <w:rPr>
          <w:spacing w:val="-1"/>
        </w:rPr>
        <w:t>复核管理层有关应收账款坏账准备计提会计政策的合理及一致性，评估并测试了金溢科技公司关于应收账款可收回</w:t>
      </w:r>
      <w:r>
        <w:rPr>
          <w:w w:val="99"/>
        </w:rPr>
        <w:t> </w:t>
      </w:r>
      <w:r>
        <w:rPr/>
        <w:t>性的内部控制；</w:t>
      </w:r>
    </w:p>
    <w:p>
      <w:pPr>
        <w:pStyle w:val="BodyText"/>
        <w:spacing w:line="300" w:lineRule="auto" w:before="31"/>
        <w:ind w:left="633" w:right="0"/>
        <w:jc w:val="left"/>
      </w:pPr>
      <w:r>
        <w:rPr>
          <w:rFonts w:ascii="Times New Roman" w:hAnsi="Times New Roman" w:cs="Times New Roman" w:eastAsia="Times New Roman" w:hint="default"/>
        </w:rPr>
        <w:t>(2)</w:t>
      </w:r>
      <w:r>
        <w:rPr/>
        <w:t>获取应收账款账龄分析表和坏账准备计提表，分析检查应收账款账龄及坏账计提的合理性和准确性；</w:t>
      </w:r>
      <w:r>
        <w:rPr>
          <w:w w:val="99"/>
        </w:rPr>
        <w:t> </w:t>
      </w:r>
      <w:r>
        <w:rPr>
          <w:rFonts w:ascii="Times New Roman" w:hAnsi="Times New Roman" w:cs="Times New Roman" w:eastAsia="Times New Roman" w:hint="default"/>
        </w:rPr>
        <w:t>(3)</w:t>
      </w:r>
      <w:r>
        <w:rPr/>
        <w:t>针对金额重大或账龄较长的应收账款余额，我们执行了函证程序，并将函证结果与账面记录的金额进行核对；</w:t>
      </w:r>
      <w:r>
        <w:rPr>
          <w:w w:val="99"/>
        </w:rPr>
        <w:t> </w:t>
      </w:r>
      <w:r>
        <w:rPr>
          <w:rFonts w:ascii="Times New Roman" w:hAnsi="Times New Roman" w:cs="Times New Roman" w:eastAsia="Times New Roman" w:hint="default"/>
          <w:spacing w:val="-3"/>
        </w:rPr>
        <w:t>(4)</w:t>
      </w:r>
      <w:r>
        <w:rPr>
          <w:spacing w:val="-3"/>
        </w:rPr>
        <w:t>针对单项计提坏账准备的应收账款，了解并评估公司管理层对应收账款预计回收情况的判断，并检查历史交易记录、</w:t>
      </w:r>
    </w:p>
    <w:p>
      <w:pPr>
        <w:pStyle w:val="BodyText"/>
        <w:spacing w:line="240" w:lineRule="auto" w:before="13"/>
        <w:ind w:right="0"/>
        <w:jc w:val="both"/>
      </w:pPr>
      <w:r>
        <w:rPr/>
        <w:t>诉讼文件、期后还款计划等相关文件。</w:t>
      </w:r>
    </w:p>
    <w:p>
      <w:pPr>
        <w:spacing w:line="240" w:lineRule="auto" w:before="0"/>
        <w:rPr>
          <w:rFonts w:ascii="宋体" w:hAnsi="宋体" w:cs="宋体" w:eastAsia="宋体" w:hint="default"/>
          <w:sz w:val="18"/>
          <w:szCs w:val="18"/>
        </w:rPr>
      </w:pPr>
    </w:p>
    <w:p>
      <w:pPr>
        <w:pStyle w:val="BodyText"/>
        <w:spacing w:line="316" w:lineRule="auto" w:before="153"/>
        <w:ind w:left="633" w:right="1132" w:firstLine="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left="154" w:right="0"/>
        <w:jc w:val="both"/>
      </w:pPr>
      <w:r>
        <w:rPr/>
        <w:t>要报告。</w:t>
      </w:r>
    </w:p>
    <w:p>
      <w:pPr>
        <w:spacing w:line="240" w:lineRule="auto" w:before="0"/>
        <w:rPr>
          <w:rFonts w:ascii="宋体" w:hAnsi="宋体" w:cs="宋体" w:eastAsia="宋体" w:hint="default"/>
          <w:sz w:val="18"/>
          <w:szCs w:val="18"/>
        </w:rPr>
      </w:pPr>
    </w:p>
    <w:p>
      <w:pPr>
        <w:spacing w:line="316" w:lineRule="auto" w:before="153"/>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9" w:lineRule="auto" w:before="19"/>
        <w:ind w:left="634" w:right="0" w:hanging="480"/>
        <w:jc w:val="left"/>
      </w:pPr>
      <w:r>
        <w:rPr/>
        <w:t>财务报表不存在由于舞弊或错误导致的重大错报。 </w:t>
      </w:r>
      <w:r>
        <w:rPr>
          <w:spacing w:val="-1"/>
        </w:rPr>
        <w:t>在编制财务报表时，管理层负责评估金溢科技公司的持续经营能力，披露与持续经营相关的事项（如适用），并运用</w:t>
      </w:r>
    </w:p>
    <w:p>
      <w:pPr>
        <w:pStyle w:val="BodyText"/>
        <w:spacing w:line="316" w:lineRule="auto" w:before="17"/>
        <w:ind w:left="634" w:right="3792" w:hanging="480"/>
        <w:jc w:val="left"/>
      </w:pPr>
      <w:r>
        <w:rPr/>
        <w:t>持续经营假设，除非计划进行清算、终止运营或别无其他现实的选择。 金溢科技公司治理层（以下简称治理层）负责监督金溢科技公司的财务报告过程。</w:t>
      </w:r>
    </w:p>
    <w:p>
      <w:pPr>
        <w:spacing w:line="240" w:lineRule="auto" w:before="4"/>
        <w:rPr>
          <w:rFonts w:ascii="宋体" w:hAnsi="宋体" w:cs="宋体" w:eastAsia="宋体" w:hint="default"/>
          <w:sz w:val="25"/>
          <w:szCs w:val="25"/>
        </w:rPr>
      </w:pPr>
    </w:p>
    <w:p>
      <w:pPr>
        <w:spacing w:line="316" w:lineRule="auto" w:before="0"/>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6" w:lineRule="auto" w:before="19"/>
        <w:ind w:right="1132"/>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34" w:right="1235"/>
        <w:jc w:val="left"/>
      </w:pPr>
      <w:r>
        <w:rPr/>
        <w:t>在按照审计准则执行审计工作的过程中，我们运用职业判断，并保持职业怀疑。同时，我们也执行以下工作：</w:t>
      </w:r>
    </w:p>
    <w:p>
      <w:pPr>
        <w:pStyle w:val="BodyText"/>
        <w:spacing w:line="309" w:lineRule="auto" w:before="76"/>
        <w:ind w:right="1042"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24"/>
        <w:ind w:left="633" w:right="123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了解与审计相关的内部控制，以设计恰当的审计程序，但目的并非对内部控制的有效性发表意见。</w:t>
      </w:r>
    </w:p>
    <w:p>
      <w:pPr>
        <w:pStyle w:val="BodyText"/>
        <w:spacing w:line="240" w:lineRule="auto" w:before="63"/>
        <w:ind w:left="633" w:right="123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评价管理层选用会计政策的恰当性和作出会计估计及相关披露的合理性。</w:t>
      </w:r>
    </w:p>
    <w:p>
      <w:pPr>
        <w:pStyle w:val="BodyText"/>
        <w:spacing w:line="312" w:lineRule="auto" w:before="63"/>
        <w:ind w:right="1130"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对管理层使用持续经营假设的恰当性得出结论。同时，根据获取的审计证据，就可能导致对金溢科技公司持续经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论基于截至审计报告日可获得的信息。然而，未来的事项或情况可能导致金溢科技公司不能持续经营。</w:t>
      </w:r>
    </w:p>
    <w:p>
      <w:pPr>
        <w:pStyle w:val="BodyText"/>
        <w:spacing w:line="240" w:lineRule="auto" w:before="22"/>
        <w:ind w:left="633" w:right="1235"/>
        <w:jc w:val="left"/>
      </w:pPr>
      <w:r>
        <w:rPr>
          <w:rFonts w:ascii="Times New Roman" w:hAnsi="Times New Roman" w:cs="Times New Roman" w:eastAsia="Times New Roman" w:hint="default"/>
          <w:w w:val="99"/>
        </w:rPr>
        <w:t>(</w:t>
      </w:r>
      <w:r>
        <w:rPr>
          <w:w w:val="99"/>
        </w:rPr>
        <w:t>五</w:t>
      </w:r>
      <w:r>
        <w:rPr>
          <w:rFonts w:ascii="Times New Roman" w:hAnsi="Times New Roman" w:cs="Times New Roman" w:eastAsia="Times New Roman" w:hint="default"/>
          <w:w w:val="99"/>
        </w:rPr>
        <w:t>)  </w:t>
      </w:r>
      <w:r>
        <w:rPr>
          <w:w w:val="99"/>
        </w:rPr>
        <w:t>评价财务报表的总体列报、结构和内容（包括披露</w:t>
      </w:r>
      <w:r>
        <w:rPr>
          <w:spacing w:val="-90"/>
          <w:w w:val="99"/>
        </w:rPr>
        <w:t>）</w:t>
      </w:r>
      <w:r>
        <w:rPr>
          <w:w w:val="99"/>
        </w:rPr>
        <w:t>，并评价财务报表是否公允反映相关交易和事项。</w:t>
      </w:r>
      <w:r>
        <w:rPr/>
      </w:r>
    </w:p>
    <w:p>
      <w:pPr>
        <w:pStyle w:val="BodyText"/>
        <w:spacing w:line="300" w:lineRule="auto" w:before="63"/>
        <w:ind w:right="1130"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就金溢科技公司中实体或业务活动的财务信息获取充分、适当的审计证据，以对财务报表发表审计意见。我们负</w:t>
      </w:r>
      <w:r>
        <w:rPr>
          <w:w w:val="99"/>
        </w:rPr>
        <w:t> </w:t>
      </w:r>
      <w:r>
        <w:rPr/>
        <w:t>责指导、监督和执行集团审计，并对审计意见承担全部责任。</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133" w:firstLine="480"/>
        <w:jc w:val="both"/>
      </w:pPr>
      <w:r>
        <w:rPr>
          <w:spacing w:val="-1"/>
        </w:rPr>
        <w:t>我们还就已遵守与独立性相关的职业道德要求向治理层提供声明，并与治理层沟通可能被合理认为影响我们独立性的</w:t>
      </w:r>
      <w:r>
        <w:rPr/>
        <w:t> </w:t>
      </w:r>
      <w:r>
        <w:rPr>
          <w:spacing w:val="-4"/>
        </w:rPr>
        <w:t>所有关系和其他事项，以及相关的防范措施（如适用）。</w:t>
      </w:r>
    </w:p>
    <w:p>
      <w:pPr>
        <w:pStyle w:val="BodyText"/>
        <w:spacing w:line="316" w:lineRule="auto" w:before="19"/>
        <w:ind w:right="113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BodyText"/>
        <w:tabs>
          <w:tab w:pos="7561" w:val="left" w:leader="none"/>
        </w:tabs>
        <w:spacing w:line="240" w:lineRule="auto"/>
        <w:ind w:left="0" w:right="1130"/>
        <w:jc w:val="right"/>
      </w:pPr>
      <w:r>
        <w:rPr/>
        <w:t>天健会计师事务所（特殊普通合伙）</w:t>
        <w:tab/>
        <w:t>中国注册会计师： 赵国梁</w:t>
      </w:r>
    </w:p>
    <w:p>
      <w:pPr>
        <w:pStyle w:val="BodyText"/>
        <w:spacing w:line="240" w:lineRule="auto" w:before="76"/>
        <w:ind w:left="0" w:right="1130"/>
        <w:jc w:val="right"/>
      </w:pPr>
      <w:r>
        <w:rPr/>
        <w:t>（项目合伙人）</w:t>
      </w:r>
    </w:p>
    <w:p>
      <w:pPr>
        <w:pStyle w:val="BodyText"/>
        <w:tabs>
          <w:tab w:pos="6900" w:val="left" w:leader="none"/>
        </w:tabs>
        <w:spacing w:line="240" w:lineRule="auto" w:before="76"/>
        <w:ind w:left="0" w:right="1130"/>
        <w:jc w:val="right"/>
      </w:pPr>
      <w:r>
        <w:rPr>
          <w:spacing w:val="-1"/>
        </w:rPr>
        <w:t>中国</w:t>
      </w:r>
      <w:r>
        <w:rPr>
          <w:rFonts w:ascii="Times New Roman" w:hAnsi="Times New Roman" w:cs="Times New Roman" w:eastAsia="Times New Roman" w:hint="default"/>
          <w:spacing w:val="-1"/>
        </w:rPr>
        <w:t>·</w:t>
      </w:r>
      <w:r>
        <w:rPr>
          <w:spacing w:val="-1"/>
        </w:rPr>
        <w:t>杭州</w:t>
        <w:tab/>
      </w:r>
      <w:r>
        <w:rPr/>
        <w:t>中国注册会计师：龙海燕</w:t>
      </w:r>
    </w:p>
    <w:p>
      <w:pPr>
        <w:spacing w:line="240" w:lineRule="auto" w:before="0"/>
        <w:rPr>
          <w:rFonts w:ascii="宋体" w:hAnsi="宋体" w:cs="宋体" w:eastAsia="宋体" w:hint="default"/>
          <w:sz w:val="18"/>
          <w:szCs w:val="18"/>
        </w:rPr>
      </w:pPr>
    </w:p>
    <w:p>
      <w:pPr>
        <w:pStyle w:val="BodyText"/>
        <w:spacing w:line="240" w:lineRule="auto" w:before="139"/>
        <w:ind w:left="0" w:right="1130"/>
        <w:jc w:val="right"/>
      </w:pPr>
      <w:r>
        <w:rPr/>
        <w:t>二〇一八年四月二十四日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235"/>
        <w:jc w:val="left"/>
        <w:rPr>
          <w:b w:val="0"/>
          <w:bCs w:val="0"/>
        </w:rPr>
      </w:pPr>
      <w:bookmarkStart w:name="二、财务报表" w:id="155"/>
      <w:bookmarkEnd w:id="155"/>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19"/>
        <w:jc w:val="left"/>
      </w:pPr>
      <w:r>
        <w:rPr/>
        <w:t>编制单位：深圳市金溢科技股份有限公司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643,826,376.29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348,753,592.32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232,493,751.08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205,166,342.61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25,732,211.25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7,609,511.36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2,541,833.34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16,264,232.62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9,038,851.36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103,585,507.26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124,020,305.18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201,507,317.43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1,225,951,229.27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695,006,402.83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41,780,969.36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48,401,892.21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55,632,421.19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40,645,354.95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36,283,167.79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37,206,022.92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3,602,967.52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5,672,504.42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11,129,917.60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9,723,961.73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153,730,443.46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141,649,736.23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1,379,681,672.73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836,656,139.06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51,668,271.52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61,647,211.87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132,750,726.60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134,528,834.18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58,879,285.46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88,842,732.39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36,708,587.65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36,084,532.51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28,266,804.75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37,590,715.46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33,277,612.90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33,335,551.47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341,551,288.88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392,029,577.88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258,569.38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419,540.68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19,598,398.82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21,145,595.71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19,856,968.20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21,565,136.39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361,408,257.08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413,594,714.27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630,153,882.82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103,079,589.47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43,014,124.09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33,828,825.63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231,672,160.26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201,483,608.17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1,022,640,167.17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426,672,023.27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-4,366,751.52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-3,610,598.48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1,018,273,415.65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423,061,424.79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1,379,681,672.73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836,656,139.06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法定代表人：罗瑞发</w:t>
        <w:tab/>
        <w:t>主管会计工作负责人：刘厚军</w:t>
        <w:tab/>
        <w:t>会计机构负责人：聂磊</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395,522,691.54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338,550,980.62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253,562,411.00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223,103,352.96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25,521,967.18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7,735,160.31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59,782,552.30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39,769,199.62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99,945,124.47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122,261,249.47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984,334,746.49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731,837,742.98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41,459,416.84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48,185,474.42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2,406,591.38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2,602,743.19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2,862,676.18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5,020,268.40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11,129,917.60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9,723,961.73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418,691,702.00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134,232,447.74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1,403,026,448.49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866,070,190.72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51,668,271.52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61,647,211.87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131,558,637.39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134,815,473.98</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877"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58,423,069.99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86,432,732.39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34,245,831.76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33,677,715.71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26,735,959.51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37,894,255.70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26,395,764.79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31,389,503.95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329,027,534.96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385,856,893.60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258,569.38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419,540.68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18,405,198.82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20,752,395.71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18,663,768.20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21,171,936.39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347,691,303.16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407,028,829.99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629,111,873.65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104,147,073.65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44,683,327.17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35,498,028.71</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877" w:top="1100" w:bottom="1160" w:left="980" w:right="0"/>
          <w:pgNumType w:start="101"/>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736.320007pt;width:157.7pt;height:19.650pt;mso-position-horizontal-relative:page;mso-position-vertical-relative:page;z-index:-956056" coordorigin="4242,14726" coordsize="3154,393">
            <v:shape style="position:absolute;left:4242;top:14726;width:3154;height:393" coordorigin="4242,14726" coordsize="3154,393" path="m4242,15119l7396,15119,7396,14726,4242,14726,4242,1511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263,739,944.51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231,116,258.37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1,055,335,145.33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459,041,360.73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1,403,026,448.49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866,070,190.72</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法定代表人：罗瑞发</w:t>
        <w:tab/>
        <w:t>主管会计工作负责人：刘厚军</w:t>
        <w:tab/>
        <w:t>会计机构负责人：聂磊</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622,649,833.01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668,721,241.20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622,649,833.01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668,721,241.20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569,223,793.18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564,058,782.28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353,214,394.57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357,247,932.18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6,848,021.57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6,218,950.60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76,877,335.19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67,157,652.97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128,001,341.43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122,480,511.85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-6,374,821.64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-1,279,318.18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10,657,522.06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12,233,052.86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3,956,289.96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188.599976pt;width:157.7pt;height:19.650pt;mso-position-horizontal-relative:page;mso-position-vertical-relative:page;z-index:-956032" coordorigin="4242,3772" coordsize="3154,393">
            <v:shape style="position:absolute;left:4242;top:3772;width:3154;height:393" coordorigin="4242,3772" coordsize="3154,393" path="m4242,4164l7396,4164,7396,3772,4242,3772,4242,416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52,953.17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42,815,983.71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100,251,266.67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104,662,458.92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396,389.49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34,058,129.45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1,299,175.68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1,163,319.98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99,348,480.48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137,557,268.39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11,554,789.62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17,589,495.13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87,793,690.86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119,967,773.26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87,793,690.86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119,967,773.26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89,417,850.55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121,642,814.86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-1,624,159.69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-1,675,041.60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87,793,690.86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119,967,773.26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89,417,850.55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121,642,814.86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-1,624,159.69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-1,675,041.60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法定代表人：罗瑞发</w:t>
        <w:tab/>
        <w:t>主管会计工作负责人：刘厚军</w:t>
        <w:tab/>
        <w:t>会计机构负责人：聂磊 </w:t>
      </w:r>
      <w:bookmarkStart w:name="4、母公司利润表" w:id="159"/>
      <w:bookmarkEnd w:id="1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609,200,429.01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663,296,604.64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350,584,820.20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357,694,611.65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6,133,759.01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5,947,145.86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70,094,171.40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62,372,535.85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118,604,802.16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112,759,355.35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-4,231,593.56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-1,230,118.83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9,579,946.06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12,163,433.32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2,967,123.29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52,953.17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42,708,202.87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104,162,803.07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113,589,641.44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382,697.81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33,857,168.96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1,299,175.68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1,083,289.46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103,246,325.20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146,363,520.94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11,393,340.60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17,589,495.13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128,774,025.81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91,852,984.60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128,774,025.81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128,774,025.81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tabs>
          <w:tab w:pos="3510" w:val="left" w:leader="none"/>
          <w:tab w:pos="7741" w:val="left" w:leader="none"/>
        </w:tabs>
        <w:spacing w:line="240" w:lineRule="auto" w:before="44"/>
        <w:ind w:left="0" w:right="1229"/>
        <w:jc w:val="right"/>
      </w:pPr>
      <w:r>
        <w:rPr/>
        <w:t>法定代表人：罗瑞发</w:t>
        <w:tab/>
        <w:t>主管会计工作负责人：刘厚军</w:t>
        <w:tab/>
        <w:t>会计机构负责人：聂磊</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646,091,285.18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728,286,462.78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24,733,801.87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21,141,665.00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25,777,920.23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16,695,093.04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696,603,007.28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766,123,220.82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376,380,172.16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454,284,321.74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131,196,355.54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137,064,943.96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75,104,513.03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74,921,912.87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99,647,145.71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80,596,444.70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682,328,186.44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746,867,623.27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14,274,820.84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19,255,597.55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38,310.51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304,067,123.29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304,143,733.29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38,310.51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22,828,255.73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33,373,595.62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522,828,255.73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33,373,595.62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-218,684,522.44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-33,335,285.11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557,484,800.00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557,484,800.00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47,350,238.55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40,206.80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50,084,206.80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67,350,238.55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507,400,593.20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-67,350,238.55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-8,525.68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302,982,365.92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-81,429,926.11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337,771,695.61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419,201,621.72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640,754,061.53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5"/>
          <w:szCs w:val="25"/>
        </w:rPr>
      </w:pPr>
    </w:p>
    <w:p>
      <w:pPr>
        <w:pStyle w:val="BodyText"/>
        <w:tabs>
          <w:tab w:pos="3510" w:val="left" w:leader="none"/>
          <w:tab w:pos="7741" w:val="left" w:leader="none"/>
        </w:tabs>
        <w:spacing w:line="240" w:lineRule="auto" w:before="44"/>
        <w:ind w:left="0" w:right="1229"/>
        <w:jc w:val="right"/>
      </w:pPr>
      <w:r>
        <w:rPr/>
        <w:t>法定代表人：罗瑞发</w:t>
        <w:tab/>
        <w:t>主管会计工作负责人：刘厚军</w:t>
        <w:tab/>
        <w:t>会计机构负责人：聂磊</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630,377,360.40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719,154,857.06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23,883,691.83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20,761,367.96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23,039,576.10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16,121,255.59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677,300,628.33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756,037,480.61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372,627,891.85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453,112,490.56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119,891,673.23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128,275,823.03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73,823,976.80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74,189,825.84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107,957,617.47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104,747,221.68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674,301,159.35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760,325,361.11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2,999,468.98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-4,287,880.50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35,884.87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303,767,123.29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303,843,733.29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35,884.87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9,544,376.92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6,460,488.25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286,832,100.00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746,376,476.92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8,460,488.25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-442,532,743.63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-8,424,603.38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554,484,800.00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554,484,800.00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47,350,238.55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17,706.80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50,061,706.80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67,350,238.55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504,423,093.20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-67,350,238.55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-8,525.68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64,881,292.87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-80,062,722.43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327,569,083.91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407,631,806.34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392,450,376.78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327,569,083.91</w:t>
            </w:r>
          </w:p>
        </w:tc>
      </w:tr>
    </w:tbl>
    <w:p>
      <w:pPr>
        <w:spacing w:line="240" w:lineRule="auto" w:before="6"/>
        <w:rPr>
          <w:rFonts w:ascii="宋体" w:hAnsi="宋体" w:cs="宋体" w:eastAsia="宋体" w:hint="default"/>
          <w:sz w:val="20"/>
          <w:szCs w:val="20"/>
        </w:rPr>
      </w:pPr>
    </w:p>
    <w:p>
      <w:pPr>
        <w:pStyle w:val="BodyText"/>
        <w:tabs>
          <w:tab w:pos="3664" w:val="left" w:leader="none"/>
          <w:tab w:pos="7895" w:val="left" w:leader="none"/>
        </w:tabs>
        <w:spacing w:line="240" w:lineRule="auto" w:before="44"/>
        <w:ind w:left="154" w:right="0"/>
        <w:jc w:val="left"/>
      </w:pPr>
      <w:r>
        <w:rPr/>
        <w:t>法定代表人：罗瑞发</w:t>
        <w:tab/>
        <w:t>主管会计工作负责人：刘厚军</w:t>
        <w:tab/>
        <w:t>会计机构负责人：聂磊</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35"/>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,589.47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825.63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201,483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,608.17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-3,610,5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423,061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,424.79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,589.47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201,483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,608.17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-3,610,5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423,061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,424.79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527,074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552.09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-756,15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595,211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,990.86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89,417,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850.55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-1,624,1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87,793,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690.86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527,074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868,006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557,462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524,964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556,484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-1,131,9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93.35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977,500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-59,229,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298.46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630,153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43,014,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124.09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231,672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,160.26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-4,366,7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51"/>
        <w:ind w:left="154" w:right="1235"/>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,589.47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423.05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136,858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,195.89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556.88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347,233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,651.53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,589.47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423.05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136,858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,195.89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556.88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347,233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,651.53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12,877,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64,625,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412.28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75,827,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773.26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121,642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,814.86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-1,675,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119,967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,773.26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-57,017,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402.58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-44,140,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402.58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-12,877,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402.58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-44,140,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825.63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201,483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,608.17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598.48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423,061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,424.79</w:t>
            </w:r>
          </w:p>
        </w:tc>
      </w:tr>
    </w:tbl>
    <w:p>
      <w:pPr>
        <w:spacing w:line="240" w:lineRule="auto" w:before="6"/>
        <w:rPr>
          <w:rFonts w:ascii="宋体" w:hAnsi="宋体" w:cs="宋体" w:eastAsia="宋体" w:hint="default"/>
          <w:sz w:val="20"/>
          <w:szCs w:val="20"/>
        </w:rPr>
      </w:pPr>
    </w:p>
    <w:p>
      <w:pPr>
        <w:pStyle w:val="BodyText"/>
        <w:tabs>
          <w:tab w:pos="3664" w:val="left" w:leader="none"/>
          <w:tab w:pos="7895" w:val="left" w:leader="none"/>
        </w:tabs>
        <w:spacing w:line="240" w:lineRule="auto" w:before="44"/>
        <w:ind w:left="154" w:right="0"/>
        <w:jc w:val="left"/>
      </w:pPr>
      <w:r>
        <w:rPr/>
        <w:t>法定代表人：罗瑞发</w:t>
        <w:tab/>
        <w:t>主管会计工作负责人：刘厚军</w:t>
        <w:tab/>
        <w:t>会计机构负责人：聂磊</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35"/>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35,498,02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64" w:right="0"/>
              <w:jc w:val="left"/>
              <w:rPr>
                <w:rFonts w:ascii="Times New Roman" w:hAnsi="Times New Roman" w:cs="Times New Roman" w:eastAsia="Times New Roman" w:hint="default"/>
                <w:sz w:val="18"/>
                <w:szCs w:val="18"/>
              </w:rPr>
            </w:pPr>
            <w:r>
              <w:rPr>
                <w:rFonts w:ascii="Times New Roman"/>
                <w:sz w:val="18"/>
              </w:rPr>
              <w:t>231,116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,258.37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459,041,3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35,498,02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231,116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,258.37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459,041,3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32,623,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686.14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596,293,7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84.60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984.60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554,484,8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554,484,8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-59,229,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298.46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-50,044,0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98.46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-50,044,0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117,800,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629,111,8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44,683,32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263,739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,944.51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1,055,335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,145.33</w:t>
            </w:r>
          </w:p>
        </w:tc>
      </w:tr>
    </w:tbl>
    <w:p>
      <w:pPr>
        <w:pStyle w:val="BodyText"/>
        <w:spacing w:line="240" w:lineRule="auto" w:before="51"/>
        <w:ind w:left="154" w:right="1235"/>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22,620,62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159,359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,635.14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374,407,3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34.92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22,620,62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159,359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,635.14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374,407,3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34.92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12,877,40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71,756,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623.23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84,634,02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5.81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128,774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,025.81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128,774,0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25.81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12,877,40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-57,017,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402.58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-44,140,0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12,877,40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-12,877,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402.58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-44,140,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-44,140,0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35,498,02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231,116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,258.37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459,041,3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60.73</w:t>
            </w:r>
          </w:p>
        </w:tc>
      </w:tr>
    </w:tbl>
    <w:p>
      <w:pPr>
        <w:spacing w:line="240" w:lineRule="auto" w:before="6"/>
        <w:rPr>
          <w:rFonts w:ascii="宋体" w:hAnsi="宋体" w:cs="宋体" w:eastAsia="宋体" w:hint="default"/>
          <w:sz w:val="20"/>
          <w:szCs w:val="20"/>
        </w:rPr>
      </w:pPr>
    </w:p>
    <w:p>
      <w:pPr>
        <w:pStyle w:val="BodyText"/>
        <w:tabs>
          <w:tab w:pos="3664" w:val="left" w:leader="none"/>
          <w:tab w:pos="7895" w:val="left" w:leader="none"/>
        </w:tabs>
        <w:spacing w:line="240" w:lineRule="auto" w:before="44"/>
        <w:ind w:left="154" w:right="0"/>
        <w:jc w:val="left"/>
      </w:pPr>
      <w:r>
        <w:rPr/>
        <w:t>法定代表人：罗瑞发</w:t>
        <w:tab/>
        <w:t>主管会计工作负责人：刘厚军</w:t>
        <w:tab/>
        <w:t>会计机构负责人：聂磊</w:t>
      </w:r>
    </w:p>
    <w:p>
      <w:pPr>
        <w:spacing w:line="240" w:lineRule="auto" w:before="1"/>
        <w:rPr>
          <w:rFonts w:ascii="宋体" w:hAnsi="宋体" w:cs="宋体" w:eastAsia="宋体" w:hint="default"/>
          <w:sz w:val="25"/>
          <w:szCs w:val="25"/>
        </w:rPr>
      </w:pPr>
    </w:p>
    <w:p>
      <w:pPr>
        <w:pStyle w:val="Heading2"/>
        <w:spacing w:line="240" w:lineRule="auto"/>
        <w:ind w:right="1235"/>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29" w:firstLine="420"/>
        <w:jc w:val="both"/>
      </w:pPr>
      <w:r>
        <w:rPr>
          <w:spacing w:val="-7"/>
        </w:rPr>
        <w:t>深圳市金溢科技股份有限公司（以下简称公司或本公司）前身系原深圳市金溢科技有限公司（以下简称金溢有限公司），</w:t>
      </w:r>
      <w:r>
        <w:rPr/>
        <w:t> 金溢有限公司系由深圳市金溢实业有限公司和广州市立尊电子科技有限公司共同出资组建，于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日在深圳市工商</w:t>
      </w:r>
      <w:r>
        <w:rPr>
          <w:spacing w:val="-82"/>
        </w:rPr>
        <w:t> </w:t>
      </w:r>
      <w:r>
        <w:rPr>
          <w:spacing w:val="-82"/>
        </w:rPr>
      </w:r>
      <w:r>
        <w:rPr/>
        <w:t>行政管理局登记注册，金溢有限公司以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日为基准日，整体变更为股份有限公司，于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日在深圳市市</w:t>
      </w:r>
      <w:r>
        <w:rPr>
          <w:spacing w:val="-88"/>
        </w:rPr>
        <w:t> </w:t>
      </w:r>
      <w:r>
        <w:rPr>
          <w:spacing w:val="-88"/>
        </w:rPr>
      </w:r>
      <w:r>
        <w:rPr/>
        <w:t>场监督管理局登记注册，总部位于广东省深圳市。公司现持有统一社会信用代码为</w:t>
      </w:r>
      <w:r>
        <w:rPr>
          <w:rFonts w:ascii="Times New Roman" w:hAnsi="Times New Roman" w:cs="Times New Roman" w:eastAsia="Times New Roman" w:hint="default"/>
        </w:rPr>
        <w:t>91440300761987321E</w:t>
      </w:r>
      <w:r>
        <w:rPr/>
        <w:t>的营业执照，注册</w:t>
      </w:r>
      <w:r>
        <w:rPr>
          <w:spacing w:val="-19"/>
        </w:rPr>
        <w:t> </w:t>
      </w:r>
      <w:r>
        <w:rPr>
          <w:spacing w:val="-19"/>
        </w:rPr>
      </w:r>
      <w:r>
        <w:rPr>
          <w:spacing w:val="-2"/>
          <w:w w:val="99"/>
        </w:rPr>
        <w:t>资本</w:t>
      </w:r>
      <w:r>
        <w:rPr>
          <w:rFonts w:ascii="Times New Roman" w:hAnsi="Times New Roman" w:cs="Times New Roman" w:eastAsia="Times New Roman" w:hint="default"/>
          <w:spacing w:val="-2"/>
          <w:w w:val="99"/>
        </w:rPr>
        <w:t>11,780</w:t>
      </w:r>
      <w:r>
        <w:rPr>
          <w:spacing w:val="-2"/>
          <w:w w:val="99"/>
        </w:rPr>
        <w:t>万元，股份总数</w:t>
      </w:r>
      <w:r>
        <w:rPr>
          <w:rFonts w:ascii="Times New Roman" w:hAnsi="Times New Roman" w:cs="Times New Roman" w:eastAsia="Times New Roman" w:hint="default"/>
          <w:spacing w:val="-2"/>
          <w:w w:val="99"/>
        </w:rPr>
        <w:t>11,780</w:t>
      </w:r>
      <w:r>
        <w:rPr>
          <w:spacing w:val="-2"/>
          <w:w w:val="99"/>
        </w:rPr>
        <w:t>万股（每股面值</w:t>
      </w:r>
      <w:r>
        <w:rPr>
          <w:rFonts w:ascii="Times New Roman" w:hAnsi="Times New Roman" w:cs="Times New Roman" w:eastAsia="Times New Roman" w:hint="default"/>
          <w:spacing w:val="-2"/>
          <w:w w:val="99"/>
        </w:rPr>
        <w:t>1</w:t>
      </w:r>
      <w:r>
        <w:rPr>
          <w:spacing w:val="-2"/>
          <w:w w:val="99"/>
        </w:rPr>
        <w:t>元）。其中，有限售条件的流通股份：</w:t>
      </w:r>
      <w:r>
        <w:rPr>
          <w:rFonts w:ascii="Times New Roman" w:hAnsi="Times New Roman" w:cs="Times New Roman" w:eastAsia="Times New Roman" w:hint="default"/>
          <w:spacing w:val="-2"/>
          <w:w w:val="99"/>
        </w:rPr>
        <w:t>A</w:t>
      </w:r>
      <w:r>
        <w:rPr>
          <w:spacing w:val="-2"/>
          <w:w w:val="99"/>
        </w:rPr>
        <w:t>股</w:t>
      </w:r>
      <w:r>
        <w:rPr>
          <w:rFonts w:ascii="Times New Roman" w:hAnsi="Times New Roman" w:cs="Times New Roman" w:eastAsia="Times New Roman" w:hint="default"/>
          <w:spacing w:val="-2"/>
          <w:w w:val="99"/>
        </w:rPr>
        <w:t>8,828</w:t>
      </w:r>
      <w:r>
        <w:rPr>
          <w:spacing w:val="-2"/>
          <w:w w:val="99"/>
        </w:rPr>
        <w:t>万股，无限售条件的流通</w:t>
      </w:r>
      <w:r>
        <w:rPr>
          <w:spacing w:val="-48"/>
          <w:w w:val="99"/>
        </w:rPr>
        <w:t> </w:t>
      </w:r>
      <w:r>
        <w:rPr>
          <w:spacing w:val="-48"/>
          <w:w w:val="99"/>
        </w:rPr>
      </w:r>
      <w:r>
        <w:rPr/>
        <w:t>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2,952</w:t>
      </w:r>
      <w:r>
        <w:rPr/>
        <w:t>万股。公司股票已于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日在深圳证券交易所挂牌交易。</w:t>
      </w:r>
    </w:p>
    <w:p>
      <w:pPr>
        <w:pStyle w:val="BodyText"/>
        <w:spacing w:line="316" w:lineRule="auto" w:before="9"/>
        <w:ind w:right="1133" w:firstLine="420"/>
        <w:jc w:val="both"/>
      </w:pPr>
      <w:r>
        <w:rPr/>
        <w:t>本公司属计算机、通讯和其他电子设备制造行业。主要经营活动为无线收发设备、智能终端设备、网络与电子通信产 </w:t>
      </w:r>
      <w:r>
        <w:rPr>
          <w:spacing w:val="-2"/>
        </w:rPr>
        <w:t>品、软件产品、计算机与电子信息的技术开发、设计、生产、销售、安装、技术服务及技术咨询。主要产品：车载电子标签</w:t>
      </w:r>
    </w:p>
    <w:p>
      <w:pPr>
        <w:pStyle w:val="BodyText"/>
        <w:spacing w:line="300" w:lineRule="auto" w:before="19"/>
        <w:ind w:right="0"/>
        <w:jc w:val="left"/>
      </w:pPr>
      <w:r>
        <w:rPr>
          <w:spacing w:val="-3"/>
          <w:w w:val="99"/>
        </w:rPr>
        <w:t>（以下简称</w:t>
      </w:r>
      <w:r>
        <w:rPr>
          <w:rFonts w:ascii="Times New Roman" w:hAnsi="Times New Roman" w:cs="Times New Roman" w:eastAsia="Times New Roman" w:hint="default"/>
          <w:spacing w:val="-3"/>
          <w:w w:val="99"/>
        </w:rPr>
        <w:t>OBU</w:t>
      </w:r>
      <w:r>
        <w:rPr>
          <w:spacing w:val="-3"/>
          <w:w w:val="99"/>
        </w:rPr>
        <w:t>）、微波读写天线（以下简称</w:t>
      </w:r>
      <w:r>
        <w:rPr>
          <w:rFonts w:ascii="Times New Roman" w:hAnsi="Times New Roman" w:cs="Times New Roman" w:eastAsia="Times New Roman" w:hint="default"/>
          <w:spacing w:val="-3"/>
          <w:w w:val="99"/>
        </w:rPr>
        <w:t>RSU</w:t>
      </w:r>
      <w:r>
        <w:rPr>
          <w:spacing w:val="-3"/>
          <w:w w:val="99"/>
        </w:rPr>
        <w:t>）、基于</w:t>
      </w:r>
      <w:r>
        <w:rPr>
          <w:rFonts w:ascii="Times New Roman" w:hAnsi="Times New Roman" w:cs="Times New Roman" w:eastAsia="Times New Roman" w:hint="default"/>
          <w:spacing w:val="-3"/>
          <w:w w:val="99"/>
        </w:rPr>
        <w:t>RFID</w:t>
      </w:r>
      <w:r>
        <w:rPr>
          <w:spacing w:val="-3"/>
          <w:w w:val="99"/>
        </w:rPr>
        <w:t>技术或</w:t>
      </w:r>
      <w:r>
        <w:rPr>
          <w:rFonts w:ascii="Times New Roman" w:hAnsi="Times New Roman" w:cs="Times New Roman" w:eastAsia="Times New Roman" w:hint="default"/>
          <w:spacing w:val="-3"/>
          <w:w w:val="99"/>
        </w:rPr>
        <w:t>ETC</w:t>
      </w:r>
      <w:r>
        <w:rPr>
          <w:spacing w:val="-3"/>
          <w:w w:val="99"/>
        </w:rPr>
        <w:t>（电子不停车收费系统）技术平台的路径识别产</w:t>
      </w:r>
      <w:r>
        <w:rPr>
          <w:spacing w:val="-46"/>
          <w:w w:val="99"/>
        </w:rPr>
        <w:t> </w:t>
      </w:r>
      <w:r>
        <w:rPr/>
        <w:t>品和手持终端设备。</w:t>
      </w:r>
    </w:p>
    <w:p>
      <w:pPr>
        <w:pStyle w:val="BodyText"/>
        <w:spacing w:line="300" w:lineRule="auto" w:before="31"/>
        <w:ind w:left="573" w:right="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日第二届董事会第十二次会议批准对外报出。 本公司将北京中交金溢科技有限公司、青岛金溢科技有限公司、伟龙金溢科技（深圳）有限公司、广东华信金溢信息</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154" w:right="1122"/>
        <w:jc w:val="left"/>
      </w:pPr>
      <w:r>
        <w:rPr/>
        <w:t>技术有限公司、佛山金溢科技有限公司和无锡金溢科技有限公司</w:t>
      </w:r>
      <w:r>
        <w:rPr>
          <w:rFonts w:ascii="Times New Roman" w:hAnsi="Times New Roman" w:cs="Times New Roman" w:eastAsia="Times New Roman" w:hint="default"/>
        </w:rPr>
        <w:t>6</w:t>
      </w:r>
      <w:r>
        <w:rPr/>
        <w:t>家子公司纳入本期合并财务报表范围，情况详见本财务报</w:t>
      </w:r>
      <w:r>
        <w:rPr>
          <w:spacing w:val="-82"/>
        </w:rPr>
        <w:t> </w:t>
      </w:r>
      <w:r>
        <w:rPr>
          <w:spacing w:val="-82"/>
        </w:rPr>
      </w:r>
      <w:r>
        <w:rPr/>
        <w:t>表附注在其他主体中的权益之说明。</w:t>
      </w:r>
    </w:p>
    <w:p>
      <w:pPr>
        <w:spacing w:line="240" w:lineRule="auto" w:before="9"/>
        <w:rPr>
          <w:rFonts w:ascii="宋体" w:hAnsi="宋体" w:cs="宋体" w:eastAsia="宋体" w:hint="default"/>
          <w:sz w:val="21"/>
          <w:szCs w:val="21"/>
        </w:rPr>
      </w:pPr>
    </w:p>
    <w:p>
      <w:pPr>
        <w:spacing w:line="506" w:lineRule="auto" w:before="0"/>
        <w:ind w:left="154" w:right="7512" w:firstLine="0"/>
        <w:jc w:val="left"/>
        <w:rPr>
          <w:rFonts w:ascii="宋体" w:hAnsi="宋体" w:cs="宋体" w:eastAsia="宋体" w:hint="default"/>
          <w:sz w:val="18"/>
          <w:szCs w:val="18"/>
        </w:rPr>
      </w:pPr>
      <w:bookmarkStart w:name="四、财务报表的编制基础" w:id="165"/>
      <w:bookmarkEnd w:id="165"/>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66"/>
      <w:bookmarkEnd w:id="1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18"/>
          <w:szCs w:val="18"/>
        </w:rPr>
        <w:t>本公司财务报表以持续经营为编制基础。</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3"/>
        <w:spacing w:line="240" w:lineRule="auto"/>
        <w:ind w:right="1235"/>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235"/>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1235"/>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57" w:lineRule="auto" w:before="26"/>
        <w:ind w:left="574" w:right="0" w:hanging="420"/>
        <w:jc w:val="left"/>
      </w:pPr>
      <w:r>
        <w:rPr/>
        <w:t>具体会计政策和会计估计提示： 重要提示：本公司根据实际生产经营特点针对应收款项坏账准备计提、固定资产折旧、无形资产摊销、收入确认等交</w:t>
      </w:r>
    </w:p>
    <w:p>
      <w:pPr>
        <w:pStyle w:val="BodyText"/>
        <w:spacing w:line="224" w:lineRule="exact"/>
        <w:ind w:left="154" w:right="1235"/>
        <w:jc w:val="left"/>
      </w:pPr>
      <w:r>
        <w:rPr/>
        <w:t>易或事项制定了具体会计政策和会计估计。</w:t>
      </w:r>
    </w:p>
    <w:p>
      <w:pPr>
        <w:spacing w:line="240" w:lineRule="auto" w:before="12"/>
        <w:rPr>
          <w:rFonts w:ascii="宋体" w:hAnsi="宋体" w:cs="宋体" w:eastAsia="宋体" w:hint="default"/>
          <w:sz w:val="26"/>
          <w:szCs w:val="26"/>
        </w:rPr>
      </w:pPr>
    </w:p>
    <w:p>
      <w:pPr>
        <w:pStyle w:val="Heading3"/>
        <w:spacing w:line="240" w:lineRule="auto"/>
        <w:ind w:right="1235"/>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firstLine="420"/>
        <w:jc w:val="left"/>
      </w:pPr>
      <w:r>
        <w:rPr/>
        <w:t>本公司所编制的财务报表符合企业会计准则的要求，真实、完整地反映了公司的财务状况、经营成果和现金流量等有 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235"/>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235"/>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1235"/>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3" w:right="1235"/>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1235"/>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235"/>
        <w:jc w:val="left"/>
      </w:pPr>
      <w:r>
        <w:rPr/>
        <w:t>采用人民币为记账本位币。</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both"/>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0"/>
        <w:jc w:val="left"/>
      </w:pPr>
      <w:r>
        <w:rPr>
          <w:rFonts w:ascii="Times New Roman" w:hAnsi="Times New Roman" w:cs="Times New Roman" w:eastAsia="Times New Roman" w:hint="default"/>
        </w:rPr>
        <w:t>1.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2"/>
        <w:ind w:right="1033"/>
        <w:jc w:val="left"/>
      </w:pPr>
      <w:r>
        <w:rPr/>
        <w:t>被合并方所有者权益在最终控制方合并财务报表中的账面价值份额与支付的合并对价账面价值或发行股份面值总额的差额，</w:t>
      </w:r>
      <w:r>
        <w:rPr>
          <w:spacing w:val="-85"/>
        </w:rPr>
        <w:t> </w:t>
      </w:r>
      <w:r>
        <w:rPr>
          <w:spacing w:val="-85"/>
        </w:rPr>
      </w:r>
      <w:r>
        <w:rPr/>
        <w:t>调整资本公积；资本公积不足冲减的，调整留存收益。</w:t>
      </w:r>
    </w:p>
    <w:p>
      <w:pPr>
        <w:pStyle w:val="BodyText"/>
        <w:spacing w:line="300" w:lineRule="auto" w:before="19"/>
        <w:ind w:left="573" w:right="0"/>
        <w:jc w:val="left"/>
      </w:pPr>
      <w:r>
        <w:rPr>
          <w:rFonts w:ascii="Times New Roman" w:hAnsi="Times New Roman" w:cs="Times New Roman" w:eastAsia="Times New Roman" w:hint="default"/>
        </w:rPr>
        <w:t>2.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31"/>
        <w:ind w:right="1131"/>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合营安排分为共同经营和合营企业。</w:t>
      </w:r>
    </w:p>
    <w:p>
      <w:pPr>
        <w:pStyle w:val="BodyText"/>
        <w:spacing w:line="240" w:lineRule="auto" w:before="63"/>
        <w:ind w:left="573"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当公司为共同经营的合营方时，确认与共同经营中利益份额相关的下列项目：</w:t>
      </w:r>
    </w:p>
    <w:p>
      <w:pPr>
        <w:pStyle w:val="BodyText"/>
        <w:spacing w:line="240" w:lineRule="auto" w:before="63"/>
        <w:ind w:left="573"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确认单独所持有的资产，以及按持有份额确认共同持有的资产；</w:t>
      </w:r>
    </w:p>
    <w:p>
      <w:pPr>
        <w:pStyle w:val="BodyText"/>
        <w:spacing w:line="240" w:lineRule="auto" w:before="63"/>
        <w:ind w:left="573"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确认单独所承担的负债，以及按持有份额确认共同承担的负债；</w:t>
      </w:r>
    </w:p>
    <w:p>
      <w:pPr>
        <w:pStyle w:val="BodyText"/>
        <w:spacing w:line="240" w:lineRule="auto" w:before="63"/>
        <w:ind w:left="573" w:right="123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确认出售公司享有的共同经营产出份额所产生的收入；</w:t>
      </w:r>
    </w:p>
    <w:p>
      <w:pPr>
        <w:pStyle w:val="BodyText"/>
        <w:spacing w:line="240" w:lineRule="auto" w:before="63"/>
        <w:ind w:left="574" w:right="123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按公司持有份额确认共同经营因出售资产所产生的收入；</w:t>
      </w:r>
    </w:p>
    <w:p>
      <w:pPr>
        <w:pStyle w:val="BodyText"/>
        <w:spacing w:line="240" w:lineRule="auto" w:before="63"/>
        <w:ind w:left="574" w:right="123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确认单独所发生的费用，以及按公司持有份额确认共同经营发生的费用。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0"/>
        <w:jc w:val="both"/>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3" w:firstLine="420"/>
        <w:jc w:val="both"/>
      </w:pPr>
      <w:r>
        <w:rPr/>
        <w:t>外币交易在初始确认时，采用交易发生日的即期汇率的近似汇率折算为人民币金额。资产负债表日，外币货币性项目 </w:t>
      </w:r>
      <w:r>
        <w:rPr>
          <w:spacing w:val="-2"/>
        </w:rPr>
        <w:t>采用资产负债表日即期汇率折算，因汇率不同而产生的汇兑差额，除与购建符合资本化条件资产有关的外币专门借款本金及</w:t>
      </w:r>
      <w:r>
        <w:rPr>
          <w:spacing w:val="-64"/>
        </w:rPr>
        <w:t> </w:t>
      </w:r>
      <w:r>
        <w:rPr>
          <w:spacing w:val="-64"/>
        </w:rPr>
      </w:r>
      <w:r>
        <w:rPr>
          <w:spacing w:val="-2"/>
        </w:rPr>
        <w:t>利息的汇兑差额外，计入当期损益；以历史成本计量的外币非货币性项目仍采用交易发生日的即期汇率折算，不改变其人民</w:t>
      </w:r>
      <w:r>
        <w:rPr>
          <w:spacing w:val="-66"/>
        </w:rPr>
        <w:t> </w:t>
      </w:r>
      <w:r>
        <w:rPr>
          <w:spacing w:val="-66"/>
        </w:rPr>
      </w:r>
      <w:r>
        <w:rPr/>
        <w:t>币金额；以公允价值计量的外币非货币性项目，采用公允价值确定日的即期汇率折算，差额计入当期损益或其他综合收益。</w:t>
      </w:r>
    </w:p>
    <w:p>
      <w:pPr>
        <w:spacing w:after="0" w:line="319"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0"/>
        <w:jc w:val="both"/>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300" w:lineRule="auto" w:before="0"/>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金融资产和金融负债的分类</w:t>
      </w:r>
      <w:r>
        <w:rPr>
          <w:rFonts w:ascii="宋体" w:hAnsi="宋体" w:cs="宋体" w:eastAsia="宋体" w:hint="default"/>
          <w:b/>
          <w:bCs/>
          <w:w w:val="99"/>
          <w:sz w:val="18"/>
          <w:szCs w:val="18"/>
        </w:rPr>
        <w:t> </w:t>
      </w:r>
      <w:r>
        <w:rPr>
          <w:rFonts w:ascii="宋体" w:hAnsi="宋体" w:cs="宋体" w:eastAsia="宋体" w:hint="default"/>
          <w:sz w:val="18"/>
          <w:szCs w:val="18"/>
        </w:rPr>
        <w:t>金融资产在初始确认时划分为以下四类：以公允价值计量且其变动计入当期损益的金融资产（包括交易性金融资产和</w:t>
      </w:r>
    </w:p>
    <w:p>
      <w:pPr>
        <w:pStyle w:val="BodyText"/>
        <w:spacing w:line="316" w:lineRule="auto" w:before="32"/>
        <w:ind w:left="154" w:right="1131"/>
        <w:jc w:val="both"/>
      </w:pPr>
      <w:r>
        <w:rPr>
          <w:spacing w:val="-2"/>
        </w:rPr>
        <w:t>在初始确认时指定为以公允价值计量且其变动计入当期损益的金融资产）、持有至到期投资、贷款和应收款项、可供出售金</w:t>
      </w:r>
      <w:r>
        <w:rPr>
          <w:spacing w:val="-65"/>
        </w:rPr>
        <w:t> </w:t>
      </w:r>
      <w:r>
        <w:rPr>
          <w:spacing w:val="-65"/>
        </w:rPr>
      </w:r>
      <w:r>
        <w:rPr/>
        <w:t>融资产。</w:t>
      </w:r>
    </w:p>
    <w:p>
      <w:pPr>
        <w:pStyle w:val="BodyText"/>
        <w:spacing w:line="316" w:lineRule="auto" w:before="19"/>
        <w:ind w:left="154" w:right="1133" w:firstLine="420"/>
        <w:jc w:val="both"/>
      </w:pPr>
      <w:r>
        <w:rPr/>
        <w:t>金融负债在初始确认时划分为以下两类：以公允价值计量且其变动计入当期损益的金融负债（包括交易性金融负债和 </w:t>
      </w:r>
      <w:r>
        <w:rPr>
          <w:spacing w:val="-3"/>
        </w:rPr>
        <w:t>在初始确认时指定为以公允价值计量且其变动计入当期损益的金融负债）、其他金融负债。</w:t>
      </w:r>
    </w:p>
    <w:p>
      <w:pPr>
        <w:spacing w:line="300" w:lineRule="auto" w:before="19"/>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 </w:t>
      </w:r>
      <w:r>
        <w:rPr>
          <w:rFonts w:ascii="宋体" w:hAnsi="宋体" w:cs="宋体" w:eastAsia="宋体" w:hint="default"/>
          <w:b/>
          <w:bCs/>
          <w:sz w:val="18"/>
          <w:szCs w:val="18"/>
        </w:rPr>
        <w:t>金融资产和金融负债的确认依据、计量方法和终止确认条件</w:t>
      </w:r>
      <w:r>
        <w:rPr>
          <w:rFonts w:ascii="宋体" w:hAnsi="宋体" w:cs="宋体" w:eastAsia="宋体" w:hint="default"/>
          <w:b/>
          <w:bCs/>
          <w:w w:val="99"/>
          <w:sz w:val="18"/>
          <w:szCs w:val="18"/>
        </w:rPr>
        <w:t> </w:t>
      </w:r>
      <w:r>
        <w:rPr>
          <w:rFonts w:ascii="宋体" w:hAnsi="宋体" w:cs="宋体" w:eastAsia="宋体" w:hint="default"/>
          <w:sz w:val="18"/>
          <w:szCs w:val="18"/>
        </w:rPr>
        <w:t>公司成为金融工具合同的一方时，确认一项金融资产或金融负债。初始确认金融资产或金融负债时，按照公允价值计</w:t>
      </w:r>
    </w:p>
    <w:p>
      <w:pPr>
        <w:pStyle w:val="BodyText"/>
        <w:spacing w:line="316" w:lineRule="auto" w:before="31"/>
        <w:ind w:left="154" w:right="1133"/>
        <w:jc w:val="both"/>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09" w:lineRule="auto" w:before="19"/>
        <w:ind w:left="154" w:right="1130" w:firstLine="420"/>
        <w:jc w:val="both"/>
      </w:pPr>
      <w:r>
        <w:rPr>
          <w:spacing w:val="-3"/>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在活跃市场中没有报价且其公允价值不能 可靠计量的权益工具投资，以及与该权益工具挂钩并须通过交付该权益工具结算的衍生金融资产，按照成本计量。</w:t>
      </w:r>
    </w:p>
    <w:p>
      <w:pPr>
        <w:pStyle w:val="BodyText"/>
        <w:spacing w:line="302" w:lineRule="auto" w:before="24"/>
        <w:ind w:right="1033" w:firstLine="420"/>
        <w:jc w:val="left"/>
      </w:pPr>
      <w:r>
        <w:rPr>
          <w:spacing w:val="-3"/>
        </w:rPr>
        <w:t>公司采用实际利率法，按摊余成本对金融负债进行后续计量，但下列情况除外：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7"/>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 </w:t>
      </w:r>
      <w:r>
        <w:rPr/>
        <w:t>与在活跃市场中没有报价、</w:t>
      </w:r>
      <w:r>
        <w:rPr>
          <w:spacing w:val="-72"/>
        </w:rPr>
        <w:t> </w:t>
      </w:r>
      <w:r>
        <w:rPr>
          <w:spacing w:val="-72"/>
        </w:rPr>
      </w:r>
      <w:r>
        <w:rPr/>
        <w:t>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 </w:t>
      </w:r>
      <w:r>
        <w:rPr/>
        <w:t>按照《企业会计准则第</w:t>
      </w:r>
      <w:r>
        <w:rPr>
          <w:spacing w:val="-54"/>
        </w:rPr>
        <w:t> </w:t>
      </w:r>
      <w:r>
        <w:rPr>
          <w:spacing w:val="-54"/>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57"/>
        </w:rPr>
        <w:t> </w:t>
      </w:r>
      <w:r>
        <w:rPr>
          <w:spacing w:val="-57"/>
        </w:rPr>
      </w:r>
      <w:r>
        <w:rPr/>
        <w:t>的余额。</w:t>
      </w:r>
    </w:p>
    <w:p>
      <w:pPr>
        <w:pStyle w:val="BodyText"/>
        <w:spacing w:line="312" w:lineRule="auto" w:before="30"/>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8"/>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22"/>
        <w:ind w:right="1133"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spacing w:line="300" w:lineRule="auto" w:before="19"/>
        <w:ind w:left="5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公司已将金融资产所有权上几乎所有的风险和报酬转移给了转入方的，终止确认该金融资产；保留了金融资产所有权</w:t>
      </w:r>
    </w:p>
    <w:p>
      <w:pPr>
        <w:pStyle w:val="BodyText"/>
        <w:spacing w:line="309" w:lineRule="auto" w:before="31"/>
        <w:ind w:right="1131"/>
        <w:jc w:val="both"/>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5"/>
        </w:rPr>
        <w:t>留金融资产所有权上几乎所有的风险和报酬的，分别下列情况处理：</w:t>
      </w:r>
      <w:r>
        <w:rPr>
          <w:rFonts w:ascii="Times New Roman" w:hAnsi="Times New Roman" w:cs="Times New Roman" w:eastAsia="Times New Roman" w:hint="default"/>
          <w:spacing w:val="-5"/>
        </w:rPr>
        <w:t>(1) </w:t>
      </w:r>
      <w:r>
        <w:rPr>
          <w:spacing w:val="-3"/>
        </w:rPr>
        <w:t>放弃了对该金融资产控制的，终止确认该金融资产；</w:t>
      </w:r>
      <w:r>
        <w:rPr>
          <w:spacing w:val="-89"/>
        </w:rPr>
        <w:t> </w:t>
      </w:r>
      <w:r>
        <w:rPr>
          <w:spacing w:val="-89"/>
        </w:rPr>
      </w:r>
      <w:r>
        <w:rPr>
          <w:rFonts w:ascii="Times New Roman" w:hAnsi="Times New Roman" w:cs="Times New Roman" w:eastAsia="Times New Roman" w:hint="default"/>
        </w:rPr>
        <w:t>(2)  </w:t>
      </w:r>
      <w:r>
        <w:rPr/>
        <w:t>未放弃对该金融资产控制的，按照继续涉入所转移金融资产的程度确认有关金融资产，并相应确认有关负债。</w:t>
      </w:r>
    </w:p>
    <w:p>
      <w:pPr>
        <w:pStyle w:val="BodyText"/>
        <w:spacing w:line="309" w:lineRule="auto" w:before="5"/>
        <w:ind w:right="1130" w:firstLine="420"/>
        <w:jc w:val="both"/>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 </w:t>
      </w:r>
      <w:r>
        <w:rPr>
          <w:spacing w:val="-5"/>
        </w:rPr>
        <w:t>所转移金融资产的账面价值；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1"/>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终止确认部分的对价，与原直接计入所有者权益的公允价值变</w:t>
      </w:r>
      <w:r>
        <w:rPr>
          <w:spacing w:val="-88"/>
        </w:rPr>
        <w:t> </w:t>
      </w:r>
      <w:r>
        <w:rPr>
          <w:spacing w:val="-88"/>
        </w:rPr>
      </w:r>
      <w:r>
        <w:rPr/>
        <w:t>动累计额中对应终止确认部分的金额之和。</w:t>
      </w:r>
    </w:p>
    <w:p>
      <w:pPr>
        <w:spacing w:line="300" w:lineRule="auto" w:before="24"/>
        <w:ind w:left="5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 </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z w:val="18"/>
          <w:szCs w:val="18"/>
        </w:rPr>
        <w:t>公司采用在当前情况下适用并且有足够可利用数据和其他信息支持的估值技术确定相关金融资产和金融负债的公允价</w:t>
      </w:r>
    </w:p>
    <w:p>
      <w:pPr>
        <w:pStyle w:val="BodyText"/>
        <w:spacing w:line="240" w:lineRule="auto" w:before="31"/>
        <w:ind w:right="0"/>
        <w:jc w:val="both"/>
      </w:pPr>
      <w:r>
        <w:rPr/>
        <w:t>值。公司将估值技术使用的输入值分以下层级，并依次使用：</w:t>
      </w:r>
    </w:p>
    <w:p>
      <w:pPr>
        <w:pStyle w:val="BodyText"/>
        <w:spacing w:line="240" w:lineRule="auto" w:before="76"/>
        <w:ind w:left="573"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第一层次输入值是在计量日能够取得的相同资产或负债在活跃市场上未经调整的报价；</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Heading4"/>
        <w:spacing w:line="240" w:lineRule="auto" w:before="31"/>
        <w:ind w:left="573" w:right="1235"/>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金融资产的减值测试和减值准备计提方法</w:t>
      </w:r>
      <w:r>
        <w:rPr>
          <w:b w:val="0"/>
          <w:bCs w:val="0"/>
        </w:rPr>
      </w:r>
    </w:p>
    <w:p>
      <w:pPr>
        <w:pStyle w:val="BodyText"/>
        <w:spacing w:line="300" w:lineRule="auto" w:before="63"/>
        <w:ind w:right="0" w:firstLine="420"/>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16"/>
          <w:w w:val="99"/>
        </w:rPr>
        <w:t> </w:t>
      </w:r>
      <w:r>
        <w:rPr>
          <w:spacing w:val="-2"/>
          <w:w w:val="99"/>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6"/>
        </w:rPr>
        <w:t> </w:t>
      </w:r>
      <w:r>
        <w:rPr>
          <w:spacing w:val="-66"/>
        </w:rPr>
      </w:r>
      <w:r>
        <w:rPr>
          <w:spacing w:val="-2"/>
          <w:w w:val="99"/>
        </w:rPr>
        <w:t>生减值的金融资产（包括单项金额重大和不重大的金融资产），包括在具有类似信用风险特征的金融资产组合中再进行减值</w:t>
      </w:r>
      <w:r>
        <w:rPr>
          <w:spacing w:val="-72"/>
          <w:w w:val="99"/>
        </w:rPr>
        <w:t> </w:t>
      </w:r>
      <w:r>
        <w:rPr>
          <w:spacing w:val="-72"/>
          <w:w w:val="99"/>
        </w:rPr>
      </w:r>
      <w:r>
        <w:rPr/>
        <w:t>测试。测试结果表明其发生了减值的，根据其账面价值高于预计未来现金流量现值的差额确认减值损失。</w:t>
      </w:r>
    </w:p>
    <w:p>
      <w:pPr>
        <w:pStyle w:val="BodyText"/>
        <w:spacing w:line="240" w:lineRule="auto" w:before="22"/>
        <w:ind w:left="573" w:right="123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可供出售金融资产</w:t>
      </w:r>
    </w:p>
    <w:p>
      <w:pPr>
        <w:pStyle w:val="BodyText"/>
        <w:spacing w:line="240" w:lineRule="auto" w:before="63"/>
        <w:ind w:left="574"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表明可供出售债务工具投资发生减值的客观证据包括：</w:t>
      </w:r>
    </w:p>
    <w:p>
      <w:pPr>
        <w:pStyle w:val="BodyText"/>
        <w:spacing w:line="240" w:lineRule="auto" w:before="63"/>
        <w:ind w:left="574" w:right="1235"/>
        <w:jc w:val="left"/>
      </w:pPr>
      <w:r>
        <w:rPr/>
        <w:t>① 债务人发生严重财务困难；</w:t>
      </w:r>
    </w:p>
    <w:p>
      <w:pPr>
        <w:pStyle w:val="BodyText"/>
        <w:spacing w:line="240" w:lineRule="auto" w:before="76"/>
        <w:ind w:left="574" w:right="1235"/>
        <w:jc w:val="left"/>
      </w:pPr>
      <w:r>
        <w:rPr/>
        <w:t>② 债务人违反了合同条款，如偿付利息或本金发生违约或逾期；</w:t>
      </w:r>
    </w:p>
    <w:p>
      <w:pPr>
        <w:pStyle w:val="BodyText"/>
        <w:spacing w:line="240" w:lineRule="auto" w:before="76"/>
        <w:ind w:left="573" w:right="1235"/>
        <w:jc w:val="left"/>
      </w:pPr>
      <w:r>
        <w:rPr/>
        <w:t>③ 公司出于经济或法律等方面因素的考虑，对发生财务困难的债务人作出让步；</w:t>
      </w:r>
    </w:p>
    <w:p>
      <w:pPr>
        <w:pStyle w:val="BodyText"/>
        <w:spacing w:line="240" w:lineRule="auto" w:before="76"/>
        <w:ind w:left="573" w:right="1235"/>
        <w:jc w:val="left"/>
      </w:pPr>
      <w:r>
        <w:rPr/>
        <w:t>④ 债务人很可能倒闭或进行其他财务重组；</w:t>
      </w:r>
    </w:p>
    <w:p>
      <w:pPr>
        <w:pStyle w:val="BodyText"/>
        <w:spacing w:line="240" w:lineRule="auto" w:before="76"/>
        <w:ind w:left="573" w:right="1235"/>
        <w:jc w:val="left"/>
      </w:pPr>
      <w:r>
        <w:rPr/>
        <w:t>⑤ 因债务人发生重大财务困难，该债务工具无法在活跃市场继续交易；</w:t>
      </w:r>
    </w:p>
    <w:p>
      <w:pPr>
        <w:pStyle w:val="BodyText"/>
        <w:spacing w:line="240" w:lineRule="auto" w:before="76"/>
        <w:ind w:left="573" w:right="1235"/>
        <w:jc w:val="left"/>
      </w:pPr>
      <w:r>
        <w:rPr/>
        <w:t>⑥ 其他表明可供出售债务工具已经发生减值的情况。</w:t>
      </w:r>
    </w:p>
    <w:p>
      <w:pPr>
        <w:pStyle w:val="BodyText"/>
        <w:spacing w:line="312" w:lineRule="auto" w:before="76"/>
        <w:ind w:right="1131" w:firstLine="420"/>
        <w:jc w:val="righ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表明可供出售权益工具投资发生减值的客观证据包括权益工具投资的公允价值发生严重或非暂时性下跌，以及被投</w:t>
      </w:r>
      <w:r>
        <w:rPr>
          <w:w w:val="99"/>
        </w:rPr>
        <w:t> </w:t>
      </w:r>
      <w:r>
        <w:rPr>
          <w:spacing w:val="-2"/>
        </w:rPr>
        <w:t>资单位经营所处的技术、市场、经济或法律环境等发生重大不利变化使公司可能无法收回投资成本。本公司于资产负债表日</w:t>
      </w:r>
      <w:r>
        <w:rPr>
          <w:spacing w:val="-77"/>
        </w:rPr>
        <w:t> </w:t>
      </w:r>
      <w:r>
        <w:rPr>
          <w:spacing w:val="-77"/>
        </w:rPr>
      </w:r>
      <w:r>
        <w:rPr>
          <w:spacing w:val="-2"/>
        </w:rPr>
        <w:t>对各项可供出售权益工具投资单独进行检查。对于以公允价值计量的权益工具投资，若其于资产负债表日的公允价值低于其</w:t>
      </w:r>
      <w:r>
        <w:rPr>
          <w:spacing w:val="-73"/>
        </w:rPr>
        <w:t> </w:t>
      </w:r>
      <w:r>
        <w:rPr>
          <w:spacing w:val="-73"/>
        </w:rPr>
      </w:r>
      <w:r>
        <w:rPr>
          <w:spacing w:val="-1"/>
        </w:rPr>
        <w:t>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个月）的，则表明其发生减值；若其于资产负债表日的公</w:t>
      </w:r>
      <w:r>
        <w:rPr>
          <w:spacing w:val="-67"/>
        </w:rPr>
        <w:t> </w:t>
      </w:r>
      <w:r>
        <w:rPr>
          <w:spacing w:val="-67"/>
        </w:rPr>
      </w:r>
      <w:r>
        <w:rPr>
          <w:spacing w:val="-3"/>
        </w:rPr>
        <w:t>允价值低于其成本超过</w:t>
      </w:r>
      <w:r>
        <w:rPr>
          <w:rFonts w:ascii="Times New Roman" w:hAnsi="Times New Roman" w:cs="Times New Roman" w:eastAsia="Times New Roman" w:hint="default"/>
          <w:spacing w:val="-3"/>
        </w:rPr>
        <w:t>20%</w:t>
      </w:r>
      <w:r>
        <w:rPr>
          <w:spacing w:val="-3"/>
        </w:rPr>
        <w:t>（含</w:t>
      </w:r>
      <w:r>
        <w:rPr>
          <w:rFonts w:ascii="Times New Roman" w:hAnsi="Times New Roman" w:cs="Times New Roman" w:eastAsia="Times New Roman" w:hint="default"/>
          <w:spacing w:val="-3"/>
        </w:rPr>
        <w:t>20%</w:t>
      </w:r>
      <w:r>
        <w:rPr>
          <w:spacing w:val="-3"/>
        </w:rPr>
        <w:t>）但尚未达到</w:t>
      </w:r>
      <w:r>
        <w:rPr>
          <w:rFonts w:ascii="Times New Roman" w:hAnsi="Times New Roman" w:cs="Times New Roman" w:eastAsia="Times New Roman" w:hint="default"/>
          <w:spacing w:val="-3"/>
        </w:rPr>
        <w:t>50%</w:t>
      </w:r>
      <w:r>
        <w:rPr>
          <w:spacing w:val="-3"/>
        </w:rPr>
        <w:t>的，或低于其成本持续时间超过</w:t>
      </w:r>
      <w:r>
        <w:rPr>
          <w:rFonts w:ascii="Times New Roman" w:hAnsi="Times New Roman" w:cs="Times New Roman" w:eastAsia="Times New Roman" w:hint="default"/>
          <w:spacing w:val="-3"/>
        </w:rPr>
        <w:t>6</w:t>
      </w:r>
      <w:r>
        <w:rPr>
          <w:spacing w:val="-3"/>
        </w:rPr>
        <w:t>个月（含</w:t>
      </w:r>
      <w:r>
        <w:rPr>
          <w:rFonts w:ascii="Times New Roman" w:hAnsi="Times New Roman" w:cs="Times New Roman" w:eastAsia="Times New Roman" w:hint="default"/>
          <w:spacing w:val="-3"/>
        </w:rPr>
        <w:t>6</w:t>
      </w:r>
      <w:r>
        <w:rPr>
          <w:spacing w:val="-3"/>
        </w:rPr>
        <w:t>个月）但未超过</w:t>
      </w:r>
      <w:r>
        <w:rPr>
          <w:rFonts w:ascii="Times New Roman" w:hAnsi="Times New Roman" w:cs="Times New Roman" w:eastAsia="Times New Roman" w:hint="default"/>
          <w:spacing w:val="-3"/>
        </w:rPr>
        <w:t>12</w:t>
      </w:r>
      <w:r>
        <w:rPr>
          <w:spacing w:val="-3"/>
        </w:rPr>
        <w:t>个月的，</w:t>
      </w:r>
      <w:r>
        <w:rPr>
          <w:w w:val="99"/>
        </w:rPr>
        <w:t> </w:t>
      </w:r>
      <w:r>
        <w:rPr>
          <w:spacing w:val="-5"/>
          <w:w w:val="99"/>
        </w:rPr>
        <w:t>本公司会综合考虑其他相关因素，诸如价格波动率等，判断该权益工具投资是否发生减值。对于以成本计量的权益工具投资，</w:t>
      </w:r>
      <w:r>
        <w:rPr>
          <w:w w:val="99"/>
        </w:rPr>
        <w:t> </w:t>
      </w:r>
      <w:r>
        <w:rPr>
          <w:spacing w:val="-5"/>
          <w:w w:val="99"/>
        </w:rPr>
        <w:t>公司综合考虑被投资单位经营所处的技术、市场、经济或法律环境等是否发生重大不利变化，判断该权益工具是否发生减值。</w:t>
      </w:r>
      <w:r>
        <w:rPr>
          <w:w w:val="99"/>
        </w:rPr>
        <w:t> </w:t>
      </w:r>
      <w:r>
        <w:rPr/>
        <w:t>以公允价值计量的可供出售金融资产发生减值时，原直接计入其他综合收益的因公允价值下降形成的累计损失予以转</w:t>
      </w:r>
      <w:r>
        <w:rPr>
          <w:w w:val="99"/>
        </w:rPr>
        <w:t> </w:t>
      </w:r>
      <w:r>
        <w:rPr>
          <w:spacing w:val="-2"/>
        </w:rPr>
        <w:t>出并计入减值损失。对已确认减值损失的可供出售债务工具投资，在期后公允价值回升且客观上与确认原减值损失后发生的</w:t>
      </w:r>
      <w:r>
        <w:rPr>
          <w:spacing w:val="-73"/>
        </w:rPr>
        <w:t> </w:t>
      </w:r>
      <w:r>
        <w:rPr>
          <w:spacing w:val="-73"/>
        </w:rPr>
      </w:r>
      <w:r>
        <w:rPr>
          <w:spacing w:val="-2"/>
        </w:rPr>
        <w:t>事项有关的，原确认的减值损失予以转回并计入当期损益。对已确认减值损失的可供出售权益工具投资，期后公允价值回升</w:t>
      </w:r>
    </w:p>
    <w:p>
      <w:pPr>
        <w:pStyle w:val="BodyText"/>
        <w:spacing w:line="316" w:lineRule="auto" w:before="22"/>
        <w:ind w:left="574" w:right="0" w:hanging="420"/>
        <w:jc w:val="left"/>
      </w:pPr>
      <w:r>
        <w:rPr/>
        <w:t>直接计入其他综合收益。 以成本计量的可供出售权益工具发生减值时，将该权益工具投资的账面价值，与按照类似金融资产当时市场收益率对</w:t>
      </w:r>
    </w:p>
    <w:p>
      <w:pPr>
        <w:pStyle w:val="BodyText"/>
        <w:spacing w:line="240" w:lineRule="auto" w:before="19"/>
        <w:ind w:left="154" w:right="1235"/>
        <w:jc w:val="left"/>
      </w:pPr>
      <w:r>
        <w:rPr/>
        <w:t>未来现金流量折现确定的现值之间的差额，确认为减值损失，计入当期损益，发生的减值损失一经确认，不予转回。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left="153" w:right="1235"/>
        <w:jc w:val="left"/>
        <w:rPr>
          <w:b w:val="0"/>
          <w:bCs w:val="0"/>
        </w:rPr>
      </w:pPr>
      <w:bookmarkStart w:name="11、应收款项" w:id="179"/>
      <w:bookmarkEnd w:id="17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单项金额重大是指应收账款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且占应收账款 账面余额</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以上的款项、其他应收款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且占 其他应收款项账面余额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left="153" w:right="1235"/>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1235"/>
        <w:jc w:val="left"/>
      </w:pPr>
      <w:r>
        <w:rPr/>
        <w:t>组合中，采用账龄分析法计提坏账准备的：</w:t>
      </w:r>
    </w:p>
    <w:p>
      <w:pPr>
        <w:pStyle w:val="BodyText"/>
        <w:spacing w:line="240" w:lineRule="auto" w:before="117"/>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235"/>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 组合中，采用其他方法计提坏账准备的：</w:t>
      </w:r>
    </w:p>
    <w:p>
      <w:pPr>
        <w:pStyle w:val="BodyText"/>
        <w:spacing w:line="240" w:lineRule="auto" w:before="40"/>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收款项组合、以质保金账龄为信用风险特征的应收款项组合 和合并范围内关联往来组合的未来现金流量现值存在显著差 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3"/>
        <w:spacing w:line="240" w:lineRule="auto" w:before="35"/>
        <w:ind w:right="1235"/>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6"/>
        <w:ind w:left="574" w:right="1235"/>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存货的分类</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firstLine="420"/>
        <w:jc w:val="both"/>
      </w:pPr>
      <w:r>
        <w:rPr/>
        <w:t>存货包括在日常活动中持有以备出售的产成品或商品、处在生产过程中的在产品、在生产过程或提供劳务过程中耗用 的材料和物料等。</w:t>
      </w:r>
    </w:p>
    <w:p>
      <w:pPr>
        <w:pStyle w:val="BodyText"/>
        <w:spacing w:line="309" w:lineRule="auto" w:before="19"/>
        <w:ind w:left="573" w:right="7453"/>
        <w:jc w:val="left"/>
      </w:pPr>
      <w:r>
        <w:rPr>
          <w:rFonts w:ascii="Times New Roman" w:hAnsi="Times New Roman" w:cs="Times New Roman" w:eastAsia="Times New Roman" w:hint="default"/>
        </w:rPr>
        <w:t>2.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存货可变现净值的确定依据</w:t>
      </w:r>
    </w:p>
    <w:p>
      <w:pPr>
        <w:pStyle w:val="BodyText"/>
        <w:spacing w:line="316" w:lineRule="auto" w:before="5"/>
        <w:ind w:right="1131"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5"/>
        </w:rPr>
        <w:t> </w:t>
      </w:r>
      <w:r>
        <w:rPr>
          <w:spacing w:val="-65"/>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9"/>
        <w:ind w:left="573" w:right="7813"/>
        <w:jc w:val="left"/>
      </w:pPr>
      <w:r>
        <w:rPr>
          <w:rFonts w:ascii="Times New Roman" w:hAnsi="Times New Roman" w:cs="Times New Roman" w:eastAsia="Times New Roman" w:hint="default"/>
        </w:rPr>
        <w:t>4. </w:t>
      </w:r>
      <w:r>
        <w:rPr/>
        <w:t>存货的盘存制度 存货的盘存制度为永续盘存制。</w:t>
      </w:r>
    </w:p>
    <w:p>
      <w:pPr>
        <w:pStyle w:val="BodyText"/>
        <w:spacing w:line="240" w:lineRule="auto" w:before="31"/>
        <w:ind w:left="573" w:right="1235"/>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低值易耗品和包装物的摊销方法</w:t>
      </w:r>
    </w:p>
    <w:p>
      <w:pPr>
        <w:pStyle w:val="BodyText"/>
        <w:spacing w:line="307"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包装物</w:t>
      </w:r>
      <w:r>
        <w:rPr>
          <w:w w:val="99"/>
        </w:rPr>
        <w:t> </w:t>
      </w:r>
      <w:r>
        <w:rPr/>
        <w:t>按照一次转销法进行摊销。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left="153" w:right="1235"/>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spacing w:line="300" w:lineRule="auto" w:before="0"/>
        <w:ind w:left="574" w:right="10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 </w:t>
      </w:r>
      <w:r>
        <w:rPr>
          <w:rFonts w:ascii="宋体" w:hAnsi="宋体" w:cs="宋体" w:eastAsia="宋体" w:hint="default"/>
          <w:b/>
          <w:bCs/>
          <w:sz w:val="18"/>
          <w:szCs w:val="18"/>
        </w:rPr>
        <w:t>共同控制、重要影响的判断</w:t>
      </w:r>
      <w:r>
        <w:rPr>
          <w:rFonts w:ascii="宋体" w:hAnsi="宋体" w:cs="宋体" w:eastAsia="宋体" w:hint="default"/>
          <w:b/>
          <w:bCs/>
          <w:w w:val="99"/>
          <w:sz w:val="18"/>
          <w:szCs w:val="18"/>
        </w:rPr>
        <w:t> </w:t>
      </w:r>
      <w:r>
        <w:rPr>
          <w:rFonts w:ascii="宋体" w:hAnsi="宋体" w:cs="宋体" w:eastAsia="宋体" w:hint="default"/>
          <w:spacing w:val="-1"/>
          <w:sz w:val="18"/>
          <w:szCs w:val="18"/>
        </w:rPr>
        <w:t>按照相关约定对某项安排存在共有的控制，并且该安排的相关活动必须经过分享控制权的参与方一致同意后才能决策，</w:t>
      </w:r>
    </w:p>
    <w:p>
      <w:pPr>
        <w:pStyle w:val="BodyText"/>
        <w:spacing w:line="316" w:lineRule="auto" w:before="31"/>
        <w:ind w:left="154" w:right="0"/>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Heading4"/>
        <w:spacing w:line="240" w:lineRule="auto" w:before="19"/>
        <w:ind w:left="574" w:right="1235"/>
        <w:jc w:val="left"/>
        <w:rPr>
          <w:b w:val="0"/>
          <w:bCs w:val="0"/>
        </w:rPr>
      </w:pPr>
      <w:r>
        <w:rPr>
          <w:rFonts w:ascii="Times New Roman" w:hAnsi="Times New Roman" w:cs="Times New Roman" w:eastAsia="Times New Roman" w:hint="default"/>
        </w:rPr>
        <w:t>2.  </w:t>
      </w:r>
      <w:r>
        <w:rPr/>
        <w:t>投资成本的确定</w:t>
      </w:r>
      <w:r>
        <w:rPr>
          <w:b w:val="0"/>
          <w:bCs w:val="0"/>
        </w:rPr>
      </w:r>
    </w:p>
    <w:p>
      <w:pPr>
        <w:pStyle w:val="BodyText"/>
        <w:spacing w:line="312" w:lineRule="auto" w:before="63"/>
        <w:ind w:left="154" w:right="1131"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38"/>
          <w:w w:val="99"/>
        </w:rPr>
        <w:t> </w:t>
      </w:r>
      <w:r>
        <w:rPr>
          <w:spacing w:val="-6"/>
          <w:w w:val="99"/>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left="154" w:right="1130"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3"/>
        </w:rPr>
        <w:t> </w:t>
      </w:r>
      <w:r>
        <w:rPr>
          <w:spacing w:val="-63"/>
        </w:rPr>
      </w:r>
      <w:r>
        <w:rPr/>
        <w:t>冲减的，调整留存收益。</w:t>
      </w:r>
    </w:p>
    <w:p>
      <w:pPr>
        <w:pStyle w:val="BodyText"/>
        <w:spacing w:line="300" w:lineRule="auto" w:before="24"/>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left="154" w:right="1235"/>
        <w:jc w:val="left"/>
      </w:pPr>
      <w:r>
        <w:rPr/>
        <w:t>会计处理：</w:t>
      </w:r>
    </w:p>
    <w:p>
      <w:pPr>
        <w:pStyle w:val="BodyText"/>
        <w:spacing w:line="240" w:lineRule="auto" w:before="76"/>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在个别财务报表中，按照原持有的股权投资的账面价值加上新增投资成本之和，作为改按成本法核算的初始投资成</w:t>
      </w:r>
    </w:p>
    <w:p>
      <w:pPr>
        <w:pStyle w:val="BodyText"/>
        <w:spacing w:line="240" w:lineRule="auto" w:before="63"/>
        <w:ind w:left="154" w:right="1235"/>
        <w:jc w:val="left"/>
      </w:pPr>
      <w:r>
        <w:rPr/>
        <w:t>本。</w:t>
      </w:r>
    </w:p>
    <w:p>
      <w:pPr>
        <w:pStyle w:val="BodyText"/>
        <w:spacing w:line="240" w:lineRule="auto" w:before="76"/>
        <w:ind w:left="57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5"/>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2" w:lineRule="auto" w:before="44"/>
        <w:ind w:right="1131"/>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3"/>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spacing w:line="309" w:lineRule="auto" w:before="31"/>
        <w:ind w:left="573" w:right="1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 </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对被投资单位实施控制的长期股权投资采用成本法核算；对联营企业和合营企业的长期股权投资，采用权益法核算。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40"/>
          <w:sz w:val="18"/>
          <w:szCs w:val="18"/>
        </w:rPr>
        <w:t> </w:t>
      </w:r>
      <w:r>
        <w:rPr>
          <w:rFonts w:ascii="宋体" w:hAnsi="宋体" w:cs="宋体" w:eastAsia="宋体" w:hint="default"/>
          <w:b/>
          <w:bCs/>
          <w:sz w:val="18"/>
          <w:szCs w:val="18"/>
        </w:rPr>
        <w:t>通过多次交易分步处置对子公司投资至丧失控制权的处理方法</w:t>
      </w:r>
      <w:r>
        <w:rPr>
          <w:rFonts w:ascii="宋体" w:hAnsi="宋体" w:cs="宋体" w:eastAsia="宋体" w:hint="default"/>
          <w:sz w:val="18"/>
          <w:szCs w:val="18"/>
        </w:rPr>
      </w:r>
    </w:p>
    <w:p>
      <w:pPr>
        <w:pStyle w:val="BodyText"/>
        <w:spacing w:line="300" w:lineRule="auto" w:before="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left="154"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3"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合并财务报表</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0" w:hanging="420"/>
        <w:jc w:val="left"/>
      </w:pPr>
      <w:r>
        <w:rPr>
          <w:spacing w:val="-3"/>
        </w:rPr>
        <w:t>间的差额，调整资本公积（资本溢价），资本溢价不足冲减的，冲减留存收益。</w:t>
      </w:r>
      <w:r>
        <w:rPr>
          <w:spacing w:val="-75"/>
        </w:rPr>
        <w:t> </w:t>
      </w:r>
      <w:r>
        <w:rPr>
          <w:spacing w:val="-75"/>
        </w:rPr>
      </w:r>
      <w:r>
        <w:rPr/>
        <w:t>丧失对原子公司控制权时，对于剩余股权，按照其在丧失控制权日的公允价值进行重新计量。处置股权取得的对价与</w:t>
      </w:r>
    </w:p>
    <w:p>
      <w:pPr>
        <w:pStyle w:val="BodyText"/>
        <w:spacing w:line="319"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right="1132"/>
        <w:jc w:val="both"/>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0"/>
        <w:jc w:val="both"/>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pStyle w:val="BodyText"/>
        <w:spacing w:line="357" w:lineRule="auto" w:before="29"/>
        <w:ind w:left="154" w:right="8772"/>
        <w:jc w:val="left"/>
      </w:pPr>
      <w:r>
        <w:rPr/>
        <w:t>折旧或摊销方法 选择公允价值计量的依据</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after="0" w:line="319"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1235"/>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235"/>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8"/>
        <w:ind w:left="154" w:right="111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3" w:right="0"/>
        <w:jc w:val="both"/>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left="154" w:right="0"/>
        <w:jc w:val="both"/>
      </w:pPr>
      <w:r>
        <w:rPr/>
        <w:t>他借款费用，在发生时确认为费用，计入当期损益。</w:t>
      </w:r>
    </w:p>
    <w:p>
      <w:pPr>
        <w:pStyle w:val="BodyText"/>
        <w:spacing w:line="240" w:lineRule="auto" w:before="76"/>
        <w:ind w:left="574"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借款费用资本化期间</w:t>
      </w:r>
    </w:p>
    <w:p>
      <w:pPr>
        <w:pStyle w:val="BodyText"/>
        <w:spacing w:line="300" w:lineRule="auto" w:before="63"/>
        <w:ind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为使资产达到预</w:t>
      </w:r>
      <w:r>
        <w:rPr>
          <w:w w:val="99"/>
        </w:rPr>
        <w:t> </w:t>
      </w:r>
      <w:r>
        <w:rPr/>
        <w:t>定可使用或可销售状态所必要的购建或者生产活动已经开始。</w:t>
      </w:r>
    </w:p>
    <w:p>
      <w:pPr>
        <w:pStyle w:val="BodyText"/>
        <w:spacing w:line="300" w:lineRule="auto" w:before="3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123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当所购建或者生产符合资本化条件的资产达到预定可使用或可销售状态时，借款费用停止资本化。</w:t>
      </w:r>
    </w:p>
    <w:p>
      <w:pPr>
        <w:pStyle w:val="BodyText"/>
        <w:spacing w:line="300" w:lineRule="auto" w:before="63"/>
        <w:ind w:left="573" w:right="0"/>
        <w:jc w:val="left"/>
      </w:pPr>
      <w:r>
        <w:rPr>
          <w:rFonts w:ascii="Times New Roman" w:hAnsi="Times New Roman" w:cs="Times New Roman" w:eastAsia="Times New Roman" w:hint="default"/>
        </w:rPr>
        <w:t>3. </w:t>
      </w:r>
      <w:r>
        <w:rPr/>
        <w:t>借款费用资本化率以及资本化金额 为购建或者生产符合资本化条件的资产而借入专门借款的，以专门借款当期实际发生的利息费用（包括按照实际利率</w:t>
      </w:r>
    </w:p>
    <w:p>
      <w:pPr>
        <w:pStyle w:val="BodyText"/>
        <w:spacing w:line="319" w:lineRule="auto" w:before="31"/>
        <w:ind w:right="1131"/>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after="0" w:line="319"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235"/>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235"/>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无形资产包括土地使用权、办公软件等，按成本进行初始计量。</w:t>
      </w:r>
    </w:p>
    <w:p>
      <w:pPr>
        <w:pStyle w:val="BodyText"/>
        <w:spacing w:line="300" w:lineRule="auto" w:before="63"/>
        <w:ind w:right="1131" w:firstLine="360"/>
        <w:jc w:val="both"/>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w:t>
      </w:r>
    </w:p>
    <w:p>
      <w:pPr>
        <w:spacing w:line="240" w:lineRule="auto" w:before="6"/>
        <w:rPr>
          <w:rFonts w:ascii="宋体" w:hAnsi="宋体" w:cs="宋体" w:eastAsia="宋体" w:hint="default"/>
          <w:sz w:val="23"/>
          <w:szCs w:val="23"/>
        </w:rPr>
      </w:pPr>
    </w:p>
    <w:p>
      <w:pPr>
        <w:pStyle w:val="Heading3"/>
        <w:spacing w:line="240" w:lineRule="auto"/>
        <w:ind w:left="153" w:right="1235"/>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内部研究开发项目研究阶段的支出，于发生时计入当期损益。内部研究开发项目开发阶段的支出，同时满足下列条件 的，确认为无形资产：</w:t>
      </w:r>
    </w:p>
    <w:p>
      <w:pPr>
        <w:pStyle w:val="BodyText"/>
        <w:spacing w:line="300" w:lineRule="auto" w:before="19"/>
        <w:ind w:left="574" w:right="5262"/>
        <w:jc w:val="left"/>
      </w:pP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具有完成该无形资产并使用或出售的意图；</w:t>
      </w:r>
    </w:p>
    <w:p>
      <w:pPr>
        <w:pStyle w:val="BodyText"/>
        <w:spacing w:line="300" w:lineRule="auto" w:before="13"/>
        <w:ind w:left="154" w:right="1131" w:firstLine="420"/>
        <w:jc w:val="both"/>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w:t>
      </w:r>
      <w:r>
        <w:rPr>
          <w:w w:val="99"/>
        </w:rPr>
        <w:t> </w:t>
      </w:r>
      <w:r>
        <w:rPr/>
        <w:t>资产将在内部使用的，能证明其有用性；</w:t>
      </w:r>
    </w:p>
    <w:p>
      <w:pPr>
        <w:pStyle w:val="BodyText"/>
        <w:spacing w:line="300" w:lineRule="auto" w:before="31"/>
        <w:ind w:left="574" w:right="1842"/>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1235"/>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420"/>
        <w:jc w:val="both"/>
      </w:pPr>
      <w:r>
        <w:rPr>
          <w:spacing w:val="-4"/>
        </w:rPr>
        <w:t>对长期股权投资、固定资产、在建工程、使用寿命有限的无形资产等长期资产</w:t>
      </w:r>
      <w:r>
        <w:rPr>
          <w:rFonts w:ascii="Times New Roman" w:hAnsi="Times New Roman" w:cs="Times New Roman" w:eastAsia="Times New Roman" w:hint="default"/>
          <w:spacing w:val="-4"/>
        </w:rPr>
        <w:t>,</w:t>
      </w:r>
      <w:r>
        <w:rPr>
          <w:spacing w:val="-4"/>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6"/>
        </w:rPr>
        <w:t> </w:t>
      </w:r>
      <w:r>
        <w:rPr>
          <w:spacing w:val="-66"/>
        </w:rPr>
      </w:r>
      <w:r>
        <w:rPr/>
        <w:t>试。商誉结合与其相关的资产组或者资产组组合进行减值测试。</w:t>
      </w:r>
    </w:p>
    <w:p>
      <w:pPr>
        <w:pStyle w:val="BodyText"/>
        <w:spacing w:line="240" w:lineRule="auto" w:before="24"/>
        <w:ind w:left="574" w:right="1235"/>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3" w:right="1235"/>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3"/>
        </w:rPr>
        <w:t> </w:t>
      </w:r>
      <w:r>
        <w:rPr>
          <w:spacing w:val="-63"/>
        </w:rPr>
      </w:r>
      <w:r>
        <w:rPr/>
        <w:t>转入当期损益。</w:t>
      </w:r>
    </w:p>
    <w:p>
      <w:pPr>
        <w:spacing w:after="0" w:line="309"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235"/>
        <w:jc w:val="left"/>
      </w:pPr>
      <w:r>
        <w:rPr/>
        <w:t>在职工为公司提供服务的会计期间，将实际发生的短期薪酬确认为负债，并计入当期损益或相关资产成本。</w:t>
      </w:r>
    </w:p>
    <w:p>
      <w:pPr>
        <w:spacing w:line="240" w:lineRule="auto" w:before="12"/>
        <w:rPr>
          <w:rFonts w:ascii="宋体" w:hAnsi="宋体" w:cs="宋体" w:eastAsia="宋体" w:hint="default"/>
          <w:sz w:val="26"/>
          <w:szCs w:val="26"/>
        </w:rPr>
      </w:pPr>
    </w:p>
    <w:p>
      <w:pPr>
        <w:pStyle w:val="Heading3"/>
        <w:spacing w:line="240" w:lineRule="auto"/>
        <w:ind w:left="153" w:right="1235"/>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235"/>
        <w:jc w:val="left"/>
      </w:pPr>
      <w:r>
        <w:rPr/>
        <w:t>离职后福利分为设定提存计划和设定受益计划。</w:t>
      </w:r>
    </w:p>
    <w:p>
      <w:pPr>
        <w:pStyle w:val="BodyText"/>
        <w:spacing w:line="300" w:lineRule="auto" w:before="76"/>
        <w:ind w:left="15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4"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对设定受益计划的会计处理通常包括下列步骤：</w:t>
      </w:r>
    </w:p>
    <w:p>
      <w:pPr>
        <w:pStyle w:val="BodyText"/>
        <w:spacing w:line="309" w:lineRule="auto" w:before="63"/>
        <w:ind w:left="15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pStyle w:val="BodyText"/>
        <w:spacing w:line="309" w:lineRule="auto" w:before="2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12" w:lineRule="auto" w:before="2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期末，将设定受益计划产生的职工薪酬成本确认为服务成本、设定受益计划净负债或净资产的利息净额以及重新计</w:t>
      </w:r>
      <w:r>
        <w:rPr>
          <w:w w:val="99"/>
        </w:rPr>
        <w:t> </w:t>
      </w:r>
      <w:r>
        <w:rPr>
          <w:spacing w:val="-2"/>
          <w:w w:val="99"/>
        </w:rPr>
        <w:t>量设定受益计划净负债或净资产所产生的变动等三部分，其中服务成本和设定受益计划净负债或净资产的利息净额计入当期</w:t>
      </w:r>
      <w:r>
        <w:rPr>
          <w:spacing w:val="-64"/>
          <w:w w:val="99"/>
        </w:rPr>
        <w:t> </w:t>
      </w:r>
      <w:r>
        <w:rPr>
          <w:spacing w:val="-64"/>
          <w:w w:val="99"/>
        </w:rPr>
      </w:r>
      <w:r>
        <w:rPr>
          <w:spacing w:val="-2"/>
        </w:rPr>
        <w:t>损益或相关资产成本，重新计量设定受益计划净负债或净资产所产生的变动计入其他综合收益，并且在后续会计期间不允许</w:t>
      </w:r>
      <w:r>
        <w:rPr>
          <w:spacing w:val="-65"/>
        </w:rPr>
        <w:t> </w:t>
      </w:r>
      <w:r>
        <w:rPr>
          <w:spacing w:val="-65"/>
        </w:rPr>
      </w:r>
      <w:r>
        <w:rPr/>
        <w:t>转回至损益，但可以在权益范围内转移这些在其他综合收益确认的金额。</w:t>
      </w:r>
    </w:p>
    <w:p>
      <w:pPr>
        <w:spacing w:line="240" w:lineRule="auto" w:before="11"/>
        <w:rPr>
          <w:rFonts w:ascii="宋体" w:hAnsi="宋体" w:cs="宋体" w:eastAsia="宋体" w:hint="default"/>
          <w:sz w:val="22"/>
          <w:szCs w:val="22"/>
        </w:rPr>
      </w:pPr>
    </w:p>
    <w:p>
      <w:pPr>
        <w:pStyle w:val="Heading3"/>
        <w:spacing w:line="240" w:lineRule="auto"/>
        <w:ind w:left="153" w:right="1235"/>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2" w:firstLine="420"/>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公司不能单方面 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3"/>
        <w:spacing w:line="240" w:lineRule="auto"/>
        <w:ind w:left="153" w:right="1235"/>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向职工提供的其他长期福利，符合设定提存计划条件的，按照设定提存计划的有关规定进行会计处理；除此之外的其 </w:t>
      </w:r>
      <w:r>
        <w:rPr>
          <w:spacing w:val="-5"/>
        </w:rPr>
        <w:t>他长期福利，按照设定受益计划的有关规定进行会计处理，为简化相关会计处理，将其产生的职工薪酬成本确认为服务成本、</w:t>
      </w:r>
      <w:r>
        <w:rPr>
          <w:spacing w:val="-79"/>
        </w:rPr>
        <w:t> </w:t>
      </w:r>
      <w:r>
        <w:rPr>
          <w:spacing w:val="-79"/>
        </w:rPr>
      </w:r>
      <w:r>
        <w:rPr/>
        <w:t>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1235"/>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2"/>
        <w:ind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公司按照履行相关现时义务所需支出的最佳估计数对预计负债进行初始计量，并在资产负债表日对预计负债的账面 价值进行复核。</w:t>
      </w:r>
    </w:p>
    <w:p>
      <w:pPr>
        <w:spacing w:after="0" w:line="30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1235"/>
        <w:jc w:val="left"/>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53" w:right="1235"/>
        <w:jc w:val="left"/>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8"/>
        <w:ind w:left="574"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收入确认原则</w:t>
      </w:r>
    </w:p>
    <w:p>
      <w:pPr>
        <w:pStyle w:val="BodyText"/>
        <w:spacing w:line="240" w:lineRule="auto" w:before="63"/>
        <w:ind w:left="574"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销售商品</w:t>
      </w:r>
    </w:p>
    <w:p>
      <w:pPr>
        <w:pStyle w:val="BodyText"/>
        <w:spacing w:line="300" w:lineRule="auto" w:before="63"/>
        <w:ind w:right="1130"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相关的经济 利益很可能流入；</w:t>
      </w:r>
      <w:r>
        <w:rPr>
          <w:rFonts w:ascii="Times New Roman" w:hAnsi="Times New Roman" w:cs="Times New Roman" w:eastAsia="Times New Roman" w:hint="default"/>
        </w:rPr>
        <w:t>5)  </w:t>
      </w:r>
      <w:r>
        <w:rPr/>
        <w:t>相关的已发生或将发生的成本能够可靠地计量。</w:t>
      </w:r>
    </w:p>
    <w:p>
      <w:pPr>
        <w:pStyle w:val="BodyText"/>
        <w:spacing w:line="300" w:lineRule="auto" w:before="1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提供劳务</w:t>
      </w:r>
      <w:r>
        <w:rPr>
          <w:w w:val="99"/>
        </w:rPr>
        <w:t> </w:t>
      </w:r>
      <w:r>
        <w:rPr>
          <w:spacing w:val="-1"/>
        </w:rPr>
        <w:t>提供劳务交易的结果在资产负债表日能够可靠估计的</w:t>
      </w:r>
      <w:r>
        <w:rPr>
          <w:rFonts w:ascii="Times New Roman" w:hAnsi="Times New Roman" w:cs="Times New Roman" w:eastAsia="Times New Roman" w:hint="default"/>
          <w:spacing w:val="-1"/>
        </w:rPr>
        <w:t>(</w:t>
      </w:r>
      <w:r>
        <w:rPr>
          <w:spacing w:val="-1"/>
        </w:rPr>
        <w:t>同时满足收入的金额能够可靠地计量、相关经济利益很可能流入、</w:t>
      </w:r>
    </w:p>
    <w:p>
      <w:pPr>
        <w:pStyle w:val="BodyText"/>
        <w:spacing w:line="312" w:lineRule="auto" w:before="13"/>
        <w:ind w:left="154" w:right="1131"/>
        <w:jc w:val="both"/>
      </w:pPr>
      <w:r>
        <w:rPr>
          <w:spacing w:val="-3"/>
        </w:rPr>
        <w:t>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，采用完工百分比法确认提供劳务的收入，</w:t>
      </w:r>
      <w:r>
        <w:rPr>
          <w:spacing w:val="-67"/>
        </w:rPr>
        <w:t> </w:t>
      </w:r>
      <w:r>
        <w:rPr>
          <w:spacing w:val="-67"/>
        </w:rPr>
      </w:r>
      <w:r>
        <w:rPr>
          <w:spacing w:val="-2"/>
        </w:rPr>
        <w:t>并按已经提供劳务占应提供劳务总量的比例确定提供劳务交易的完工进度。提供劳务交易的结果在资产负债表日不能够可靠</w:t>
      </w:r>
      <w:r>
        <w:rPr>
          <w:spacing w:val="-64"/>
        </w:rPr>
        <w:t> </w:t>
      </w:r>
      <w:r>
        <w:rPr>
          <w:spacing w:val="-64"/>
        </w:rPr>
      </w:r>
      <w:r>
        <w:rPr>
          <w:spacing w:val="-2"/>
        </w:rPr>
        <w:t>估计的，若已经发生的劳务成本预计能够得到补偿，按已经发生的劳务成本金额确认提供劳务收入，并按相同金额结转劳务</w:t>
      </w:r>
      <w:r>
        <w:rPr>
          <w:spacing w:val="-66"/>
        </w:rPr>
        <w:t> </w:t>
      </w:r>
      <w:r>
        <w:rPr>
          <w:spacing w:val="-66"/>
        </w:rPr>
      </w:r>
      <w:r>
        <w:rPr/>
        <w:t>成本；若已经发生的劳务成本预计不能够得到补偿，将已经发生的劳务成本计入当期损益，不确认劳务收入。</w:t>
      </w:r>
    </w:p>
    <w:p>
      <w:pPr>
        <w:pStyle w:val="BodyText"/>
        <w:spacing w:line="300" w:lineRule="auto" w:before="22"/>
        <w:ind w:left="574" w:right="115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left="154" w:right="1131"/>
        <w:jc w:val="both"/>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300" w:lineRule="auto" w:before="19"/>
        <w:ind w:left="574" w:right="0"/>
        <w:jc w:val="left"/>
      </w:pPr>
      <w:r>
        <w:rPr>
          <w:rFonts w:ascii="Times New Roman" w:hAnsi="Times New Roman" w:cs="Times New Roman" w:eastAsia="Times New Roman" w:hint="default"/>
        </w:rPr>
        <w:t>2. </w:t>
      </w:r>
      <w:r>
        <w:rPr/>
        <w:t>收入确认的具体方法 </w:t>
      </w:r>
      <w:r>
        <w:rPr>
          <w:spacing w:val="-1"/>
        </w:rPr>
        <w:t>公司主要销售与不停车收费系统相关的</w:t>
      </w:r>
      <w:r>
        <w:rPr>
          <w:rFonts w:ascii="Times New Roman" w:hAnsi="Times New Roman" w:cs="Times New Roman" w:eastAsia="Times New Roman" w:hint="default"/>
          <w:spacing w:val="-1"/>
        </w:rPr>
        <w:t>OBU</w:t>
      </w:r>
      <w:r>
        <w:rPr>
          <w:spacing w:val="-1"/>
        </w:rPr>
        <w:t>和</w:t>
      </w:r>
      <w:r>
        <w:rPr>
          <w:rFonts w:ascii="Times New Roman" w:hAnsi="Times New Roman" w:cs="Times New Roman" w:eastAsia="Times New Roman" w:hint="default"/>
          <w:spacing w:val="-1"/>
        </w:rPr>
        <w:t>RSU</w:t>
      </w:r>
      <w:r>
        <w:rPr>
          <w:spacing w:val="-1"/>
        </w:rPr>
        <w:t>、</w:t>
      </w:r>
      <w:r>
        <w:rPr>
          <w:rFonts w:ascii="Times New Roman" w:hAnsi="Times New Roman" w:cs="Times New Roman" w:eastAsia="Times New Roman" w:hint="default"/>
          <w:spacing w:val="-1"/>
        </w:rPr>
        <w:t>RFID</w:t>
      </w:r>
      <w:r>
        <w:rPr>
          <w:spacing w:val="-1"/>
        </w:rPr>
        <w:t>、停车场收费系统产品等。内销产品收入确认需满足以下条</w:t>
      </w:r>
    </w:p>
    <w:p>
      <w:pPr>
        <w:pStyle w:val="BodyText"/>
        <w:spacing w:line="309" w:lineRule="auto" w:before="13"/>
        <w:ind w:right="1130"/>
        <w:jc w:val="both"/>
      </w:pPr>
      <w:r>
        <w:rPr>
          <w:spacing w:val="-5"/>
        </w:rPr>
        <w:t>件：</w:t>
      </w:r>
      <w:r>
        <w:rPr>
          <w:rFonts w:ascii="Times New Roman" w:hAnsi="Times New Roman" w:cs="Times New Roman" w:eastAsia="Times New Roman" w:hint="default"/>
          <w:spacing w:val="-5"/>
        </w:rPr>
        <w:t>1</w:t>
      </w:r>
      <w:r>
        <w:rPr>
          <w:spacing w:val="-5"/>
        </w:rPr>
        <w:t>）公司已根据合同约定将产品交付给购货方，取得客户签收并接受产品的凭证；</w:t>
      </w:r>
      <w:r>
        <w:rPr>
          <w:rFonts w:ascii="Times New Roman" w:hAnsi="Times New Roman" w:cs="Times New Roman" w:eastAsia="Times New Roman" w:hint="default"/>
          <w:spacing w:val="-5"/>
        </w:rPr>
        <w:t>2</w:t>
      </w:r>
      <w:r>
        <w:rPr>
          <w:spacing w:val="-5"/>
        </w:rPr>
        <w:t>）未取得客户签收并接受产品凭证的，</w:t>
      </w:r>
      <w:r>
        <w:rPr>
          <w:spacing w:val="-73"/>
        </w:rPr>
        <w:t> </w:t>
      </w:r>
      <w:r>
        <w:rPr>
          <w:spacing w:val="-73"/>
        </w:rPr>
      </w:r>
      <w:r>
        <w:rPr/>
        <w:t>满足合同约定视同接受产品条件或客户实际接受产品；</w:t>
      </w:r>
      <w:r>
        <w:rPr>
          <w:rFonts w:ascii="Times New Roman" w:hAnsi="Times New Roman" w:cs="Times New Roman" w:eastAsia="Times New Roman" w:hint="default"/>
        </w:rPr>
        <w:t>3</w:t>
      </w:r>
      <w:r>
        <w:rPr/>
        <w:t>）产品销售收入金额已确定，已经收回货款或取得了收款凭证且相</w:t>
      </w:r>
      <w:r>
        <w:rPr>
          <w:spacing w:val="-82"/>
        </w:rPr>
        <w:t> </w:t>
      </w:r>
      <w:r>
        <w:rPr>
          <w:spacing w:val="-82"/>
        </w:rPr>
      </w:r>
      <w:r>
        <w:rPr>
          <w:spacing w:val="-2"/>
        </w:rPr>
        <w:t>关的经济利益很可能流入，产品相关的成本能够可靠地计量。外销产品收入确认需满足以下条件：公司已根据合同约定将产</w:t>
      </w:r>
      <w:r>
        <w:rPr>
          <w:spacing w:val="-66"/>
        </w:rPr>
        <w:t> </w:t>
      </w:r>
      <w:r>
        <w:rPr>
          <w:spacing w:val="-66"/>
        </w:rPr>
      </w:r>
      <w:r>
        <w:rPr>
          <w:spacing w:val="-2"/>
        </w:rPr>
        <w:t>品交付给承运人并报关，取得报关单，且产品销售收入金额已确定，已经收回货款或取得了收款凭证且相关的经济利益很可</w:t>
      </w:r>
      <w:r>
        <w:rPr>
          <w:spacing w:val="-66"/>
        </w:rPr>
        <w:t> </w:t>
      </w:r>
      <w:r>
        <w:rPr>
          <w:spacing w:val="-66"/>
        </w:rPr>
      </w:r>
      <w:r>
        <w:rPr/>
        <w:t>能流入，产品相关的成本能够可靠地计量。委托代销产品收入于取得受托方提供的受托代销商品清单时确认收入。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left="153" w:right="0"/>
        <w:jc w:val="both"/>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210"/>
      <w:bookmarkEnd w:id="21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20"/>
        <w:jc w:val="both"/>
      </w:pPr>
      <w:r>
        <w:rPr>
          <w:spacing w:val="-3"/>
        </w:rPr>
        <w:t>公司取得的、用于购建或以其他方式形成长期资产的政府补助划分为与资产相关的政府补助。与资产相关的政府补助，</w:t>
      </w:r>
      <w:r>
        <w:rPr/>
        <w:t> </w:t>
      </w:r>
      <w:r>
        <w:rPr>
          <w:spacing w:val="-2"/>
        </w:rPr>
        <w:t>确认为递延收益，并在相关资产使用寿命内平均分配，计入当期损益。但是，按照名义金额计量的政府补助，直接计入当期</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1235"/>
        <w:jc w:val="left"/>
      </w:pPr>
      <w:r>
        <w:rPr/>
        <w:t>损益。</w:t>
      </w:r>
    </w:p>
    <w:p>
      <w:pPr>
        <w:spacing w:line="240" w:lineRule="auto" w:before="12"/>
        <w:rPr>
          <w:rFonts w:ascii="宋体" w:hAnsi="宋体" w:cs="宋体" w:eastAsia="宋体" w:hint="default"/>
          <w:sz w:val="26"/>
          <w:szCs w:val="26"/>
        </w:rPr>
      </w:pPr>
    </w:p>
    <w:p>
      <w:pPr>
        <w:pStyle w:val="Heading3"/>
        <w:spacing w:line="240" w:lineRule="auto"/>
        <w:ind w:left="153" w:right="1235"/>
        <w:jc w:val="left"/>
        <w:rPr>
          <w:b w:val="0"/>
          <w:bCs w:val="0"/>
        </w:rPr>
      </w:pPr>
      <w:bookmarkStart w:name="（2）与收益相关的政府补助判断依据及会计处理方法" w:id="211"/>
      <w:bookmarkEnd w:id="21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除与资产相关的政府补助之外的政府补助划分为与收益相关的政府补助。与收益相关的政府补助，用于补偿以后期间 </w:t>
      </w:r>
      <w:r>
        <w:rPr>
          <w:spacing w:val="-2"/>
        </w:rPr>
        <w:t>的相关费用或损失的，确认为递延收益，在确认相关费用的期间，计入当期损益；用于补偿已发生的相关费用或损失的，直</w:t>
      </w:r>
      <w:r>
        <w:rPr>
          <w:spacing w:val="-66"/>
        </w:rPr>
        <w:t> </w:t>
      </w:r>
      <w:r>
        <w:rPr>
          <w:spacing w:val="-66"/>
        </w:rPr>
      </w:r>
      <w:r>
        <w:rPr/>
        <w:t>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1235"/>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5"/>
        </w:rPr>
        <w:t> </w:t>
      </w:r>
      <w:r>
        <w:rPr>
          <w:spacing w:val="-65"/>
        </w:rPr>
      </w:r>
      <w:r>
        <w:rPr/>
        <w:t>或递延所得税负债。</w:t>
      </w:r>
    </w:p>
    <w:p>
      <w:pPr>
        <w:pStyle w:val="BodyText"/>
        <w:spacing w:line="300" w:lineRule="auto" w:before="24"/>
        <w:ind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31"/>
        <w:ind w:right="1132" w:firstLine="420"/>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企业合 并；</w:t>
      </w:r>
      <w:r>
        <w:rPr>
          <w:rFonts w:ascii="Times New Roman" w:hAnsi="Times New Roman" w:cs="Times New Roman" w:eastAsia="Times New Roman" w:hint="default"/>
        </w:rPr>
        <w:t>(2)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235"/>
        <w:jc w:val="left"/>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20"/>
        <w:jc w:val="both"/>
      </w:pPr>
      <w:r>
        <w:rPr>
          <w:spacing w:val="-3"/>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left="154" w:right="1170" w:firstLine="420"/>
        <w:jc w:val="both"/>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1235"/>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公司为承租人时，在租赁期开始日，公司以租赁开始日租赁资产公允价值与最低租赁付款额现值中两者较低者作为租 </w:t>
      </w:r>
      <w:r>
        <w:rPr>
          <w:spacing w:val="-2"/>
        </w:rPr>
        <w:t>入资产的入账价值，将最低租赁付款额作为长期应付款的入账价值，其差额为未确认融资费用，发生的初始直接费用，计入</w:t>
      </w:r>
      <w:r>
        <w:rPr>
          <w:spacing w:val="-66"/>
        </w:rPr>
        <w:t> </w:t>
      </w:r>
      <w:r>
        <w:rPr>
          <w:spacing w:val="-66"/>
        </w:rPr>
      </w:r>
      <w:r>
        <w:rPr/>
        <w:t>租赁资产价值。在租赁期各个期间，采用实际利率法计算确认当期的融资费用。</w:t>
      </w:r>
    </w:p>
    <w:p>
      <w:pPr>
        <w:pStyle w:val="BodyText"/>
        <w:spacing w:line="316" w:lineRule="auto" w:before="19"/>
        <w:ind w:right="1133" w:firstLine="420"/>
        <w:jc w:val="both"/>
      </w:pPr>
      <w:r>
        <w:rPr/>
        <w:t>公司为出租人时，在租赁期开始日，公司以租赁开始日最低租赁收款额与初始直接费用之和作为应收融资租赁款的入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53" w:right="1235"/>
        <w:jc w:val="left"/>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 </w:t>
            </w:r>
            <w:r>
              <w:rPr>
                <w:rFonts w:ascii="宋体" w:hAnsi="宋体" w:cs="宋体" w:eastAsia="宋体" w:hint="default"/>
                <w:spacing w:val="-7"/>
                <w:sz w:val="18"/>
                <w:szCs w:val="18"/>
              </w:rPr>
              <w:t>助》（财会〔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号）修订的规定， 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日起，与企业日常活动 有关的政府补助计入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或冲减 相关成本费用，与企业日常活动无关的 政府计入营业外收入。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159pt;height:31.2pt;mso-position-horizontal-relative:char;mso-position-vertical-relative:line" coordorigin="0,0" coordsize="3180,624">
                  <v:group style="position:absolute;left:0;top:0;width:3180;height:624" coordorigin="0,0" coordsize="3180,624">
                    <v:shape style="position:absolute;left:0;top:0;width:3180;height:624" coordorigin="0,0" coordsize="3180,624" path="m0,624l3179,624,3179,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日第二届董事会第七次会 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9" w:lineRule="auto"/>
              <w:ind w:left="22" w:right="94"/>
              <w:jc w:val="both"/>
              <w:rPr>
                <w:rFonts w:ascii="宋体" w:hAnsi="宋体" w:cs="宋体" w:eastAsia="宋体" w:hint="default"/>
                <w:sz w:val="18"/>
                <w:szCs w:val="18"/>
              </w:rPr>
            </w:pPr>
            <w:r>
              <w:rPr>
                <w:rFonts w:ascii="宋体" w:hAnsi="宋体" w:cs="宋体" w:eastAsia="宋体" w:hint="default"/>
                <w:sz w:val="18"/>
                <w:szCs w:val="18"/>
              </w:rPr>
              <w:t>公司本期与日常活动相关的政府补助， 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42,815,983.71 </w:t>
            </w:r>
            <w:r>
              <w:rPr>
                <w:rFonts w:ascii="宋体" w:hAnsi="宋体" w:cs="宋体" w:eastAsia="宋体" w:hint="default"/>
                <w:sz w:val="18"/>
                <w:szCs w:val="18"/>
              </w:rPr>
              <w:t>元。</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 售的非流动资产、处置组和终止经营》</w:t>
            </w:r>
          </w:p>
          <w:p>
            <w:pPr>
              <w:pStyle w:val="TableParagraph"/>
              <w:spacing w:line="240" w:lineRule="auto" w:before="3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号）的规定，自</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日起，对于准则施行日存在的 持有待售的非流动资产、处置组和终止 经营，采用未来适用法处理。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日第二届董事会第十二次 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报告期内该会计政策变更对公司财务报 表无影响。</w:t>
            </w:r>
          </w:p>
        </w:tc>
      </w:tr>
      <w:tr>
        <w:trPr>
          <w:trHeight w:val="227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号）的规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定，原列报于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 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的非流动资产处置利得或损失、非货 币性资产交换产生的利得或损失变更为 </w:t>
            </w:r>
            <w:r>
              <w:rPr>
                <w:rFonts w:ascii="宋体" w:hAnsi="宋体" w:cs="宋体" w:eastAsia="宋体" w:hint="default"/>
                <w:spacing w:val="-5"/>
                <w:w w:val="100"/>
                <w:sz w:val="18"/>
                <w:szCs w:val="18"/>
              </w:rPr>
              <w:t>列报于</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。此项会计政策变</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更采用追溯调整法。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日第二届董事会第十二次 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94"/>
              <w:jc w:val="both"/>
              <w:rPr>
                <w:rFonts w:ascii="宋体" w:hAnsi="宋体" w:cs="宋体" w:eastAsia="宋体" w:hint="default"/>
                <w:sz w:val="18"/>
                <w:szCs w:val="18"/>
              </w:rPr>
            </w:pPr>
            <w:r>
              <w:rPr>
                <w:rFonts w:ascii="宋体" w:hAnsi="宋体" w:cs="宋体" w:eastAsia="宋体" w:hint="default"/>
                <w:sz w:val="18"/>
                <w:szCs w:val="18"/>
              </w:rPr>
              <w:t>该会计政策的变更仅对公司财务报表项 目列示产生影响，对公司净利润、所有 者权益等不产生影响。因上期不存在该 项会计政策变更所涉及的交易事项，故 不涉及对以前年度数据的追溯调整。</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3" w:right="1235"/>
        <w:jc w:val="left"/>
        <w:rPr>
          <w:b w:val="0"/>
          <w:bCs w:val="0"/>
        </w:rPr>
      </w:pPr>
      <w:bookmarkStart w:name="34、其他" w:id="220"/>
      <w:bookmarkEnd w:id="220"/>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54" w:right="1235"/>
        <w:jc w:val="left"/>
        <w:rPr>
          <w:b w:val="0"/>
          <w:bCs w:val="0"/>
        </w:rPr>
      </w:pPr>
      <w:bookmarkStart w:name="六、税项" w:id="221"/>
      <w:bookmarkEnd w:id="22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35"/>
        <w:jc w:val="left"/>
        <w:rPr>
          <w:b w:val="0"/>
          <w:bCs w:val="0"/>
        </w:rPr>
      </w:pPr>
      <w:bookmarkStart w:name="1、主要税种及税率" w:id="222"/>
      <w:bookmarkEnd w:id="22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应税产品销售收入或应税劳务收入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1235"/>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3"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企业所得税 </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日通过高新技术企业复审，取得证书编号为</w:t>
      </w:r>
      <w:r>
        <w:rPr>
          <w:rFonts w:ascii="Times New Roman" w:hAnsi="Times New Roman" w:cs="Times New Roman" w:eastAsia="Times New Roman" w:hint="default"/>
          <w:spacing w:val="-2"/>
        </w:rPr>
        <w:t>GR201744200166</w:t>
      </w:r>
      <w:r>
        <w:rPr>
          <w:spacing w:val="-2"/>
        </w:rPr>
        <w:t>的高新技术企业证书，有效期三年，</w:t>
      </w:r>
    </w:p>
    <w:p>
      <w:pPr>
        <w:pStyle w:val="BodyText"/>
        <w:spacing w:line="240" w:lineRule="auto" w:before="13"/>
        <w:ind w:left="154" w:right="1235"/>
        <w:jc w:val="left"/>
      </w:pPr>
      <w:r>
        <w:rPr/>
        <w:t>故</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年度享受减按</w:t>
      </w:r>
      <w:r>
        <w:rPr>
          <w:rFonts w:ascii="Times New Roman" w:hAnsi="Times New Roman" w:cs="Times New Roman" w:eastAsia="Times New Roman" w:hint="default"/>
        </w:rPr>
        <w:t>15%</w:t>
      </w:r>
      <w:r>
        <w:rPr/>
        <w:t>税率缴纳企业所得税的税收优惠政策。</w:t>
      </w:r>
    </w:p>
    <w:p>
      <w:pPr>
        <w:pStyle w:val="BodyText"/>
        <w:spacing w:line="300" w:lineRule="auto" w:before="63"/>
        <w:ind w:left="57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增值税 </w:t>
      </w:r>
      <w:r>
        <w:rPr>
          <w:spacing w:val="-4"/>
        </w:rPr>
        <w:t>根据财政部、国家税务总局《关于软件产品增值税政策的通知》（财税</w:t>
      </w:r>
      <w:r>
        <w:rPr>
          <w:rFonts w:ascii="Times New Roman" w:hAnsi="Times New Roman" w:cs="Times New Roman" w:eastAsia="Times New Roman" w:hint="default"/>
          <w:spacing w:val="-4"/>
        </w:rPr>
        <w:t>[2011]100</w:t>
      </w:r>
      <w:r>
        <w:rPr>
          <w:spacing w:val="-4"/>
        </w:rPr>
        <w:t>号），增值税一般纳税人销售自行开发</w:t>
      </w:r>
    </w:p>
    <w:p>
      <w:pPr>
        <w:pStyle w:val="BodyText"/>
        <w:spacing w:line="300" w:lineRule="auto" w:before="13"/>
        <w:ind w:right="1118"/>
        <w:jc w:val="left"/>
      </w:pPr>
      <w:r>
        <w:rPr/>
        <w:t>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的部分实行即征即退的优惠政策，本公司享受上</w:t>
      </w:r>
      <w:r>
        <w:rPr>
          <w:spacing w:val="-29"/>
        </w:rPr>
        <w:t> </w:t>
      </w:r>
      <w:r>
        <w:rPr>
          <w:spacing w:val="-29"/>
        </w:rPr>
      </w:r>
      <w:r>
        <w:rPr/>
        <w:t>述优惠政策。</w:t>
      </w:r>
    </w:p>
    <w:p>
      <w:pPr>
        <w:spacing w:line="240" w:lineRule="auto" w:before="7"/>
        <w:rPr>
          <w:rFonts w:ascii="宋体" w:hAnsi="宋体" w:cs="宋体" w:eastAsia="宋体" w:hint="default"/>
          <w:sz w:val="23"/>
          <w:szCs w:val="23"/>
        </w:rPr>
      </w:pPr>
    </w:p>
    <w:p>
      <w:pPr>
        <w:pStyle w:val="Heading3"/>
        <w:spacing w:line="240" w:lineRule="auto"/>
        <w:ind w:left="153" w:right="1235"/>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
        <w:rPr>
          <w:rFonts w:ascii="宋体" w:hAnsi="宋体" w:cs="宋体" w:eastAsia="宋体" w:hint="default"/>
          <w:sz w:val="25"/>
          <w:szCs w:val="25"/>
        </w:rPr>
      </w:pPr>
    </w:p>
    <w:p>
      <w:pPr>
        <w:pStyle w:val="Heading2"/>
        <w:spacing w:line="240" w:lineRule="auto"/>
        <w:ind w:left="154" w:right="1235"/>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3,072,314.76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10,981,896.71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643,826,376.29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348,753,592.32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5308"/>
        <w:jc w:val="left"/>
      </w:pPr>
      <w:r>
        <w:rPr/>
        <w:t>其他说明 期末其他货币资金</w:t>
      </w:r>
      <w:r>
        <w:rPr>
          <w:rFonts w:ascii="Times New Roman" w:hAnsi="Times New Roman" w:cs="Times New Roman" w:eastAsia="Times New Roman" w:hint="default"/>
        </w:rPr>
        <w:t>3,072,314.76</w:t>
      </w:r>
      <w:r>
        <w:rPr/>
        <w:t>元系银行承兑汇票保证金，使用受限。</w:t>
      </w:r>
    </w:p>
    <w:p>
      <w:pPr>
        <w:spacing w:after="0" w:line="357"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4、应收票据" w:id="229"/>
      <w:bookmarkEnd w:id="22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应收票据分类列示" w:id="230"/>
      <w:bookmarkEnd w:id="23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417,800.00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期末公司已质押的应收票据" w:id="231"/>
      <w:bookmarkEnd w:id="23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期末公司已背书或贴现且在资产负债表日尚未到期的应收票据" w:id="232"/>
      <w:bookmarkEnd w:id="23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4）期末公司因出票人未履约而将其转应收账款的票据" w:id="233"/>
      <w:bookmarkEnd w:id="23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235"/>
        <w:jc w:val="left"/>
      </w:pPr>
      <w:r>
        <w:rPr/>
        <w:t>其他说明</w:t>
      </w:r>
    </w:p>
    <w:p>
      <w:pPr>
        <w:pStyle w:val="BodyText"/>
        <w:spacing w:line="316" w:lineRule="auto" w:before="115"/>
        <w:ind w:right="1131" w:firstLine="420"/>
        <w:jc w:val="both"/>
      </w:pPr>
      <w:r>
        <w:rPr/>
        <w:t>银行承兑汇票的承兑人是商业银行，由于商业银行具有较高的信用，银行承兑汇票到期不获支付的可能性较低，故本 </w:t>
      </w:r>
      <w:r>
        <w:rPr>
          <w:spacing w:val="-2"/>
        </w:rPr>
        <w:t>公司将已背书或贴现的银行承兑汇票予以终止确认。但如果该等票据到期不获支付，依据《票据法》之规定，公司仍将对持</w:t>
      </w:r>
      <w:r>
        <w:rPr>
          <w:spacing w:val="-65"/>
        </w:rPr>
        <w:t> </w:t>
      </w:r>
      <w:r>
        <w:rPr>
          <w:spacing w:val="-65"/>
        </w:rPr>
      </w:r>
      <w:r>
        <w:rPr/>
        <w:t>票人承担连带责任。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53" w:right="1235"/>
        <w:jc w:val="left"/>
        <w:rPr>
          <w:b w:val="0"/>
          <w:bCs w:val="0"/>
        </w:rPr>
      </w:pPr>
      <w:bookmarkStart w:name="5、应收账款" w:id="234"/>
      <w:bookmarkEnd w:id="23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应收账款分类披露" w:id="235"/>
      <w:bookmarkEnd w:id="23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278,963,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525.97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46,469,7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232,493,7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51.08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241,151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,795.38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35,985,45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205,166,34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1,470,5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280,434,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025.97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47,940,2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232,493,7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51.08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242,622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,295.38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37,455,95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205,166,34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145,255,939.95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7,262,797.00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36,824,329.59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3,682,432.96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23,545,278.29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7,063,583.49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9,820,999.11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4,910,499.56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3,193,444.95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2,554,755.96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3,444,843.08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3,444,843.08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222,084,834.97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28,918,912.05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r>
    </w:tbl>
    <w:p>
      <w:pPr>
        <w:pStyle w:val="BodyText"/>
        <w:spacing w:line="240" w:lineRule="auto" w:before="51"/>
        <w:ind w:left="214" w:right="0"/>
        <w:jc w:val="left"/>
      </w:pPr>
      <w:r>
        <w:rPr/>
        <w:t>组合中，采用余额百分比法计提坏账准备的应收账款：</w:t>
      </w:r>
    </w:p>
    <w:p>
      <w:pPr>
        <w:pStyle w:val="BodyText"/>
        <w:spacing w:line="338" w:lineRule="auto" w:before="117"/>
        <w:ind w:left="21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1"/>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371"/>
        <w:gridCol w:w="1865"/>
        <w:gridCol w:w="1864"/>
        <w:gridCol w:w="2557"/>
      </w:tblGrid>
      <w:tr>
        <w:trPr>
          <w:trHeight w:val="337" w:hRule="exact"/>
        </w:trPr>
        <w:tc>
          <w:tcPr>
            <w:tcW w:w="3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371" w:type="dxa"/>
            <w:vMerge/>
            <w:tcBorders>
              <w:left w:val="single" w:sz="4" w:space="0" w:color="000000"/>
              <w:bottom w:val="single" w:sz="4" w:space="0" w:color="000000"/>
              <w:right w:val="single" w:sz="4" w:space="0" w:color="000000"/>
            </w:tcBorders>
            <w:shd w:val="clear" w:color="auto" w:fill="D2D2D2"/>
          </w:tcPr>
          <w:p>
            <w:pP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7"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1865"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18"/>
                <w:szCs w:val="18"/>
              </w:rPr>
            </w:pPr>
            <w:r>
              <w:rPr>
                <w:rFonts w:ascii="Times New Roman"/>
                <w:spacing w:val="-1"/>
                <w:sz w:val="18"/>
              </w:rPr>
              <w:t>39,100,212.58</w:t>
            </w:r>
          </w:p>
        </w:tc>
        <w:tc>
          <w:tcPr>
            <w:tcW w:w="18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18"/>
                <w:szCs w:val="18"/>
              </w:rPr>
            </w:pPr>
            <w:r>
              <w:rPr>
                <w:rFonts w:ascii="Times New Roman"/>
                <w:spacing w:val="-1"/>
                <w:sz w:val="18"/>
              </w:rPr>
              <w:t>3,910,021.26</w:t>
            </w:r>
          </w:p>
        </w:tc>
        <w:tc>
          <w:tcPr>
            <w:tcW w:w="25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6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8,275,273.68</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4,137,636.84</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34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86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9,503,204.74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9,503,204.74</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56,878,691.00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17,550,862.84</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30.86%</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单项金额虽不重大但单项计提坏账准备的应收账款" w:id="236"/>
      <w:bookmarkEnd w:id="236"/>
      <w:r>
        <w:rPr>
          <w:b w:val="0"/>
          <w:bCs w:val="0"/>
        </w:rPr>
      </w:r>
      <w:r>
        <w:rPr/>
        <w:t>单项金额虽不重大但单项计提坏账准备的应收账款</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858"/>
        <w:gridCol w:w="2122"/>
        <w:gridCol w:w="2209"/>
        <w:gridCol w:w="1697"/>
        <w:gridCol w:w="1969"/>
      </w:tblGrid>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t>本期计提坏账准备金额</w:t>
      </w:r>
      <w:r>
        <w:rPr>
          <w:spacing w:val="-47"/>
        </w:rPr>
        <w:t> </w:t>
      </w:r>
      <w:r>
        <w:rPr>
          <w:rFonts w:ascii="Times New Roman" w:hAnsi="Times New Roman" w:cs="Times New Roman" w:eastAsia="Times New Roman" w:hint="default"/>
        </w:rPr>
        <w:t>10,484,322.12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5"/>
          <w:szCs w:val="25"/>
        </w:rPr>
      </w:pPr>
    </w:p>
    <w:p>
      <w:pPr>
        <w:pStyle w:val="Heading3"/>
        <w:spacing w:line="240" w:lineRule="auto"/>
        <w:ind w:left="213" w:right="0"/>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99" w:type="dxa"/>
        <w:tblLayout w:type="fixed"/>
        <w:tblCellMar>
          <w:top w:w="0" w:type="dxa"/>
          <w:left w:w="0" w:type="dxa"/>
          <w:bottom w:w="0" w:type="dxa"/>
          <w:right w:w="0" w:type="dxa"/>
        </w:tblCellMar>
        <w:tblLook w:val="01E0"/>
      </w:tblPr>
      <w:tblGrid>
        <w:gridCol w:w="3072"/>
        <w:gridCol w:w="2451"/>
        <w:gridCol w:w="1832"/>
        <w:gridCol w:w="2304"/>
      </w:tblGrid>
      <w:tr>
        <w:trPr>
          <w:trHeight w:val="347" w:hRule="exact"/>
        </w:trPr>
        <w:tc>
          <w:tcPr>
            <w:tcW w:w="3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586" w:type="dxa"/>
            <w:gridSpan w:val="3"/>
            <w:tcBorders>
              <w:top w:val="single" w:sz="4" w:space="0" w:color="000000"/>
              <w:left w:val="single" w:sz="4" w:space="0" w:color="000000"/>
              <w:bottom w:val="single" w:sz="8" w:space="0" w:color="D2D2D2"/>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2" w:hRule="exact"/>
        </w:trPr>
        <w:tc>
          <w:tcPr>
            <w:tcW w:w="3072" w:type="dxa"/>
            <w:vMerge/>
            <w:tcBorders>
              <w:left w:val="single" w:sz="4" w:space="0" w:color="000000"/>
              <w:bottom w:val="single" w:sz="4" w:space="0" w:color="000000"/>
              <w:right w:val="single" w:sz="4" w:space="0" w:color="000000"/>
            </w:tcBorders>
            <w:shd w:val="clear" w:color="auto" w:fill="D2D2D2"/>
          </w:tcPr>
          <w:p>
            <w:pP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49" w:right="0"/>
              <w:jc w:val="left"/>
              <w:rPr>
                <w:rFonts w:ascii="宋体" w:hAnsi="宋体" w:cs="宋体" w:eastAsia="宋体" w:hint="default"/>
                <w:sz w:val="18"/>
                <w:szCs w:val="18"/>
              </w:rPr>
            </w:pPr>
            <w:r>
              <w:rPr>
                <w:rFonts w:ascii="宋体" w:hAnsi="宋体" w:cs="宋体" w:eastAsia="宋体" w:hint="default"/>
                <w:sz w:val="18"/>
                <w:szCs w:val="18"/>
              </w:rPr>
              <w:t>余额占比</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32,477,606.48</w:t>
            </w:r>
          </w:p>
        </w:tc>
        <w:tc>
          <w:tcPr>
            <w:tcW w:w="18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11.58%</w:t>
            </w:r>
          </w:p>
        </w:tc>
        <w:tc>
          <w:tcPr>
            <w:tcW w:w="23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2,393,382.03</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25,753,503.62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9.18%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1,641,753.45</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22,155,060.00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7.90%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3,123,573.00</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12,703,606.80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4.53%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2,585,181.28</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11,430,000.00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628,650.00</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104,519,776.90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37.27%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10,372,539.76</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t>无</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20,422,273.68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7,511,322.80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5,256,630.91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53,306.66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98,188.56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25,732,211.25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7,609,511.36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235"/>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597"/>
        <w:gridCol w:w="1949"/>
        <w:gridCol w:w="4113"/>
      </w:tblGrid>
      <w:tr>
        <w:trPr>
          <w:trHeight w:val="342" w:hRule="exact"/>
        </w:trPr>
        <w:tc>
          <w:tcPr>
            <w:tcW w:w="3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2" w:hRule="exact"/>
        </w:trPr>
        <w:tc>
          <w:tcPr>
            <w:tcW w:w="3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广州创粤电子科技有限公司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4,849,855.74</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项目实施中，尚未验收</w:t>
            </w:r>
          </w:p>
        </w:tc>
      </w:tr>
      <w:tr>
        <w:trPr>
          <w:trHeight w:val="342" w:hRule="exact"/>
        </w:trPr>
        <w:tc>
          <w:tcPr>
            <w:tcW w:w="3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4,849,855.74</w:t>
            </w:r>
          </w:p>
        </w:tc>
        <w:tc>
          <w:tcPr>
            <w:tcW w:w="41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235"/>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812"/>
        <w:gridCol w:w="3562"/>
        <w:gridCol w:w="3285"/>
      </w:tblGrid>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18,729,184.09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72.78%</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3,473,337.42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13.50%</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1,351,133.88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5.25%</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925,719.78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3.60%</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199,572.65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0.78%</w:t>
            </w:r>
          </w:p>
        </w:tc>
      </w:tr>
      <w:tr>
        <w:trPr>
          <w:trHeight w:val="342" w:hRule="exact"/>
        </w:trPr>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24,678,947.82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95.91%</w:t>
            </w:r>
          </w:p>
        </w:tc>
      </w:tr>
    </w:tbl>
    <w:p>
      <w:pPr>
        <w:spacing w:line="240" w:lineRule="auto" w:before="2"/>
        <w:rPr>
          <w:rFonts w:ascii="宋体" w:hAnsi="宋体" w:cs="宋体" w:eastAsia="宋体" w:hint="default"/>
          <w:b/>
          <w:bCs/>
          <w:sz w:val="19"/>
          <w:szCs w:val="19"/>
        </w:rPr>
      </w:pPr>
    </w:p>
    <w:p>
      <w:pPr>
        <w:pStyle w:val="Heading3"/>
        <w:spacing w:line="240" w:lineRule="auto" w:before="35"/>
        <w:ind w:right="1235"/>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9、其他应收款" w:id="249"/>
      <w:bookmarkEnd w:id="24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其他应收款分类披露" w:id="250"/>
      <w:bookmarkEnd w:id="25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18,023,6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86.77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1,759,45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16,264,23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996,664.8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9,038,851.3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18,023,6</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86.77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1,759,45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9.76%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16,264,23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10,035,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516.21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996,664.8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9,038,851.3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14,440,259.02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722,013.46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617,896.42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61,789.64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2,819,407.33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845,822.20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18,023,686.77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1,759,454.15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bl>
    <w:p>
      <w:pPr>
        <w:pStyle w:val="BodyText"/>
        <w:spacing w:line="240" w:lineRule="auto" w:before="51"/>
        <w:ind w:left="154" w:right="1235"/>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本期计提坏账准备金额</w:t>
      </w:r>
      <w:r>
        <w:rPr>
          <w:spacing w:val="-46"/>
        </w:rPr>
        <w:t> </w:t>
      </w:r>
      <w:r>
        <w:rPr>
          <w:rFonts w:ascii="Times New Roman" w:hAnsi="Times New Roman" w:cs="Times New Roman" w:eastAsia="Times New Roman" w:hint="default"/>
        </w:rPr>
        <w:t>762,789.30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3）本期实际核销的其他应收款情况" w:id="252"/>
      <w:bookmarkEnd w:id="25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其他应收款按款项性质分类情况" w:id="253"/>
      <w:bookmarkEnd w:id="25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10,075,480.40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6,582,564.71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5,903,967.13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850,458.75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812,751.63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750,381.77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1,231,487.61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1,852,110.98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18,023,686.77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10,035,516.21</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5）按欠款方归集的期末余额前五名的其他应收款情况" w:id="254"/>
      <w:bookmarkEnd w:id="25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5,667,103.50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283,355.18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2,368,575.84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118,428.79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330,102.00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949,424.75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47,471.24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924,485.34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197,913.58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11,009,929.43</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61.09%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977,270.79</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6）涉及政府补助的应收款项" w:id="255"/>
      <w:bookmarkEnd w:id="25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深圳市南山区国家税务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增值税超税负返还</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5,667,103.50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已全额收到上述款项。</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5,667,103.50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7）因金融资产转移而终止确认的其他应收款" w:id="256"/>
      <w:bookmarkEnd w:id="25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8）转移其他应收款且继续涉入形成的资产、负债金额" w:id="257"/>
      <w:bookmarkEnd w:id="25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10、存货" w:id="258"/>
      <w:bookmarkEnd w:id="25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1235"/>
        <w:jc w:val="left"/>
        <w:rPr>
          <w:b w:val="0"/>
          <w:bCs w:val="0"/>
        </w:rPr>
      </w:pPr>
      <w:bookmarkStart w:name="（1）存货分类" w:id="259"/>
      <w:bookmarkEnd w:id="25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36,537,073.73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35,022,345.97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33,838,402.45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1,050,471.06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32,787,931.39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7,730,801.86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7,730,801.86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7,747,983.45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7,747,983.45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20,165,840.26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4,280,435.54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15,885,404.72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43,643,159.08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5,480,142.32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38,163,016.76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44,857,159.07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44,857,159.07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44,276,137.16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44,276,137.16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921,592.82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921,592.82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89,795.64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123,643.60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123,643.60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109,380,670.56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5,795,163.30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103,585,507.26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130,550,918.56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6,530,613.38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124,020,305.18</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3"/>
        <w:rPr>
          <w:rFonts w:ascii="宋体" w:hAnsi="宋体" w:cs="宋体" w:eastAsia="宋体" w:hint="default"/>
          <w:sz w:val="20"/>
          <w:szCs w:val="20"/>
        </w:rPr>
      </w:pPr>
    </w:p>
    <w:p>
      <w:pPr>
        <w:pStyle w:val="Heading3"/>
        <w:spacing w:line="240" w:lineRule="auto"/>
        <w:ind w:right="1235"/>
        <w:jc w:val="left"/>
        <w:rPr>
          <w:b w:val="0"/>
          <w:bCs w:val="0"/>
        </w:rPr>
      </w:pPr>
      <w:bookmarkStart w:name="（2）存货跌价准备" w:id="260"/>
      <w:bookmarkEnd w:id="26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1,050,471.06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610,117.42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145,860.72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1,514,727.76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5,480,142.32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1,199,706.78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4,280,435.54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6,530,613.38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610,117.42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1,345,567.50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5,795,163.30</w:t>
            </w:r>
          </w:p>
        </w:tc>
      </w:tr>
    </w:tbl>
    <w:p>
      <w:pPr>
        <w:pStyle w:val="BodyText"/>
        <w:spacing w:line="316" w:lineRule="auto" w:before="10"/>
        <w:ind w:left="154" w:right="0" w:firstLine="420"/>
        <w:jc w:val="left"/>
      </w:pPr>
      <w:r>
        <w:rPr/>
        <w:t>本公司因技术革新导致部分原材料和库存商品无法利用或销售，故该类存货的可变现净值为零，全额计提存货跌价准 备。本期存货跌价准备的转销系本公司将无利用价值或无法销售的存货进行清理。</w:t>
      </w:r>
    </w:p>
    <w:p>
      <w:pPr>
        <w:spacing w:line="240" w:lineRule="auto" w:before="7"/>
        <w:rPr>
          <w:rFonts w:ascii="宋体" w:hAnsi="宋体" w:cs="宋体" w:eastAsia="宋体" w:hint="default"/>
          <w:sz w:val="22"/>
          <w:szCs w:val="22"/>
        </w:rPr>
      </w:pPr>
    </w:p>
    <w:p>
      <w:pPr>
        <w:pStyle w:val="Heading3"/>
        <w:spacing w:line="240" w:lineRule="auto"/>
        <w:ind w:left="153" w:right="1235"/>
        <w:jc w:val="left"/>
        <w:rPr>
          <w:b w:val="0"/>
          <w:bCs w:val="0"/>
        </w:rPr>
      </w:pPr>
      <w:bookmarkStart w:name="（3）存货期末余额含有借款费用资本化金额的说明" w:id="261"/>
      <w:bookmarkEnd w:id="26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期末建造合同形成的已完工未结算资产情况" w:id="262"/>
      <w:bookmarkEnd w:id="26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1、持有待售的资产" w:id="263"/>
      <w:bookmarkEnd w:id="263"/>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2、一年内到期的非流动资产" w:id="264"/>
      <w:bookmarkEnd w:id="26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3、其他流动资产" w:id="265"/>
      <w:bookmarkEnd w:id="26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1,507,317.43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201,507,317.43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14、可供出售金融资产" w:id="266"/>
      <w:bookmarkEnd w:id="26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15、持有至到期投资" w:id="267"/>
      <w:bookmarkEnd w:id="26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16、长期应收款" w:id="268"/>
      <w:bookmarkEnd w:id="26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7、长期股权投资" w:id="269"/>
      <w:bookmarkEnd w:id="26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8、投资性房地产" w:id="270"/>
      <w:bookmarkEnd w:id="27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19、固定资产" w:id="271"/>
      <w:bookmarkEnd w:id="27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固定资产情况" w:id="272"/>
      <w:bookmarkEnd w:id="27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27,810,000.00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46,301,198.88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7,516,655.43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3,229,111.02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84,856,965.33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1,813,778.09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395,440.99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282,009.73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2,491,228.81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1,813,778.09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395,440.99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282,009.73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2,491,228.81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302,019.33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346,956.00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664,906.66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302,019.33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346,956.00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15,931.33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664,906.66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47,812,957.64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7,565,140.42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3,495,189.42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86,683,287.48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4,403,791.31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26,488,989.07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3,306,175.75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2,256,116.99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36,455,073.12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1,320,942.48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6,320,006.98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1,113,708.45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321,910.66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9,076,568.57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1,320,942.48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6,320,006.98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1,113,708.45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321,910.66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9,076,568.57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329,608.20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629,323.57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286,094.82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329,608.20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13,620.55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629,323.57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5,724,733.79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32,522,901.23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4,090,276.00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2,564,407.10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44,902,318.12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22,085,266.21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3,474,864.42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930,782.32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23,406,208.69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19,812,209.81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4,210,479.68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972,994.03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48,401,892.21</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暂时闲置的固定资产情况" w:id="273"/>
      <w:bookmarkEnd w:id="27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通过融资租赁租入的固定资产情况" w:id="274"/>
      <w:bookmarkEnd w:id="27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通过经营租赁租出的固定资产" w:id="275"/>
      <w:bookmarkEnd w:id="27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未办妥产权证书的固定资产情况" w:id="276"/>
      <w:bookmarkEnd w:id="27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0、在建工程" w:id="277"/>
      <w:bookmarkEnd w:id="27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在建工程情况" w:id="278"/>
      <w:bookmarkEnd w:id="27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52,312,592.16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52,312,592.16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40,628,010.95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40,628,010.95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3,319,829.03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3,319,829.03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55,632,421.19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40,645,354.95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40,645,354.95</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重要在建工程项目本期变动情况" w:id="279"/>
      <w:bookmarkEnd w:id="27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青岛基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80,780,0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40,628,0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11,684,5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52,312,5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286,809,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3,302,48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3,319,82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367,589,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40,645,3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54.95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14,987,0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66.24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55,632,4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21.19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本期计提在建工程减值准备情况" w:id="280"/>
      <w:bookmarkEnd w:id="28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1、工程物资" w:id="281"/>
      <w:bookmarkEnd w:id="28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2、固定资产清理" w:id="282"/>
      <w:bookmarkEnd w:id="28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3、生产性生物资产" w:id="283"/>
      <w:bookmarkEnd w:id="28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4、油气资产" w:id="284"/>
      <w:bookmarkEnd w:id="28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5、无形资产" w:id="285"/>
      <w:bookmarkEnd w:id="28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无形资产情况" w:id="286"/>
      <w:bookmarkEnd w:id="28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36,229,382.20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6,210,476.29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42,439,858.49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842,905.96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842,905.96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842,905.96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36,229,382.20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7,053,382.25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43,282,764.45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1,613,281.95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3,620,553.62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5,233,835.57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732,857.16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1,032,903.93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1,765,761.09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732,857.16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1,032,903.93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1,765,761.09</w:t>
            </w:r>
          </w:p>
        </w:tc>
      </w:tr>
      <w:tr>
        <w:trPr>
          <w:trHeight w:val="402" w:hRule="exact"/>
        </w:trPr>
        <w:tc>
          <w:tcPr>
            <w:tcW w:w="1583"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2,346,139.11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4,653,457.55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6,999,596.66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33,883,243.09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2,399,924.70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36,283,167.79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34,616,100.25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2,589,922.67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37,206,022.92</w:t>
            </w:r>
          </w:p>
        </w:tc>
      </w:tr>
    </w:tbl>
    <w:p>
      <w:pPr>
        <w:pStyle w:val="BodyText"/>
        <w:spacing w:line="240" w:lineRule="auto" w:before="51"/>
        <w:ind w:left="154" w:right="1235"/>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53" w:right="1235"/>
        <w:jc w:val="left"/>
        <w:rPr>
          <w:b w:val="0"/>
          <w:bCs w:val="0"/>
        </w:rPr>
      </w:pPr>
      <w:bookmarkStart w:name="（2）未办妥产权证书的土地使用权情况" w:id="287"/>
      <w:bookmarkEnd w:id="28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6、开发支出" w:id="288"/>
      <w:bookmarkEnd w:id="28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7、商誉" w:id="289"/>
      <w:bookmarkEnd w:id="289"/>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28、长期待摊费用" w:id="290"/>
      <w:bookmarkEnd w:id="29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5,308,192.10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252,666.54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2,162,383.36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3,398,475.28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展示台制作费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132,075.47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75,471.71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设备维护费用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232,236.85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103,216.32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129,020.53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5,672,504.42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252,666.54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2,322,203.44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3,602,967.52</w:t>
            </w: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29、递延所得税资产/递延所得税负债" w:id="291"/>
      <w:bookmarkEnd w:id="29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52,519,824.46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7,877,973.67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43,654,475.06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6,548,171.27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258,569.38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38,785.41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419,540.68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62,931.10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18,405,198.82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2,760,779.82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20,752,395.71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3,112,859.36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3,015,858.00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452,378.70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74,199,450.66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11,129,917.60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64,826,411.45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9,723,961.73</w:t>
            </w: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11,129,917.60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9,723,961.73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4"/>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4,168,267.88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1,328,755.95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38,696,821.27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38,196,027.00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42,865,089.15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39,524,782.95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4,429,309.88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9,649,615.30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10,268,271.08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8,886,886.98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8,886,886.98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5,374,523.78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5,914,671.02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7,966,062.72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8,696,888.04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6,819,732.49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38,696,821.27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38,196,027.00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0、其他非流动资产" w:id="297"/>
      <w:bookmarkEnd w:id="29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31、短期借款" w:id="298"/>
      <w:bookmarkEnd w:id="29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2、以公允价值计量且其变动计入当期损益的金融负债" w:id="299"/>
      <w:bookmarkEnd w:id="299"/>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3、衍生金融负债" w:id="300"/>
      <w:bookmarkEnd w:id="300"/>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4、应付票据" w:id="301"/>
      <w:bookmarkEnd w:id="301"/>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51,668,271.52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61,647,211.87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51,668,271.52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61,647,211.87</w:t>
            </w:r>
          </w:p>
        </w:tc>
      </w:tr>
    </w:tbl>
    <w:p>
      <w:pPr>
        <w:pStyle w:val="BodyText"/>
        <w:spacing w:line="240" w:lineRule="auto" w:before="51"/>
        <w:ind w:left="154" w:right="1235"/>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6"/>
          <w:pgSz w:w="11910" w:h="16840"/>
          <w:pgMar w:footer="979" w:header="877" w:top="1100" w:bottom="1160" w:left="980" w:right="0"/>
          <w:pgNumType w:start="144"/>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5、应付账款" w:id="302"/>
      <w:bookmarkEnd w:id="30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应付账款列示" w:id="303"/>
      <w:bookmarkEnd w:id="30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132,388,690.60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133,462,709.86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362,036.00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1,066,124.32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132,750,726.60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134,528,834.18</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账龄超过1年的重要应付账款"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6、预收款项" w:id="305"/>
      <w:bookmarkEnd w:id="30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预收款项列示" w:id="306"/>
      <w:bookmarkEnd w:id="30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58,879,285.46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88,842,732.39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58,879,285.46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88,842,732.39</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账龄超过1年的重要预收款项" w:id="307"/>
      <w:bookmarkEnd w:id="30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青岛海信网络科技股份有限公司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5,183,582.12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项目实施中，尚未验收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中船重工（武汉）凌久高科有限公司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2,175,702.22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项目实施中，尚未验收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7,359,284.34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期末建造合同形成的已结算未完工项目情况" w:id="308"/>
      <w:bookmarkEnd w:id="30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7、应付职工薪酬" w:id="309"/>
      <w:bookmarkEnd w:id="30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36,079,767.42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126,468,341.01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125,843,818.49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36,704,289.94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5,350,253.00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5,350,720.38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4,297.71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197,643.24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197,643.24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36,084,532.51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132,016,237.25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131,392,182.11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36,708,587.65</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36,074,884.44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115,270,106.45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114,659,419.67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36,685,571.22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4,382,237.99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4,382,237.99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3,489,392.22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3,489,431.48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3,371.72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3,061,287.71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3,061,398.41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2,909.84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125,514.20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302,595.50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302,518.87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3,326,604.35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3,312,729.35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15,347.00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36,079,767.42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126,468,341.01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125,843,818.49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36,704,289.94</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5,183,506.50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5,183,790.72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166,746.50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166,929.66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5,350,253.00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5,350,720.38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4,297.71</w:t>
            </w:r>
          </w:p>
        </w:tc>
      </w:tr>
    </w:tbl>
    <w:p>
      <w:pPr>
        <w:pStyle w:val="BodyText"/>
        <w:spacing w:line="240" w:lineRule="auto" w:before="51"/>
        <w:ind w:left="154" w:right="1235"/>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8、应交税费" w:id="313"/>
      <w:bookmarkEnd w:id="31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22,818,284.54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24,763,904.96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2,636,315.80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9,715,004.88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715,458.22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519,631.65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1,136,512.72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1,472,219.04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487,076.84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630,950.97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324,717.91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420,634.00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148,438.72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68,369.96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28,266,804.75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37,590,715.46</w:t>
            </w:r>
          </w:p>
        </w:tc>
      </w:tr>
    </w:tbl>
    <w:p>
      <w:pPr>
        <w:pStyle w:val="BodyText"/>
        <w:spacing w:line="240" w:lineRule="auto" w:before="51"/>
        <w:ind w:left="154" w:right="123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39、应付利息" w:id="314"/>
      <w:bookmarkEnd w:id="31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0、应付股利" w:id="315"/>
      <w:bookmarkEnd w:id="31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1、其他应付款" w:id="316"/>
      <w:bookmarkEnd w:id="31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按款项性质列示其他应付款" w:id="317"/>
      <w:bookmarkEnd w:id="31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14,595,870.78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13,949,674.88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4,284,089.95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8,807,181.14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5,711,086.65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2,827,268.33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3,328,440.56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5,358,124.96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6,551,427.12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33,277,612.90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33,335,551.47</w:t>
            </w: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2）账龄超过1年的重要其他应付款"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2、持有待售的负债" w:id="319"/>
      <w:bookmarkEnd w:id="319"/>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3、一年内到期的非流动负债" w:id="320"/>
      <w:bookmarkEnd w:id="32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单无</w:t>
      </w:r>
    </w:p>
    <w:p>
      <w:pPr>
        <w:spacing w:line="240" w:lineRule="auto" w:before="1"/>
        <w:rPr>
          <w:rFonts w:ascii="宋体" w:hAnsi="宋体" w:cs="宋体" w:eastAsia="宋体" w:hint="default"/>
          <w:sz w:val="24"/>
          <w:szCs w:val="24"/>
        </w:rPr>
      </w:pPr>
    </w:p>
    <w:p>
      <w:pPr>
        <w:pStyle w:val="Heading3"/>
        <w:spacing w:line="240" w:lineRule="auto" w:before="35"/>
        <w:ind w:left="153" w:right="1235"/>
        <w:jc w:val="left"/>
        <w:rPr>
          <w:b w:val="0"/>
          <w:bCs w:val="0"/>
        </w:rPr>
      </w:pPr>
      <w:bookmarkStart w:name="44、其他流动负债" w:id="321"/>
      <w:bookmarkEnd w:id="32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5、长期借款" w:id="322"/>
      <w:bookmarkEnd w:id="32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6、应付债券" w:id="323"/>
      <w:bookmarkEnd w:id="32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7、长期应付款" w:id="324"/>
      <w:bookmarkEnd w:id="32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8、长期应付职工薪酬" w:id="325"/>
      <w:bookmarkEnd w:id="32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9、专项应付款" w:id="326"/>
      <w:bookmarkEnd w:id="32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0、预计负债" w:id="327"/>
      <w:bookmarkEnd w:id="32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4" w:right="0"/>
              <w:jc w:val="left"/>
              <w:rPr>
                <w:rFonts w:ascii="Times New Roman" w:hAnsi="Times New Roman" w:cs="Times New Roman" w:eastAsia="Times New Roman" w:hint="default"/>
                <w:sz w:val="18"/>
                <w:szCs w:val="18"/>
              </w:rPr>
            </w:pPr>
            <w:r>
              <w:rPr>
                <w:rFonts w:ascii="Times New Roman"/>
                <w:sz w:val="18"/>
              </w:rPr>
              <w:t>258,569.38</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419,540.68</w:t>
            </w:r>
          </w:p>
        </w:tc>
        <w:tc>
          <w:tcPr>
            <w:tcW w:w="239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按照处在质保期产品数量和 单位产品上年实际质保费用 预计</w:t>
            </w:r>
          </w:p>
        </w:tc>
      </w:tr>
      <w:tr>
        <w:trPr>
          <w:trHeight w:val="393"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258,569.38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419,540.68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51、递延收益" w:id="328"/>
      <w:bookmarkEnd w:id="32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48"/>
        <w:jc w:val="right"/>
      </w:pPr>
      <w:r>
        <w:rPr/>
        <w:pict>
          <v:shape style="position:absolute;margin-left:56.459999pt;margin-top:-20.948309pt;width:479.1pt;height:112.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21,145,595.71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3,450,000.00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4,997,196.89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19,598,398.82</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与资产相关的补助 以后期间收益相关 的补助</w:t>
                        </w: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21,145,595.71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3,450,000.00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4,997,196.89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19,598,398.82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left="154" w:right="1235"/>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基于专用短 程通信</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DSRC)</w:t>
            </w:r>
            <w:r>
              <w:rPr>
                <w:rFonts w:ascii="宋体" w:hAnsi="宋体" w:cs="宋体" w:eastAsia="宋体" w:hint="default"/>
                <w:sz w:val="18"/>
                <w:szCs w:val="18"/>
              </w:rPr>
              <w:t>技</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术的电子车 牌证多车道 自由流关键 技术研究与 核心设备研 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1" w:right="0"/>
              <w:jc w:val="left"/>
              <w:rPr>
                <w:rFonts w:ascii="Times New Roman" w:hAnsi="Times New Roman" w:cs="Times New Roman" w:eastAsia="Times New Roman" w:hint="default"/>
                <w:sz w:val="18"/>
                <w:szCs w:val="18"/>
              </w:rPr>
            </w:pPr>
            <w:r>
              <w:rPr>
                <w:rFonts w:ascii="Times New Roman"/>
                <w:sz w:val="18"/>
              </w:rPr>
              <w:t>124,568.57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49,566.48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75,002.09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基于无线感 知技术的道 路停车管理 与服务前端 系统研发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150,121.82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59,734.32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DSRC </w:t>
            </w:r>
            <w:r>
              <w:rPr>
                <w:rFonts w:ascii="宋体" w:hAnsi="宋体" w:cs="宋体" w:eastAsia="宋体" w:hint="default"/>
                <w:sz w:val="18"/>
                <w:szCs w:val="18"/>
              </w:rPr>
              <w:t>的智能交通 车联网多功 能车载智能 终端研发及 示范应用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352,559.24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95,942.28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256,616.96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面向实时交 通信息服务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的车路通信 网络管理与 信息挖掘平 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面向国际标 准的车联网 通信平台及 核心产品研 发与示范应 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面向智慧交 通的车联网 高安全性内 容保障技术 研究与核心 产品研发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690,308.43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515,608.35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面向城市智 慧交通物联 网应用的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 研发及产业 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12,923,349.2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4,083,116.65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8,840,232.56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深圳市智慧 交通车联网 工程中心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1,034,486.28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350,507.76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683,978.52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智慧城市综 合停车收费 管理与信息 服务系统研 发与示范应 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安全信息资 源集中式监 控系统研发 与产业化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基于热舒适 的可度量空 调节能监控 系统研发及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城市综合停 车收费管理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2,257,002.16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83,629.32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2,173,372.84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与信息服务 应用示范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电子不停车 收费技术</w:t>
            </w:r>
          </w:p>
          <w:p>
            <w:pPr>
              <w:pStyle w:val="TableParagraph"/>
              <w:spacing w:line="309" w:lineRule="auto" w:before="19"/>
              <w:ind w:left="22" w:right="2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ETC</w:t>
            </w:r>
            <w:r>
              <w:rPr>
                <w:rFonts w:ascii="宋体" w:hAnsi="宋体" w:cs="宋体" w:eastAsia="宋体" w:hint="default"/>
                <w:spacing w:val="-8"/>
                <w:sz w:val="18"/>
                <w:szCs w:val="18"/>
              </w:rPr>
              <w:t>）标准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在东南亚地 区应用研究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应用于联网 收费公路的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多义 性路径识别 系统的研发 及产业化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电 子车牌的系 统实现核心 设备技术研 发及城市级 应用示范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智慧城市综 合停车信息 云平台与解 决方案</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0"/>
              <w:jc w:val="left"/>
              <w:rPr>
                <w:rFonts w:ascii="宋体" w:hAnsi="宋体" w:cs="宋体" w:eastAsia="宋体" w:hint="default"/>
                <w:sz w:val="18"/>
                <w:szCs w:val="18"/>
              </w:rPr>
            </w:pPr>
            <w:r>
              <w:rPr>
                <w:rFonts w:ascii="宋体" w:hAnsi="宋体" w:cs="宋体" w:eastAsia="宋体" w:hint="default"/>
                <w:spacing w:val="-13"/>
                <w:sz w:val="18"/>
                <w:szCs w:val="18"/>
              </w:rPr>
              <w:t>与资产、收益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21,145,595.7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4,997,196.89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19,598,398.8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35"/>
        <w:jc w:val="left"/>
        <w:rPr>
          <w:b w:val="0"/>
          <w:bCs w:val="0"/>
        </w:rPr>
      </w:pPr>
      <w:bookmarkStart w:name="52、其他非流动负债" w:id="329"/>
      <w:bookmarkEnd w:id="32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3、股本" w:id="330"/>
      <w:bookmarkEnd w:id="33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88,280,000.00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29,520,000.00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29,520,000.00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117,800,000.00</w:t>
            </w:r>
          </w:p>
        </w:tc>
      </w:tr>
    </w:tbl>
    <w:p>
      <w:pPr>
        <w:pStyle w:val="BodyText"/>
        <w:spacing w:line="240" w:lineRule="auto" w:before="51"/>
        <w:ind w:left="154" w:right="1235"/>
        <w:jc w:val="left"/>
      </w:pPr>
      <w:r>
        <w:rPr/>
        <w:t>其他说明：</w:t>
      </w:r>
    </w:p>
    <w:p>
      <w:pPr>
        <w:pStyle w:val="BodyText"/>
        <w:spacing w:line="300" w:lineRule="auto" w:before="115"/>
        <w:ind w:right="1131" w:firstLine="362"/>
        <w:jc w:val="both"/>
      </w:pPr>
      <w:r>
        <w:rPr>
          <w:spacing w:val="-2"/>
        </w:rPr>
        <w:t>根据公司第一届第五次董事会和</w:t>
      </w:r>
      <w:r>
        <w:rPr>
          <w:rFonts w:ascii="Times New Roman" w:hAnsi="Times New Roman" w:cs="Times New Roman" w:eastAsia="Times New Roman" w:hint="default"/>
          <w:spacing w:val="-2"/>
        </w:rPr>
        <w:t>2015</w:t>
      </w:r>
      <w:r>
        <w:rPr>
          <w:spacing w:val="-2"/>
        </w:rPr>
        <w:t>年第一次临时股东大会决议，并经中国证券监督管理委员会《关于核准深圳市金溢</w:t>
      </w:r>
      <w:r>
        <w:rPr/>
        <w:t> </w:t>
      </w:r>
      <w:r>
        <w:rPr>
          <w:spacing w:val="-3"/>
        </w:rPr>
        <w:t>科技股份有限公司首次公开发行股票的批复》（证监许可〔</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399</w:t>
      </w:r>
      <w:r>
        <w:rPr>
          <w:spacing w:val="-3"/>
        </w:rPr>
        <w:t>号）核准，公司向社会公开发行人民币普通股（</w:t>
      </w:r>
      <w:r>
        <w:rPr>
          <w:rFonts w:ascii="Times New Roman" w:hAnsi="Times New Roman" w:cs="Times New Roman" w:eastAsia="Times New Roman" w:hint="default"/>
          <w:spacing w:val="-3"/>
        </w:rPr>
        <w:t>A</w:t>
      </w:r>
      <w:r>
        <w:rPr>
          <w:spacing w:val="-3"/>
        </w:rPr>
        <w:t>股）</w:t>
      </w:r>
      <w:r>
        <w:rPr>
          <w:spacing w:val="-40"/>
        </w:rPr>
        <w:t> </w:t>
      </w:r>
      <w:r>
        <w:rPr/>
        <w:t>股票</w:t>
      </w:r>
      <w:r>
        <w:rPr>
          <w:rFonts w:ascii="Times New Roman" w:hAnsi="Times New Roman" w:cs="Times New Roman" w:eastAsia="Times New Roman" w:hint="default"/>
        </w:rPr>
        <w:t>29,520,000</w:t>
      </w:r>
      <w:r>
        <w:rPr/>
        <w:t>股，每股面值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21.80</w:t>
      </w:r>
      <w:r>
        <w:rPr/>
        <w:t>元，可募集资金总额为</w:t>
      </w:r>
      <w:r>
        <w:rPr>
          <w:rFonts w:ascii="Times New Roman" w:hAnsi="Times New Roman" w:cs="Times New Roman" w:eastAsia="Times New Roman" w:hint="default"/>
        </w:rPr>
        <w:t>643,536,000.00</w:t>
      </w:r>
      <w:r>
        <w:rPr/>
        <w:t>元，减除发行费用人民 </w:t>
      </w:r>
      <w:r>
        <w:rPr>
          <w:spacing w:val="-1"/>
        </w:rPr>
        <w:t>币</w:t>
      </w:r>
      <w:r>
        <w:rPr>
          <w:rFonts w:ascii="Times New Roman" w:hAnsi="Times New Roman" w:cs="Times New Roman" w:eastAsia="Times New Roman" w:hint="default"/>
          <w:spacing w:val="-1"/>
        </w:rPr>
        <w:t>89,051,200.00</w:t>
      </w:r>
      <w:r>
        <w:rPr>
          <w:spacing w:val="-1"/>
        </w:rPr>
        <w:t>元（含增值税）后，募集资金净额为</w:t>
      </w:r>
      <w:r>
        <w:rPr>
          <w:rFonts w:ascii="Times New Roman" w:hAnsi="Times New Roman" w:cs="Times New Roman" w:eastAsia="Times New Roman" w:hint="default"/>
          <w:spacing w:val="-1"/>
        </w:rPr>
        <w:t>554,484,800.00</w:t>
      </w:r>
      <w:r>
        <w:rPr>
          <w:spacing w:val="-1"/>
        </w:rPr>
        <w:t>元。其中，计入实收资本</w:t>
      </w:r>
      <w:r>
        <w:rPr>
          <w:rFonts w:ascii="Times New Roman" w:hAnsi="Times New Roman" w:cs="Times New Roman" w:eastAsia="Times New Roman" w:hint="default"/>
          <w:spacing w:val="-1"/>
        </w:rPr>
        <w:t>29,520,000.00</w:t>
      </w:r>
      <w:r>
        <w:rPr>
          <w:spacing w:val="-1"/>
        </w:rPr>
        <w:t>元，计入资本公积</w:t>
      </w:r>
    </w:p>
    <w:p>
      <w:pPr>
        <w:pStyle w:val="BodyText"/>
        <w:spacing w:line="240" w:lineRule="auto" w:before="13"/>
        <w:ind w:left="154" w:right="1235"/>
        <w:jc w:val="left"/>
      </w:pPr>
      <w:r>
        <w:rPr/>
        <w:t>（股本溢价）</w:t>
      </w:r>
      <w:r>
        <w:rPr>
          <w:rFonts w:ascii="Times New Roman" w:hAnsi="Times New Roman" w:cs="Times New Roman" w:eastAsia="Times New Roman" w:hint="default"/>
        </w:rPr>
        <w:t>524,964,800.00</w:t>
      </w:r>
      <w:r>
        <w:rPr/>
        <w:t>元。发行新股后股份总数</w:t>
      </w:r>
      <w:r>
        <w:rPr>
          <w:rFonts w:ascii="Times New Roman" w:hAnsi="Times New Roman" w:cs="Times New Roman" w:eastAsia="Times New Roman" w:hint="default"/>
        </w:rPr>
        <w:t>117,800,000.00</w:t>
      </w:r>
      <w:r>
        <w:rPr/>
        <w:t>元。</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444" w:right="1235"/>
        <w:jc w:val="left"/>
      </w:pPr>
      <w:r>
        <w:rPr/>
        <w:t>上述增资业务，业经天健会计师事务所（特殊普通合伙）审验并由其出具验资报告（天健验（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3-42</w:t>
      </w:r>
      <w:r>
        <w:rPr/>
        <w:t>号）。</w:t>
      </w:r>
    </w:p>
    <w:p>
      <w:pPr>
        <w:spacing w:line="240" w:lineRule="auto" w:before="11"/>
        <w:rPr>
          <w:rFonts w:ascii="宋体" w:hAnsi="宋体" w:cs="宋体" w:eastAsia="宋体" w:hint="default"/>
          <w:sz w:val="25"/>
          <w:szCs w:val="25"/>
        </w:rPr>
      </w:pPr>
    </w:p>
    <w:p>
      <w:pPr>
        <w:pStyle w:val="Heading3"/>
        <w:spacing w:line="240" w:lineRule="auto"/>
        <w:ind w:right="1235"/>
        <w:jc w:val="left"/>
        <w:rPr>
          <w:b w:val="0"/>
          <w:bCs w:val="0"/>
        </w:rPr>
      </w:pPr>
      <w:bookmarkStart w:name="54、其他权益工具" w:id="331"/>
      <w:bookmarkEnd w:id="33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5、资本公积" w:id="332"/>
      <w:bookmarkEnd w:id="33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103,079,589.47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527,074,293.35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630,153,882.82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103,079,589.47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527,074,293.35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630,153,882.82</w:t>
            </w:r>
          </w:p>
        </w:tc>
      </w:tr>
    </w:tbl>
    <w:p>
      <w:pPr>
        <w:pStyle w:val="BodyText"/>
        <w:spacing w:line="240" w:lineRule="auto" w:before="51"/>
        <w:ind w:left="154" w:right="1235"/>
        <w:jc w:val="left"/>
      </w:pPr>
      <w:r>
        <w:rPr/>
        <w:t>其他说明，包括本期增减变动情况、变动原因说明：</w:t>
      </w:r>
    </w:p>
    <w:p>
      <w:pPr>
        <w:pStyle w:val="BodyText"/>
        <w:spacing w:line="240" w:lineRule="auto" w:before="115"/>
        <w:ind w:left="154" w:right="1235"/>
        <w:jc w:val="left"/>
      </w:pPr>
      <w:r>
        <w:rPr/>
        <w:t>（</w:t>
      </w:r>
      <w:r>
        <w:rPr>
          <w:rFonts w:ascii="Times New Roman" w:hAnsi="Times New Roman" w:cs="Times New Roman" w:eastAsia="Times New Roman" w:hint="default"/>
        </w:rPr>
        <w:t>1</w:t>
      </w:r>
      <w:r>
        <w:rPr/>
        <w:t>）本期因发行新股新增资本溢价（股本溢价）</w:t>
      </w:r>
      <w:r>
        <w:rPr>
          <w:rFonts w:ascii="Times New Roman" w:hAnsi="Times New Roman" w:cs="Times New Roman" w:eastAsia="Times New Roman" w:hint="default"/>
        </w:rPr>
        <w:t>524,964,800.00</w:t>
      </w:r>
      <w:r>
        <w:rPr/>
        <w:t>元，详见股本说明。</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2</w:t>
      </w:r>
      <w:r>
        <w:rPr>
          <w:spacing w:val="-2"/>
        </w:rPr>
        <w:t>）本期因购买子公司少数股东权益减少资本溢价（股本溢价）</w:t>
      </w:r>
      <w:r>
        <w:rPr>
          <w:rFonts w:ascii="Times New Roman" w:hAnsi="Times New Roman" w:cs="Times New Roman" w:eastAsia="Times New Roman" w:hint="default"/>
          <w:spacing w:val="-2"/>
        </w:rPr>
        <w:t>732,360.44</w:t>
      </w:r>
      <w:r>
        <w:rPr>
          <w:spacing w:val="-2"/>
        </w:rPr>
        <w:t>元，子公司少数股东增资被动稀释股权新增资本</w:t>
      </w:r>
      <w:r>
        <w:rPr>
          <w:spacing w:val="-57"/>
        </w:rPr>
        <w:t> </w:t>
      </w:r>
      <w:r>
        <w:rPr>
          <w:spacing w:val="-57"/>
        </w:rPr>
      </w:r>
      <w:r>
        <w:rPr/>
        <w:t>溢价（股本溢价）</w:t>
      </w:r>
      <w:r>
        <w:rPr>
          <w:rFonts w:ascii="Times New Roman" w:hAnsi="Times New Roman" w:cs="Times New Roman" w:eastAsia="Times New Roman" w:hint="default"/>
        </w:rPr>
        <w:t>2,841,853.79</w:t>
      </w:r>
      <w:r>
        <w:rPr/>
        <w:t>，合计影响</w:t>
      </w:r>
      <w:r>
        <w:rPr>
          <w:rFonts w:ascii="Times New Roman" w:hAnsi="Times New Roman" w:cs="Times New Roman" w:eastAsia="Times New Roman" w:hint="default"/>
        </w:rPr>
        <w:t>2,109,493.35</w:t>
      </w:r>
      <w:r>
        <w:rPr/>
        <w:t>元。</w:t>
      </w:r>
    </w:p>
    <w:p>
      <w:pPr>
        <w:spacing w:line="240" w:lineRule="auto" w:before="1"/>
        <w:rPr>
          <w:rFonts w:ascii="宋体" w:hAnsi="宋体" w:cs="宋体" w:eastAsia="宋体" w:hint="default"/>
          <w:sz w:val="22"/>
          <w:szCs w:val="22"/>
        </w:rPr>
      </w:pPr>
    </w:p>
    <w:p>
      <w:pPr>
        <w:pStyle w:val="Heading3"/>
        <w:spacing w:line="240" w:lineRule="auto"/>
        <w:ind w:right="1235"/>
        <w:jc w:val="left"/>
        <w:rPr>
          <w:b w:val="0"/>
          <w:bCs w:val="0"/>
        </w:rPr>
      </w:pPr>
      <w:bookmarkStart w:name="56、库存股" w:id="333"/>
      <w:bookmarkEnd w:id="33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7、其他综合收益" w:id="334"/>
      <w:bookmarkEnd w:id="33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8、专项储备" w:id="335"/>
      <w:bookmarkEnd w:id="33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9、盈余公积" w:id="336"/>
      <w:bookmarkEnd w:id="33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33,828,825.63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43,014,124.09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33,828,825.63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43,014,124.09</w:t>
            </w:r>
          </w:p>
        </w:tc>
      </w:tr>
    </w:tbl>
    <w:p>
      <w:pPr>
        <w:pStyle w:val="BodyText"/>
        <w:spacing w:line="240" w:lineRule="auto" w:before="51"/>
        <w:ind w:left="154" w:right="1235"/>
        <w:jc w:val="left"/>
      </w:pPr>
      <w:r>
        <w:rPr/>
        <w:t>盈余公积说明，包括本期增减变动情况、变动原因说明：</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1235"/>
        <w:jc w:val="left"/>
      </w:pPr>
      <w:r>
        <w:rPr/>
        <w:t>本期新增系按母公司净利润的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9,185,298.46</w:t>
      </w:r>
      <w:r>
        <w:rPr/>
        <w:t>元。</w:t>
      </w:r>
    </w:p>
    <w:p>
      <w:pPr>
        <w:spacing w:line="240" w:lineRule="auto" w:before="11"/>
        <w:rPr>
          <w:rFonts w:ascii="宋体" w:hAnsi="宋体" w:cs="宋体" w:eastAsia="宋体" w:hint="default"/>
          <w:sz w:val="25"/>
          <w:szCs w:val="25"/>
        </w:rPr>
      </w:pPr>
    </w:p>
    <w:p>
      <w:pPr>
        <w:pStyle w:val="Heading3"/>
        <w:spacing w:line="240" w:lineRule="auto"/>
        <w:ind w:left="153" w:right="1235"/>
        <w:jc w:val="left"/>
        <w:rPr>
          <w:b w:val="0"/>
          <w:bCs w:val="0"/>
        </w:rPr>
      </w:pPr>
      <w:bookmarkStart w:name="60、未分配利润" w:id="337"/>
      <w:bookmarkEnd w:id="33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201,483,608.17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136,858,195.89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201,483,608.17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136,858,195.89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89,417,850.55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121,642,814.86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12,877,402.58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50,044,000.00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44,140,000.00</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231,672,160.26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201,483,608.17</w:t>
            </w:r>
          </w:p>
        </w:tc>
      </w:tr>
    </w:tbl>
    <w:p>
      <w:pPr>
        <w:pStyle w:val="BodyText"/>
        <w:spacing w:line="240" w:lineRule="auto" w:before="51"/>
        <w:ind w:left="154" w:right="1235"/>
        <w:jc w:val="left"/>
      </w:pPr>
      <w:r>
        <w:rPr/>
        <w:t>调整期初未分配利润明细：</w:t>
      </w:r>
    </w:p>
    <w:p>
      <w:pPr>
        <w:pStyle w:val="BodyText"/>
        <w:spacing w:line="240" w:lineRule="auto" w:before="116"/>
        <w:ind w:left="154" w:right="1235"/>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235"/>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235"/>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235"/>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235"/>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235"/>
        <w:jc w:val="left"/>
        <w:rPr>
          <w:b w:val="0"/>
          <w:bCs w:val="0"/>
        </w:rPr>
      </w:pPr>
      <w:bookmarkStart w:name="61、营业收入和营业成本" w:id="338"/>
      <w:bookmarkEnd w:id="33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618,757,220.14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352,957,698.74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660,262,848.56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350,395,252.87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3,892,612.87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256,695.83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8,458,392.64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6,852,679.31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622,649,833.01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353,214,394.57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668,721,241.20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357,247,932.18</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62、税金及附加" w:id="339"/>
      <w:bookmarkEnd w:id="339"/>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3,175,407.34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3,244,252.42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1,360,888.85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1,390,393.89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233,771.99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233,688.00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401,049.16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219,515.90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757,068.03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182,604.63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907,259.24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942,240.52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12,576.96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6,848,021.57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6,218,950.60</w:t>
            </w:r>
          </w:p>
        </w:tc>
      </w:tr>
    </w:tbl>
    <w:p>
      <w:pPr>
        <w:pStyle w:val="BodyText"/>
        <w:spacing w:line="240" w:lineRule="auto" w:before="51"/>
        <w:ind w:left="154" w:right="1235"/>
        <w:jc w:val="left"/>
      </w:pPr>
      <w:r>
        <w:rPr/>
        <w:t>其他说明：</w:t>
      </w:r>
    </w:p>
    <w:p>
      <w:pPr>
        <w:pStyle w:val="BodyText"/>
        <w:spacing w:line="300" w:lineRule="auto" w:before="116"/>
        <w:ind w:right="1129" w:firstLine="420"/>
        <w:jc w:val="both"/>
      </w:pPr>
      <w:r>
        <w:rPr>
          <w:spacing w:val="-2"/>
        </w:rPr>
        <w:t>根据财政部《增值税会计处理规定》</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以及《关于</w:t>
      </w:r>
      <w:r>
        <w:rPr>
          <w:rFonts w:ascii="Times New Roman" w:hAnsi="Times New Roman" w:cs="Times New Roman" w:eastAsia="Times New Roman" w:hint="default"/>
          <w:spacing w:val="-2"/>
        </w:rPr>
        <w:t>&lt;</w:t>
      </w:r>
      <w:r>
        <w:rPr>
          <w:spacing w:val="-2"/>
        </w:rPr>
        <w:t>增值税会计处理规定</w:t>
      </w:r>
      <w:r>
        <w:rPr>
          <w:rFonts w:ascii="Times New Roman" w:hAnsi="Times New Roman" w:cs="Times New Roman" w:eastAsia="Times New Roman" w:hint="default"/>
          <w:spacing w:val="-2"/>
        </w:rPr>
        <w:t>&gt;</w:t>
      </w:r>
      <w:r>
        <w:rPr>
          <w:spacing w:val="-2"/>
        </w:rPr>
        <w:t>有关问题的解读》，本公司</w:t>
      </w:r>
      <w:r>
        <w:rPr/>
        <w:t> 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w:t>
      </w:r>
      <w:r>
        <w:rPr>
          <w:spacing w:val="-42"/>
        </w:rPr>
        <w:t> </w:t>
      </w:r>
      <w:r>
        <w:rPr/>
        <w:t>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1235"/>
        <w:jc w:val="left"/>
        <w:rPr>
          <w:b w:val="0"/>
          <w:bCs w:val="0"/>
        </w:rPr>
      </w:pPr>
      <w:bookmarkStart w:name="63、销售费用" w:id="340"/>
      <w:bookmarkEnd w:id="34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27,362,787.59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24,996,928.20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14,392,476.39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13,775,958.93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8,716,537.12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5,259,437.79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3,203,682.32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3,720,078.42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2,434,163.65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1,677,382.91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3,678,104.58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3,618,343.97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3,728,775.10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3,118,063.97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5,902,990.47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4,591,671.27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市场调研费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1,072,658.00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1,863,920.00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3,137,266.49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2,238,869.63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1,234,730.55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902,594.59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2,013,162.93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1,394,403.29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76,877,335.19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67,157,652.97</w:t>
            </w: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64、管理费用" w:id="341"/>
      <w:bookmarkEnd w:id="34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67,158,702.34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69,217,343.24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31,082,414.53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28,742,995.37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3,369,254.70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3,525,543.92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场地服务及租金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6,856,793.71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6,242,370.09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4,556,301.80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4,635,664.43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6,534,433.10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2,289,680.94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1,389,983.72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2,502,100.86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1,194,448.43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3,285,581.48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2,823,464.24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368,561.08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1,120,509.96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476,408.14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822,099.37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128,001,341.43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122,480,511.85</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65、财务费用" w:id="342"/>
      <w:bookmarkEnd w:id="342"/>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909,866.29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6,648,993.68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2,378,157.38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265,646.36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188,972.91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8,525.68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-6,374,821.64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-1,279,318.18</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66、资产减值损失" w:id="343"/>
      <w:bookmarkEnd w:id="343"/>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11,247,111.42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8,570,182.89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-589,589.36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3,662,869.97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10,657,522.06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12,233,052.86</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67、公允价值变动收益" w:id="344"/>
      <w:bookmarkEnd w:id="344"/>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8、投资收益" w:id="345"/>
      <w:bookmarkEnd w:id="34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3,956,289.96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3,956,289.96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69、资产处置收益" w:id="346"/>
      <w:bookmarkEnd w:id="346"/>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52,953.17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70、其他收益" w:id="347"/>
      <w:bookmarkEnd w:id="347"/>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29,612,410.53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面向城市智慧交通物联网应用的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DSRC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设备研发及产业化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3,179,331.12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面向城市智慧交通物联网应用的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DSRC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设备研发及产业化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新一代社会化手持发行设备（</w:t>
            </w:r>
            <w:r>
              <w:rPr>
                <w:rFonts w:ascii="Times New Roman" w:hAnsi="Times New Roman" w:cs="Times New Roman" w:eastAsia="Times New Roman" w:hint="default"/>
                <w:sz w:val="18"/>
                <w:szCs w:val="18"/>
              </w:rPr>
              <w:t>M600</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M700</w:t>
            </w:r>
            <w:r>
              <w:rPr>
                <w:rFonts w:ascii="宋体" w:hAnsi="宋体" w:cs="宋体" w:eastAsia="宋体" w:hint="default"/>
                <w:sz w:val="18"/>
                <w:szCs w:val="18"/>
              </w:rPr>
              <w:t>、</w:t>
            </w:r>
            <w:r>
              <w:rPr>
                <w:rFonts w:ascii="Times New Roman" w:hAnsi="Times New Roman" w:cs="Times New Roman" w:eastAsia="Times New Roman" w:hint="default"/>
                <w:sz w:val="18"/>
                <w:szCs w:val="18"/>
              </w:rPr>
              <w:t>M900</w:t>
            </w:r>
            <w:r>
              <w:rPr>
                <w:rFonts w:ascii="宋体" w:hAnsi="宋体" w:cs="宋体" w:eastAsia="宋体" w:hint="default"/>
                <w:sz w:val="18"/>
                <w:szCs w:val="18"/>
              </w:rPr>
              <w:t>）设计及成果转化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面向城市智慧交通物联网应用的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DSRC</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设备研发及产业化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903,785.53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深圳市智慧交通车联网工程技术研究开 发中心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广东省两化融合管理体系贯标试点企业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面向智慧交通的车联网高安全性内容保 障技术研究与核心产品研发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121,976.29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面向国际标准的车联网通信平台及核心 产品研发与示范应用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的智能交通车联网多功能车 载智能终端研发及示范应用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城市综合停车收费管理与信息服务应用 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83,629.32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基于无线感知技术的道路停车管理与服 务前端系统研发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基于专用短程通信</w:t>
            </w:r>
            <w:r>
              <w:rPr>
                <w:rFonts w:ascii="Times New Roman" w:hAnsi="Times New Roman" w:cs="Times New Roman" w:eastAsia="Times New Roman" w:hint="default"/>
                <w:sz w:val="18"/>
                <w:szCs w:val="18"/>
              </w:rPr>
              <w:t>(DSRC)</w:t>
            </w:r>
            <w:r>
              <w:rPr>
                <w:rFonts w:ascii="宋体" w:hAnsi="宋体" w:cs="宋体" w:eastAsia="宋体" w:hint="default"/>
                <w:sz w:val="18"/>
                <w:szCs w:val="18"/>
              </w:rPr>
              <w:t>技术的电子车</w:t>
            </w:r>
            <w:r>
              <w:rPr>
                <w:rFonts w:ascii="宋体" w:hAnsi="宋体" w:cs="宋体" w:eastAsia="宋体" w:hint="default"/>
                <w:w w:val="99"/>
                <w:sz w:val="18"/>
                <w:szCs w:val="18"/>
              </w:rPr>
              <w:t> </w:t>
            </w:r>
            <w:r>
              <w:rPr>
                <w:rFonts w:ascii="宋体" w:hAnsi="宋体" w:cs="宋体" w:eastAsia="宋体" w:hint="default"/>
                <w:sz w:val="18"/>
                <w:szCs w:val="18"/>
              </w:rPr>
              <w:t>牌证多车道自由流关键技术研究与核心</w:t>
            </w:r>
            <w:r>
              <w:rPr>
                <w:rFonts w:ascii="宋体" w:hAnsi="宋体" w:cs="宋体" w:eastAsia="宋体" w:hint="default"/>
                <w:w w:val="99"/>
                <w:sz w:val="18"/>
                <w:szCs w:val="18"/>
              </w:rPr>
              <w:t> </w:t>
            </w:r>
            <w:r>
              <w:rPr>
                <w:rFonts w:ascii="宋体" w:hAnsi="宋体" w:cs="宋体" w:eastAsia="宋体" w:hint="default"/>
                <w:sz w:val="18"/>
                <w:szCs w:val="18"/>
              </w:rPr>
              <w:t>设备研发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49,566.48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面向智慧交通的车联网高安全性内容保 障技术研究与核心产品研发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24,700.08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计算机软件著作权资助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42,815,983.71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71、营业外收入" w:id="348"/>
      <w:bookmarkEnd w:id="348"/>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32,477,632.25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114,463.00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281,926.49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1,580,420.32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281,926.49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396,389.49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34,058,129.45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396,389.49</w:t>
            </w:r>
          </w:p>
        </w:tc>
      </w:tr>
    </w:tbl>
    <w:p>
      <w:pPr>
        <w:pStyle w:val="BodyText"/>
        <w:spacing w:line="240" w:lineRule="auto" w:before="51"/>
        <w:ind w:left="154" w:right="1235"/>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面向城市智 慧交通物联 网应用的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 研发及产业 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3,183,713.28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深圳市智慧 交通车联网 工程中心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DSRC </w:t>
            </w:r>
            <w:r>
              <w:rPr>
                <w:rFonts w:ascii="宋体" w:hAnsi="宋体" w:cs="宋体" w:eastAsia="宋体" w:hint="default"/>
                <w:sz w:val="18"/>
                <w:szCs w:val="18"/>
              </w:rPr>
              <w:t>的智能交通 车联网多功 能车载智能 终端研发及 示范应用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31"/>
              <w:jc w:val="both"/>
              <w:rPr>
                <w:rFonts w:ascii="宋体" w:hAnsi="宋体" w:cs="宋体" w:eastAsia="宋体" w:hint="default"/>
                <w:sz w:val="18"/>
                <w:szCs w:val="18"/>
              </w:rPr>
            </w:pPr>
            <w:r>
              <w:rPr>
                <w:rFonts w:ascii="宋体" w:hAnsi="宋体" w:cs="宋体" w:eastAsia="宋体" w:hint="default"/>
                <w:sz w:val="18"/>
                <w:szCs w:val="18"/>
              </w:rPr>
              <w:t>基于无线感 知技术的道 路停车管理 与服务前端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系统研发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基于专用短 程通信</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DSRC)</w:t>
            </w:r>
            <w:r>
              <w:rPr>
                <w:rFonts w:ascii="宋体" w:hAnsi="宋体" w:cs="宋体" w:eastAsia="宋体" w:hint="default"/>
                <w:sz w:val="18"/>
                <w:szCs w:val="18"/>
              </w:rPr>
              <w:t>技</w:t>
            </w:r>
          </w:p>
          <w:p>
            <w:pPr>
              <w:pStyle w:val="TableParagraph"/>
              <w:spacing w:line="319"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术的电子车 牌证多车道 自由流关键 技术研究与 核心设备研 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2.7pt;height:62.45pt;mso-position-horizontal-relative:char;mso-position-vertical-relative:line" coordorigin="0,0" coordsize="1054,1249">
                  <v:group style="position:absolute;left:0;top:0;width:1054;height:1249" coordorigin="0,0" coordsize="1054,1249">
                    <v:shape style="position:absolute;left:0;top:0;width:1054;height:1249" coordorigin="0,0" coordsize="1054,1249" path="m0,1248l1054,1248,1054,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49,566.48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面向智慧交 通的车联网 高安全性内 容保障技术 研究与核心 产品研发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城市综合停 车收费管理 与信息服务 应用示范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2,742,997.84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深圳市智慧 交通车联网 工程中心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654,559.66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面向智慧交 通的停车收 费管理与信 息服务应用 系统研发及 示范应用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专用短程通 信车路通信 模块研制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深圳市财政 </w:t>
            </w:r>
            <w:r>
              <w:rPr>
                <w:rFonts w:ascii="宋体" w:hAnsi="宋体" w:cs="宋体" w:eastAsia="宋体" w:hint="default"/>
                <w:spacing w:val="-12"/>
                <w:sz w:val="18"/>
                <w:szCs w:val="18"/>
              </w:rPr>
              <w:t>委员会《深圳</w:t>
            </w:r>
            <w:r>
              <w:rPr>
                <w:rFonts w:ascii="宋体" w:hAnsi="宋体" w:cs="宋体" w:eastAsia="宋体" w:hint="default"/>
                <w:sz w:val="18"/>
                <w:szCs w:val="18"/>
              </w:rPr>
              <w:t> 市民营及中 小企业发展 专项资金管 理暂行办法》</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（深财科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[2012]177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107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52.65pt;height:53.6pt;mso-position-horizontal-relative:char;mso-position-vertical-relative:line" coordorigin="0,0" coordsize="1053,1072">
                  <v:group style="position:absolute;left:0;top:0;width:1053;height:1072" coordorigin="0,0" coordsize="1053,1072">
                    <v:shape style="position:absolute;left:0;top:0;width:1053;height:1072" coordorigin="0,0" coordsize="1053,1072" path="m0,1072l1052,1072,1052,0,0,0,0,1072xe" filled="true" fillcolor="#ffffff" stroked="false">
                      <v:path arrowok="t"/>
                      <v:fill type="solid"/>
                    </v:shape>
                  </v:group>
                </v:group>
              </w:pict>
            </w:r>
            <w:r>
              <w:rPr>
                <w:rFonts w:ascii="Times New Roman" w:hAnsi="Times New Roman" w:cs="Times New Roman" w:eastAsia="Times New Roman" w:hint="default"/>
                <w:position w:val="-20"/>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1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及深圳 市中小企业 </w:t>
            </w:r>
            <w:r>
              <w:rPr>
                <w:rFonts w:ascii="宋体" w:hAnsi="宋体" w:cs="宋体" w:eastAsia="宋体" w:hint="default"/>
                <w:spacing w:val="-12"/>
                <w:sz w:val="18"/>
                <w:szCs w:val="18"/>
              </w:rPr>
              <w:t>服务署《关于</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市民营及中 小企业发展 专项资金企 业改制上市 培育项目资 助计划公示》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52.65pt;height:158.1pt;mso-position-horizontal-relative:char;mso-position-vertical-relative:line" coordorigin="0,0" coordsize="1053,3162">
                  <v:group style="position:absolute;left:0;top:0;width:1053;height:3162" coordorigin="0,0" coordsize="1053,3162">
                    <v:shape style="position:absolute;left:0;top:0;width:1053;height:3162" coordorigin="0,0" coordsize="1053,3162" path="m0,3161l1052,3161,1052,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《关于支持 企业提升竞 争力的若干 </w:t>
            </w:r>
            <w:r>
              <w:rPr>
                <w:rFonts w:ascii="宋体" w:hAnsi="宋体" w:cs="宋体" w:eastAsia="宋体" w:hint="default"/>
                <w:spacing w:val="-15"/>
                <w:sz w:val="18"/>
                <w:szCs w:val="18"/>
              </w:rPr>
              <w:t>措施》（深发</w:t>
            </w:r>
            <w:r>
              <w:rPr>
                <w:rFonts w:ascii="宋体" w:hAnsi="宋体" w:cs="宋体" w:eastAsia="宋体" w:hint="default"/>
                <w:sz w:val="18"/>
                <w:szCs w:val="18"/>
              </w:rPr>
              <w:t> </w:t>
            </w:r>
            <w:r>
              <w:rPr>
                <w:rFonts w:ascii="Times New Roman" w:hAnsi="Times New Roman" w:cs="Times New Roman" w:eastAsia="Times New Roman" w:hint="default"/>
                <w:sz w:val="18"/>
                <w:szCs w:val="18"/>
              </w:rPr>
              <w:t>[2016]8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《深圳市科 学技术奖励 </w:t>
            </w:r>
            <w:r>
              <w:rPr>
                <w:rFonts w:ascii="宋体" w:hAnsi="宋体" w:cs="宋体" w:eastAsia="宋体" w:hint="default"/>
                <w:spacing w:val="-15"/>
                <w:sz w:val="18"/>
                <w:szCs w:val="18"/>
              </w:rPr>
              <w:t>办法》（深府</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[2012]126</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《关于支持 企业提升竞 争力的若干 </w:t>
            </w:r>
            <w:r>
              <w:rPr>
                <w:rFonts w:ascii="宋体" w:hAnsi="宋体" w:cs="宋体" w:eastAsia="宋体" w:hint="default"/>
                <w:spacing w:val="-15"/>
                <w:sz w:val="18"/>
                <w:szCs w:val="18"/>
              </w:rPr>
              <w:t>措施》（深发</w:t>
            </w:r>
            <w:r>
              <w:rPr>
                <w:rFonts w:ascii="宋体" w:hAnsi="宋体" w:cs="宋体" w:eastAsia="宋体" w:hint="default"/>
                <w:sz w:val="18"/>
                <w:szCs w:val="18"/>
              </w:rPr>
              <w:t> </w:t>
            </w:r>
            <w:r>
              <w:rPr>
                <w:rFonts w:ascii="Times New Roman" w:hAnsi="Times New Roman" w:cs="Times New Roman" w:eastAsia="Times New Roman" w:hint="default"/>
                <w:sz w:val="18"/>
                <w:szCs w:val="18"/>
              </w:rPr>
              <w:t>[2016]8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 山区自主创 新产业发展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科 技创新分项</w:t>
            </w:r>
            <w:r>
              <w:rPr>
                <w:rFonts w:ascii="Times New Roman" w:hAnsi="Times New Roman" w:cs="Times New Roman" w:eastAsia="Times New Roman" w:hint="default"/>
                <w:sz w:val="18"/>
                <w:szCs w:val="18"/>
              </w:rPr>
              <w:t>) </w:t>
            </w:r>
            <w:r>
              <w:rPr>
                <w:rFonts w:ascii="宋体" w:hAnsi="宋体" w:cs="宋体" w:eastAsia="宋体" w:hint="default"/>
                <w:sz w:val="18"/>
                <w:szCs w:val="18"/>
              </w:rPr>
              <w:t>第三批资助 计划的通知》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65pt;height:54.6pt;mso-position-horizontal-relative:char;mso-position-vertical-relative:line" coordorigin="0,0" coordsize="1053,1092">
                  <v:group style="position:absolute;left:0;top:0;width:1053;height:1092" coordorigin="0,0" coordsize="1053,1092">
                    <v:shape style="position:absolute;left:0;top:0;width:1053;height:1092" coordorigin="0,0" coordsize="1053,1092" path="m0,1092l1052,1092,105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广东省财政 </w:t>
            </w:r>
            <w:r>
              <w:rPr>
                <w:rFonts w:ascii="宋体" w:hAnsi="宋体" w:cs="宋体" w:eastAsia="宋体" w:hint="default"/>
                <w:spacing w:val="-12"/>
                <w:sz w:val="18"/>
                <w:szCs w:val="18"/>
              </w:rPr>
              <w:t>厅《关于下达</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 产权工作专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专利 申请资助及 </w:t>
            </w:r>
            <w:r>
              <w:rPr>
                <w:rFonts w:ascii="宋体" w:hAnsi="宋体" w:cs="宋体" w:eastAsia="宋体" w:hint="default"/>
                <w:spacing w:val="-12"/>
                <w:sz w:val="18"/>
                <w:szCs w:val="18"/>
              </w:rPr>
              <w:t>奖励方向、知</w:t>
            </w:r>
            <w:r>
              <w:rPr>
                <w:rFonts w:ascii="宋体" w:hAnsi="宋体" w:cs="宋体" w:eastAsia="宋体" w:hint="default"/>
                <w:sz w:val="18"/>
                <w:szCs w:val="18"/>
              </w:rPr>
              <w:t> 识产权工作 方向</w:t>
            </w:r>
            <w:r>
              <w:rPr>
                <w:rFonts w:ascii="Times New Roman" w:hAnsi="Times New Roman" w:cs="Times New Roman" w:eastAsia="Times New Roman" w:hint="default"/>
                <w:sz w:val="18"/>
                <w:szCs w:val="18"/>
              </w:rPr>
              <w:t>)</w:t>
            </w:r>
            <w:r>
              <w:rPr>
                <w:rFonts w:ascii="宋体" w:hAnsi="宋体" w:cs="宋体" w:eastAsia="宋体" w:hint="default"/>
                <w:sz w:val="18"/>
                <w:szCs w:val="18"/>
              </w:rPr>
              <w:t>的通 </w:t>
            </w:r>
            <w:r>
              <w:rPr>
                <w:rFonts w:ascii="宋体" w:hAnsi="宋体" w:cs="宋体" w:eastAsia="宋体" w:hint="default"/>
                <w:spacing w:val="-15"/>
                <w:sz w:val="18"/>
                <w:szCs w:val="18"/>
              </w:rPr>
              <w:t>知》（粤财教</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27"/>
          <w:pgSz w:w="11910" w:h="16840"/>
          <w:pgMar w:footer="979" w:header="877" w:top="1100" w:bottom="1160" w:left="980" w:right="0"/>
          <w:pgNumType w:start="16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 经贸发展专 项资金重点 工作的通知》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（财行</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[2016]212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65pt;height:54.6pt;mso-position-horizontal-relative:char;mso-position-vertical-relative:line" coordorigin="0,0" coordsize="1053,1092">
                  <v:group style="position:absolute;left:0;top:0;width:1053;height:1092" coordorigin="0,0" coordsize="1053,1092">
                    <v:shape style="position:absolute;left:0;top:0;width:1053;height:1092" coordorigin="0,0" coordsize="1053,1092" path="m0,1092l1052,1092,105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140,737.00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年度南 山区自主创 新产业发展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科 技创新分项</w:t>
            </w:r>
            <w:r>
              <w:rPr>
                <w:rFonts w:ascii="Times New Roman" w:hAnsi="Times New Roman" w:cs="Times New Roman" w:eastAsia="Times New Roman" w:hint="default"/>
                <w:sz w:val="18"/>
                <w:szCs w:val="18"/>
              </w:rPr>
              <w:t>) </w:t>
            </w:r>
            <w:r>
              <w:rPr>
                <w:rFonts w:ascii="宋体" w:hAnsi="宋体" w:cs="宋体" w:eastAsia="宋体" w:hint="default"/>
                <w:sz w:val="18"/>
                <w:szCs w:val="18"/>
              </w:rPr>
              <w:t>第二批资助 计划的通知》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65pt;height:54.6pt;mso-position-horizontal-relative:char;mso-position-vertical-relative:line" coordorigin="0,0" coordsize="1053,1092">
                  <v:group style="position:absolute;left:0;top:0;width:1053;height:1092" coordorigin="0,0" coordsize="1053,1092">
                    <v:shape style="position:absolute;left:0;top:0;width:1053;height:1092" coordorigin="0,0" coordsize="1053,1092" path="m0,1092l1052,1092,105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p>
            <w:pPr>
              <w:pStyle w:val="TableParagraph"/>
              <w:spacing w:line="314" w:lineRule="auto" w:before="19"/>
              <w:ind w:left="22" w:right="-47"/>
              <w:jc w:val="left"/>
              <w:rPr>
                <w:rFonts w:ascii="宋体" w:hAnsi="宋体" w:cs="宋体" w:eastAsia="宋体" w:hint="default"/>
                <w:sz w:val="18"/>
                <w:szCs w:val="18"/>
              </w:rPr>
            </w:pPr>
            <w:r>
              <w:rPr>
                <w:rFonts w:ascii="宋体" w:hAnsi="宋体" w:cs="宋体" w:eastAsia="宋体" w:hint="default"/>
                <w:sz w:val="18"/>
                <w:szCs w:val="18"/>
              </w:rPr>
              <w:t>《关于公布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市第一批专 利申请资助 周转金拨款 名单的通知》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2.65pt;height:62.4pt;mso-position-horizontal-relative:char;mso-position-vertical-relative:line" coordorigin="0,0" coordsize="1053,1248">
                  <v:group style="position:absolute;left:0;top:0;width:1053;height:1248" coordorigin="0,0" coordsize="1053,1248">
                    <v:shape style="position:absolute;left:0;top:0;width:1053;height:1248" coordorigin="0,0" coordsize="1053,1248" path="m0,1248l1052,1248,1052,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南山区科技 创新在线资 金资助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计算机软件 著作权登记 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地方纳税奖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20,767,432.5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188,284.42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161,116.13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《关于协助 核实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广东省知识 产权部分专 项经费拟资 助单位的通 </w:t>
            </w:r>
            <w:r>
              <w:rPr>
                <w:rFonts w:ascii="宋体" w:hAnsi="宋体" w:cs="宋体" w:eastAsia="宋体" w:hint="default"/>
                <w:spacing w:val="-18"/>
                <w:sz w:val="18"/>
                <w:szCs w:val="18"/>
              </w:rPr>
              <w:t>知》（东知</w:t>
            </w:r>
            <w:r>
              <w:rPr>
                <w:rFonts w:ascii="宋体" w:hAnsi="宋体" w:cs="宋体" w:eastAsia="宋体" w:hint="default"/>
                <w:sz w:val="18"/>
                <w:szCs w:val="18"/>
              </w:rPr>
              <w:t> </w:t>
            </w:r>
            <w:r>
              <w:rPr>
                <w:rFonts w:ascii="Times New Roman" w:hAnsi="Times New Roman" w:cs="Times New Roman" w:eastAsia="Times New Roman" w:hint="default"/>
                <w:sz w:val="18"/>
                <w:szCs w:val="18"/>
              </w:rPr>
              <w:t>[2016]35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65pt;height:54.6pt;mso-position-horizontal-relative:char;mso-position-vertical-relative:line" coordorigin="0,0" coordsize="1053,1092">
                  <v:group style="position:absolute;left:0;top:0;width:1053;height:1092" coordorigin="0,0" coordsize="1053,1092">
                    <v:shape style="position:absolute;left:0;top:0;width:1053;height:1092" coordorigin="0,0" coordsize="1053,1092" path="m0,1092l1052,1092,1052,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《深圳市知 识产权专项 资金管理办 </w:t>
            </w:r>
            <w:r>
              <w:rPr>
                <w:rFonts w:ascii="宋体" w:hAnsi="宋体" w:cs="宋体" w:eastAsia="宋体" w:hint="default"/>
                <w:spacing w:val="-15"/>
                <w:sz w:val="18"/>
                <w:szCs w:val="18"/>
              </w:rPr>
              <w:t>法》（深财规</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p>
            <w:pPr>
              <w:pStyle w:val="TableParagraph"/>
              <w:spacing w:line="309" w:lineRule="auto" w:before="63"/>
              <w:ind w:left="22" w:right="86"/>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第二批专利 申请资助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《深圳市知 识产权专项 资金管理办 </w:t>
            </w:r>
            <w:r>
              <w:rPr>
                <w:rFonts w:ascii="宋体" w:hAnsi="宋体" w:cs="宋体" w:eastAsia="宋体" w:hint="default"/>
                <w:spacing w:val="-15"/>
                <w:sz w:val="18"/>
                <w:szCs w:val="18"/>
              </w:rPr>
              <w:t>法》（深财规</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p>
            <w:pPr>
              <w:pStyle w:val="TableParagraph"/>
              <w:spacing w:line="312" w:lineRule="auto" w:before="63"/>
              <w:ind w:left="22" w:right="86"/>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第二批计算 机软件著作 权登记资助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计算机软件 著作权登记 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02" w:lineRule="auto" w:before="51"/>
        <w:ind w:right="1200"/>
        <w:jc w:val="left"/>
      </w:pPr>
      <w:r>
        <w:rPr/>
        <w:t>注：单项政府补助影响净利润的金额占当期净利润绝对值的比例在</w:t>
      </w:r>
      <w:r>
        <w:rPr>
          <w:spacing w:val="-45"/>
        </w:rPr>
        <w:t> </w:t>
      </w:r>
      <w:r>
        <w:rPr>
          <w:rFonts w:ascii="Times New Roman" w:hAnsi="Times New Roman" w:cs="Times New Roman" w:eastAsia="Times New Roman" w:hint="default"/>
        </w:rPr>
        <w:t>10%</w:t>
      </w:r>
      <w:r>
        <w:rPr/>
        <w:t>以上且绝对金额超过人民币</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万元的，应当详细 披露该政府补助的具体内容及条款、会计处理方法、涉及金额和当期实际收到金额等。</w:t>
      </w:r>
    </w:p>
    <w:p>
      <w:pPr>
        <w:spacing w:line="240" w:lineRule="auto" w:before="2"/>
        <w:rPr>
          <w:rFonts w:ascii="宋体" w:hAnsi="宋体" w:cs="宋体" w:eastAsia="宋体" w:hint="default"/>
          <w:sz w:val="23"/>
          <w:szCs w:val="23"/>
        </w:rPr>
      </w:pPr>
    </w:p>
    <w:p>
      <w:pPr>
        <w:pStyle w:val="Heading3"/>
        <w:spacing w:line="240" w:lineRule="auto"/>
        <w:ind w:left="153" w:right="1235"/>
        <w:jc w:val="left"/>
        <w:rPr>
          <w:b w:val="0"/>
          <w:bCs w:val="0"/>
        </w:rPr>
      </w:pPr>
      <w:bookmarkStart w:name="72、营业外支出" w:id="349"/>
      <w:bookmarkEnd w:id="349"/>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104,742.98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12,625.29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1,060,550.39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1,060,550.39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1,299,175.68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1,163,319.98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1,299,175.68</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73、所得税费用" w:id="350"/>
      <w:bookmarkEnd w:id="350"/>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所得税费用表" w:id="351"/>
      <w:bookmarkEnd w:id="35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12,960,745.49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18,036,483.07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-1,405,955.87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-446,987.94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11,554,789.62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17,589,495.13</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会计利润与所得税费用调整过程" w:id="352"/>
      <w:bookmarkEnd w:id="35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99,348,480.48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14,902,272.07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-405,997.12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-14,591.50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519,401.88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-683,766.69</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1,877,700.70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-4,640,229.72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11,554,789.62</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74、其他综合收益" w:id="353"/>
      <w:bookmarkEnd w:id="353"/>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75、现金流量表项目" w:id="354"/>
      <w:bookmarkEnd w:id="354"/>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收到的其他与经营活动有关的现金" w:id="355"/>
      <w:bookmarkEnd w:id="35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10,776,457.35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3,598,477.55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1,326,558.27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收回受限资金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7,909,581.95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7,433,006.38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5,096,327.01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2,378,157.38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1,994,979.09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1,958,893.46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25,777,920.23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16,695,093.04</w:t>
            </w:r>
          </w:p>
        </w:tc>
      </w:tr>
    </w:tbl>
    <w:p>
      <w:pPr>
        <w:pStyle w:val="BodyText"/>
        <w:spacing w:line="240" w:lineRule="auto" w:before="51"/>
        <w:ind w:left="154" w:right="1235"/>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支付的其他与经营活动有关的现金" w:id="356"/>
      <w:bookmarkEnd w:id="35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92,643,259.06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78,776,998.33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6,777,886.65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1,329,446.37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99,647,145.71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80,596,444.70</w:t>
            </w:r>
          </w:p>
        </w:tc>
      </w:tr>
    </w:tbl>
    <w:p>
      <w:pPr>
        <w:pStyle w:val="BodyText"/>
        <w:spacing w:line="240" w:lineRule="auto" w:before="51"/>
        <w:ind w:left="154" w:right="1235"/>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收到的其他与投资活动有关的现金" w:id="357"/>
      <w:bookmarkEnd w:id="35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2,967,123.29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304,067,123.29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235"/>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支付的其他与投资活动有关的现金" w:id="358"/>
      <w:bookmarkEnd w:id="35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235"/>
        <w:jc w:val="left"/>
      </w:pPr>
      <w:r>
        <w:rPr/>
        <w:t>支付的其他与投资活动有关的现金说明：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223.339996pt;margin-top:709.169983pt;width:151.25pt;height:40.8pt;mso-position-horizontal-relative:page;mso-position-vertical-relative:page;z-index:-955552" coordorigin="4467,14183" coordsize="3025,816">
            <v:group style="position:absolute;left:4478;top:14195;width:2;height:392" coordorigin="4478,14195" coordsize="2,392">
              <v:shape style="position:absolute;left:4478;top:14195;width:2;height:392" coordorigin="4478,14195" coordsize="0,392" path="m4478,14195l4478,14586e" filled="false" stroked="true" strokeweight="1.140pt" strokecolor="#ffffff">
                <v:path arrowok="t"/>
              </v:shape>
            </v:group>
            <v:group style="position:absolute;left:4490;top:14195;width:3002;height:392" coordorigin="4490,14195" coordsize="3002,392">
              <v:shape style="position:absolute;left:4490;top:14195;width:3002;height:392" coordorigin="4490,14195" coordsize="3002,392" path="m4490,14586l7491,14586,7491,14195,4490,14195,4490,14586xe" filled="true" fillcolor="#ffffff" stroked="false">
                <v:path arrowok="t"/>
                <v:fill type="solid"/>
              </v:shape>
            </v:group>
            <v:group style="position:absolute;left:4478;top:14597;width:2;height:392" coordorigin="4478,14597" coordsize="2,392">
              <v:shape style="position:absolute;left:4478;top:14597;width:2;height:392" coordorigin="4478,14597" coordsize="0,392" path="m4478,14597l4478,14988e" filled="false" stroked="true" strokeweight="1.140pt" strokecolor="#ffffff">
                <v:path arrowok="t"/>
              </v:shape>
            </v:group>
            <v:group style="position:absolute;left:4490;top:14597;width:3002;height:392" coordorigin="4490,14597" coordsize="3002,392">
              <v:shape style="position:absolute;left:4490;top:14597;width:3002;height:392" coordorigin="4490,14597" coordsize="3002,392" path="m4490,14988l7491,14988,7491,14597,4490,14597,4490,14988xe" filled="true" fillcolor="#ffffff" stroked="false">
                <v:path arrowok="t"/>
                <v:fill type="solid"/>
              </v:shape>
            </v:group>
            <w10:wrap type="none"/>
          </v:group>
        </w:pict>
      </w:r>
    </w:p>
    <w:p>
      <w:pPr>
        <w:pStyle w:val="Heading3"/>
        <w:spacing w:line="240" w:lineRule="auto" w:before="35"/>
        <w:ind w:left="153" w:right="1235"/>
        <w:jc w:val="left"/>
        <w:rPr>
          <w:b w:val="0"/>
          <w:bCs w:val="0"/>
        </w:rPr>
      </w:pPr>
      <w:bookmarkStart w:name="（5）收到的其他与筹资活动有关的现金" w:id="359"/>
      <w:bookmarkEnd w:id="35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235"/>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支付的其他与筹资活动有关的现金" w:id="360"/>
      <w:bookmarkEnd w:id="36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支付证券登记结算公司手续费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17,706.80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购买少数股东股权款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40,206.80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76、现金流量表补充资料" w:id="361"/>
      <w:bookmarkEnd w:id="361"/>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现金流量表补充资料" w:id="362"/>
      <w:bookmarkEnd w:id="36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87,793,690.86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119,967,773.26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10,657,522.06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12,233,052.86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9,076,568.57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9,235,039.34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1,765,761.09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1,706,424.56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2,322,203.44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2,495,444.76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-52,953.17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12,625.29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104,666.10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26,232.48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909,866.29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-3,956,289.96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-1,405,955.87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-446,987.94</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21,024,387.28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315,148.95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-53,505,443.33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-4,560,787.19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-59,483,527.90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-122,704,043.44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14,274,820.84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19,255,597.55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419,201,621.72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302,982,365.92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-81,429,926.11</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本期支付的取得子公司的现金净额" w:id="363"/>
      <w:bookmarkEnd w:id="36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本期收到的处置子公司的现金净额" w:id="364"/>
      <w:bookmarkEnd w:id="36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现金和现金等价物的构成" w:id="365"/>
      <w:bookmarkEnd w:id="36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640,754,061.53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337,771,695.61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3148"/>
        <w:jc w:val="left"/>
      </w:pPr>
      <w:r>
        <w:rPr/>
        <w:t>其他说明： 期末其他货币资金</w:t>
      </w:r>
      <w:r>
        <w:rPr>
          <w:rFonts w:ascii="Times New Roman" w:hAnsi="Times New Roman" w:cs="Times New Roman" w:eastAsia="Times New Roman" w:hint="default"/>
        </w:rPr>
        <w:t>3,072,314.76</w:t>
      </w:r>
      <w:r>
        <w:rPr/>
        <w:t>元系银行承兑汇票保证金，使用受限，不属于现金及现金等价物。</w:t>
      </w:r>
    </w:p>
    <w:p>
      <w:pPr>
        <w:spacing w:line="240" w:lineRule="auto" w:before="5"/>
        <w:rPr>
          <w:rFonts w:ascii="宋体" w:hAnsi="宋体" w:cs="宋体" w:eastAsia="宋体" w:hint="default"/>
          <w:sz w:val="18"/>
          <w:szCs w:val="18"/>
        </w:rPr>
      </w:pPr>
    </w:p>
    <w:p>
      <w:pPr>
        <w:spacing w:line="544" w:lineRule="auto" w:before="0"/>
        <w:ind w:left="153" w:right="5373" w:firstLine="0"/>
        <w:jc w:val="left"/>
        <w:rPr>
          <w:rFonts w:ascii="宋体" w:hAnsi="宋体" w:cs="宋体" w:eastAsia="宋体" w:hint="default"/>
          <w:sz w:val="21"/>
          <w:szCs w:val="21"/>
        </w:rPr>
      </w:pPr>
      <w:bookmarkStart w:name="77、所有者权益变动表项目注释" w:id="366"/>
      <w:bookmarkEnd w:id="366"/>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67"/>
      <w:bookmarkEnd w:id="367"/>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3,072,314.76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3,072,314.76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235"/>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79、外币货币性项目" w:id="368"/>
      <w:bookmarkEnd w:id="368"/>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外币货币性项目" w:id="369"/>
      <w:bookmarkEnd w:id="36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70"/>
      <w:bookmarkEnd w:id="37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35"/>
        <w:jc w:val="left"/>
      </w:pPr>
      <w:r>
        <w:rPr>
          <w:rFonts w:ascii="Times New Roman" w:hAnsi="Times New Roman" w:cs="Times New Roman" w:eastAsia="Times New Roman" w:hint="default"/>
        </w:rPr>
        <w:t>□  </w:t>
      </w:r>
      <w:r>
        <w:rPr/>
        <w:t>适用 </w:t>
      </w:r>
      <w:r>
        <w:rPr>
          <w:rFonts w:ascii="Wingdings 2" w:hAnsi="Wingdings 2" w:cs="Wingdings 2" w:eastAsia="Wingdings 2" w:hint="default"/>
        </w:rPr>
        <w:t></w:t>
      </w:r>
      <w:r>
        <w:rPr>
          <w:rFonts w:ascii="Wingdings 2" w:hAnsi="Wingdings 2" w:cs="Wingdings 2" w:eastAsia="Wingdings 2" w:hint="default"/>
          <w:spacing w:val="-92"/>
        </w:rPr>
        <w:t></w:t>
      </w:r>
      <w:r>
        <w:rPr>
          <w:rFonts w:ascii="Times New Roman" w:hAnsi="Times New Roman" w:cs="Times New Roman" w:eastAsia="Times New Roman" w:hint="default"/>
          <w:spacing w:val="-92"/>
        </w:rPr>
      </w:r>
      <w:r>
        <w:rPr/>
        <w:t>不适用</w:t>
      </w:r>
    </w:p>
    <w:p>
      <w:pPr>
        <w:spacing w:line="240" w:lineRule="auto" w:before="10"/>
        <w:rPr>
          <w:rFonts w:ascii="宋体" w:hAnsi="宋体" w:cs="宋体" w:eastAsia="宋体" w:hint="default"/>
          <w:sz w:val="25"/>
          <w:szCs w:val="25"/>
        </w:rPr>
      </w:pPr>
    </w:p>
    <w:p>
      <w:pPr>
        <w:pStyle w:val="Heading3"/>
        <w:spacing w:line="240" w:lineRule="auto"/>
        <w:ind w:right="1235"/>
        <w:jc w:val="left"/>
        <w:rPr>
          <w:b w:val="0"/>
          <w:bCs w:val="0"/>
        </w:rPr>
      </w:pPr>
      <w:bookmarkStart w:name="80、套期" w:id="371"/>
      <w:bookmarkEnd w:id="371"/>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按照套期类别披露套期项目及相关套期工具、被套期风险的定性和定量信息：</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spacing w:line="487" w:lineRule="auto" w:before="35"/>
        <w:ind w:left="153" w:right="8329" w:firstLine="0"/>
        <w:jc w:val="left"/>
        <w:rPr>
          <w:rFonts w:ascii="宋体" w:hAnsi="宋体" w:cs="宋体" w:eastAsia="宋体" w:hint="default"/>
          <w:sz w:val="21"/>
          <w:szCs w:val="21"/>
        </w:rPr>
      </w:pPr>
      <w:bookmarkStart w:name="81、其他" w:id="372"/>
      <w:bookmarkEnd w:id="372"/>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73"/>
      <w:bookmarkEnd w:id="37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74"/>
      <w:bookmarkEnd w:id="37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108"/>
        <w:ind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2、同一控制下企业合并" w:id="375"/>
      <w:bookmarkEnd w:id="37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3、反向购买" w:id="376"/>
      <w:bookmarkEnd w:id="37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处置子公司" w:id="377"/>
      <w:bookmarkEnd w:id="37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5、其他原因的合并范围变动" w:id="378"/>
      <w:bookmarkEnd w:id="37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6、其他" w:id="379"/>
      <w:bookmarkEnd w:id="37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80"/>
      <w:bookmarkEnd w:id="38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81"/>
      <w:bookmarkEnd w:id="38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1235"/>
        <w:jc w:val="left"/>
        <w:rPr>
          <w:b w:val="0"/>
          <w:bCs w:val="0"/>
        </w:rPr>
      </w:pPr>
      <w:bookmarkStart w:name="（1）企业集团的构成" w:id="382"/>
      <w:bookmarkEnd w:id="38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北京中交金溢科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青岛金溢科技有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伟龙金溢科技</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广东华信金溢信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佛山金溢科技有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无锡金溢科技有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5"/>
        <w:ind w:right="1235"/>
        <w:jc w:val="left"/>
        <w:rPr>
          <w:b w:val="0"/>
          <w:bCs w:val="0"/>
        </w:rPr>
      </w:pPr>
      <w:bookmarkStart w:name="（2）重要的非全资子公司" w:id="383"/>
      <w:bookmarkEnd w:id="38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-1,589,134.83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-2,318,824.06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广东华信金溢信息技术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-35,024.86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-2,047,927.46</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3）重要非全资子公司的主要财务信息" w:id="384"/>
      <w:bookmarkEnd w:id="38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伟龙金 溢科技 </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18,261,9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18,412,6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22,637,2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23.82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23,437,2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11,895,5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216,288.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12,111,8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16,185,5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16,185,5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53.37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广东华 信金溢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6,969,79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7,362,99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6,784,32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7,177,52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17,530,736.2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-3,950,864.41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-3,950,864.41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-1,087,470.50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12,352,886.3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-3,804,674.09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-3,804,674.09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-1,777,807.19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广东华信金 溢信息技术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-120,775.38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-120,775.38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-97,926.37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18,755.75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-528,179.18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-528,179.18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-878,667.54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使用企业集团资产和清偿企业集团债务的重大限制" w:id="385"/>
      <w:bookmarkEnd w:id="38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5）向纳入合并财务报表范围的结构化主体提供的财务支持或其他支持" w:id="386"/>
      <w:bookmarkEnd w:id="38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2、在子公司的所有者权益份额发生变化且仍控制子公司的交易" w:id="387"/>
      <w:bookmarkEnd w:id="38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在子公司所有者权益份额发生变化的情况说明" w:id="388"/>
      <w:bookmarkEnd w:id="38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016"/>
        <w:gridCol w:w="2732"/>
        <w:gridCol w:w="2088"/>
        <w:gridCol w:w="1823"/>
      </w:tblGrid>
      <w:tr>
        <w:trPr>
          <w:trHeight w:val="34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5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变动前持股比例</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6" w:right="0"/>
              <w:jc w:val="left"/>
              <w:rPr>
                <w:rFonts w:ascii="宋体" w:hAnsi="宋体" w:cs="宋体" w:eastAsia="宋体" w:hint="default"/>
                <w:sz w:val="18"/>
                <w:szCs w:val="18"/>
              </w:rPr>
            </w:pPr>
            <w:r>
              <w:rPr>
                <w:rFonts w:ascii="宋体" w:hAnsi="宋体" w:cs="宋体" w:eastAsia="宋体" w:hint="default"/>
                <w:sz w:val="18"/>
                <w:szCs w:val="18"/>
              </w:rPr>
              <w:t>变动后持股比例</w:t>
            </w:r>
          </w:p>
        </w:tc>
      </w:tr>
      <w:tr>
        <w:trPr>
          <w:trHeight w:val="34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60%</w:t>
            </w:r>
            <w:r>
              <w:rPr>
                <w:rFonts w:ascii="Times New Roman"/>
                <w:sz w:val="18"/>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70%</w:t>
            </w:r>
            <w:r>
              <w:rPr>
                <w:rFonts w:ascii="Times New Roman"/>
                <w:sz w:val="18"/>
              </w:rPr>
            </w:r>
          </w:p>
        </w:tc>
      </w:tr>
      <w:tr>
        <w:trPr>
          <w:trHeight w:val="34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70%</w:t>
            </w:r>
            <w:r>
              <w:rPr>
                <w:rFonts w:ascii="Times New Roman"/>
                <w:sz w:val="18"/>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53.85%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235"/>
        <w:jc w:val="left"/>
        <w:rPr>
          <w:b w:val="0"/>
          <w:bCs w:val="0"/>
        </w:rPr>
      </w:pPr>
      <w:bookmarkStart w:name="（2）交易对于少数股东权益及归属于母公司所有者权益的影响" w:id="389"/>
      <w:bookmarkEnd w:id="38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-709,860.44</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732,360.44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-732,360.44</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235"/>
        <w:jc w:val="left"/>
      </w:pPr>
      <w:r>
        <w:rPr/>
        <w:t>其他说明</w:t>
      </w:r>
    </w:p>
    <w:p>
      <w:pPr>
        <w:pStyle w:val="BodyText"/>
        <w:spacing w:line="300" w:lineRule="auto" w:before="116"/>
        <w:ind w:right="112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月，由于伟龙金溢科技（深圳）有限公司少数股东增资</w:t>
      </w:r>
      <w:r>
        <w:rPr>
          <w:rFonts w:ascii="Times New Roman" w:hAnsi="Times New Roman" w:cs="Times New Roman" w:eastAsia="Times New Roman" w:hint="default"/>
        </w:rPr>
        <w:t>300</w:t>
      </w:r>
      <w:r>
        <w:rPr/>
        <w:t>万元，本公司放弃同比例增资，导致本公司股权被 动稀释，增加资本公积</w:t>
      </w:r>
      <w:r>
        <w:rPr>
          <w:rFonts w:ascii="Times New Roman" w:hAnsi="Times New Roman" w:cs="Times New Roman" w:eastAsia="Times New Roman" w:hint="default"/>
        </w:rPr>
        <w:t>2,841,853.79</w:t>
      </w:r>
      <w:r>
        <w:rPr/>
        <w:t>元。</w:t>
      </w:r>
    </w:p>
    <w:p>
      <w:pPr>
        <w:spacing w:line="240" w:lineRule="auto" w:before="1"/>
        <w:rPr>
          <w:rFonts w:ascii="宋体" w:hAnsi="宋体" w:cs="宋体" w:eastAsia="宋体" w:hint="default"/>
          <w:sz w:val="22"/>
          <w:szCs w:val="22"/>
        </w:rPr>
      </w:pPr>
    </w:p>
    <w:p>
      <w:pPr>
        <w:pStyle w:val="Heading3"/>
        <w:spacing w:line="240" w:lineRule="auto"/>
        <w:ind w:left="153" w:right="1235"/>
        <w:jc w:val="left"/>
        <w:rPr>
          <w:b w:val="0"/>
          <w:bCs w:val="0"/>
        </w:rPr>
      </w:pPr>
      <w:bookmarkStart w:name="3、在合营安排或联营企业中的权益" w:id="390"/>
      <w:bookmarkEnd w:id="39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重要的共同经营" w:id="391"/>
      <w:bookmarkEnd w:id="39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5、在未纳入合并财务报表范围的结构化主体中的权益" w:id="392"/>
      <w:bookmarkEnd w:id="39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left="153" w:right="1235"/>
        <w:jc w:val="left"/>
        <w:rPr>
          <w:b w:val="0"/>
          <w:bCs w:val="0"/>
        </w:rPr>
      </w:pPr>
      <w:bookmarkStart w:name="6、其他" w:id="393"/>
      <w:bookmarkEnd w:id="39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235"/>
        <w:jc w:val="left"/>
        <w:rPr>
          <w:b w:val="0"/>
          <w:bCs w:val="0"/>
        </w:rPr>
      </w:pPr>
      <w:bookmarkStart w:name="十、与金融工具相关的风险" w:id="394"/>
      <w:bookmarkEnd w:id="39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3"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w:t>
      </w:r>
      <w:r>
        <w:rPr>
          <w:spacing w:val="-85"/>
        </w:rPr>
        <w:t> </w:t>
      </w:r>
      <w:r>
        <w:rPr>
          <w:spacing w:val="-85"/>
        </w:rPr>
      </w:r>
      <w:r>
        <w:rPr/>
        <w:t>建立适当的风险承受底线和进行风险管理，并及时可靠地对各种风险进行监督，将风险控制在限定的范围内。</w:t>
      </w:r>
    </w:p>
    <w:p>
      <w:pPr>
        <w:pStyle w:val="BodyText"/>
        <w:spacing w:line="319" w:lineRule="auto" w:before="56"/>
        <w:ind w:right="0"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38" w:lineRule="auto" w:before="56"/>
        <w:ind w:left="513" w:right="391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信用风险</w:t>
      </w:r>
      <w:r>
        <w:rPr>
          <w:w w:val="99"/>
        </w:rPr>
        <w:t> </w:t>
      </w:r>
      <w:r>
        <w:rPr/>
        <w:t>信用风险，是指金融工具的一方不能履行义务，造成另一方发生财务损失的风险。</w:t>
      </w:r>
    </w:p>
    <w:p>
      <w:pPr>
        <w:pStyle w:val="BodyText"/>
        <w:spacing w:line="240" w:lineRule="auto" w:before="43"/>
        <w:ind w:left="513" w:right="1235"/>
        <w:jc w:val="left"/>
      </w:pPr>
      <w:r>
        <w:rPr/>
        <w:t>本公司的信用风险主要来自银行存款和应收款项。为控制上述相关风险，本公司分别采取了以下措施。</w:t>
      </w:r>
    </w:p>
    <w:p>
      <w:pPr>
        <w:pStyle w:val="BodyText"/>
        <w:spacing w:line="350" w:lineRule="auto" w:before="116"/>
        <w:ind w:left="513" w:right="46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银行存款 本公司将银行存款存放于信用评级较高的金融机构，故其信用风险较低。 </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应收款项</w:t>
      </w:r>
    </w:p>
    <w:p>
      <w:pPr>
        <w:pStyle w:val="BodyText"/>
        <w:spacing w:line="319" w:lineRule="auto" w:before="9"/>
        <w:ind w:right="0" w:firstLine="360"/>
        <w:jc w:val="left"/>
      </w:pPr>
      <w:r>
        <w:rPr>
          <w:spacing w:val="-2"/>
        </w:rPr>
        <w:t>本公司定期对采用信用方式交易的客户进行信用评估。根据信用评估结果，本公司选择与经认可的且信用良好的客户进</w:t>
      </w:r>
      <w:r>
        <w:rPr/>
        <w:t> 行交易，并对其应收款项余额进行监控，以确保本公司不会面临重大坏账风险。</w:t>
      </w:r>
    </w:p>
    <w:p>
      <w:pPr>
        <w:pStyle w:val="BodyText"/>
        <w:spacing w:line="240" w:lineRule="auto" w:before="55"/>
        <w:ind w:left="513" w:right="0"/>
        <w:jc w:val="left"/>
        <w:rPr>
          <w:rFonts w:ascii="Times New Roman" w:hAnsi="Times New Roman" w:cs="Times New Roman" w:eastAsia="Times New Roman" w:hint="default"/>
        </w:rPr>
      </w:pPr>
      <w:r>
        <w:rPr/>
        <w:t>由于本公司的应收账款风险点分布于多个合作方和多个客户，截至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6"/>
        </w:rPr>
        <w:t>日，本公司应收账款的</w:t>
      </w:r>
      <w:r>
        <w:rPr>
          <w:spacing w:val="-54"/>
        </w:rPr>
        <w:t> </w:t>
      </w:r>
      <w:r>
        <w:rPr>
          <w:rFonts w:ascii="Times New Roman" w:hAnsi="Times New Roman" w:cs="Times New Roman" w:eastAsia="Times New Roman" w:hint="default"/>
        </w:rPr>
        <w:t>37.27%(2016</w:t>
      </w:r>
    </w:p>
    <w:p>
      <w:pPr>
        <w:pStyle w:val="BodyText"/>
        <w:spacing w:line="240" w:lineRule="auto" w:before="64"/>
        <w:ind w:left="154" w:right="1235"/>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36.04%)</w:t>
      </w:r>
      <w:r>
        <w:rPr/>
        <w:t>源于余额前五名客户。本公司对应收账款余额未持有任何担保物或其他信用增级。</w:t>
      </w:r>
    </w:p>
    <w:p>
      <w:pPr>
        <w:pStyle w:val="BodyText"/>
        <w:spacing w:line="240" w:lineRule="auto" w:before="103"/>
        <w:ind w:left="604" w:right="12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本公司的应收款项中未逾期且未减值的金额，以及虽已逾期但未减值的金额和逾期账龄分析如下：</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1610"/>
        <w:gridCol w:w="1886"/>
        <w:gridCol w:w="1607"/>
        <w:gridCol w:w="1445"/>
        <w:gridCol w:w="1500"/>
        <w:gridCol w:w="1610"/>
      </w:tblGrid>
      <w:tr>
        <w:trPr>
          <w:trHeight w:val="422" w:hRule="exact"/>
        </w:trPr>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62"/>
              <w:ind w:left="52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21" w:hRule="exact"/>
        </w:trPr>
        <w:tc>
          <w:tcPr>
            <w:tcW w:w="1610" w:type="dxa"/>
            <w:vMerge/>
            <w:tcBorders>
              <w:left w:val="single" w:sz="4" w:space="0" w:color="000000"/>
              <w:right w:val="single" w:sz="4" w:space="0" w:color="000000"/>
            </w:tcBorders>
          </w:tcPr>
          <w:p>
            <w:pPr/>
          </w:p>
        </w:tc>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61"/>
              <w:ind w:left="398"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22" w:hRule="exact"/>
        </w:trPr>
        <w:tc>
          <w:tcPr>
            <w:tcW w:w="1610" w:type="dxa"/>
            <w:vMerge/>
            <w:tcBorders>
              <w:left w:val="single" w:sz="4" w:space="0" w:color="000000"/>
              <w:bottom w:val="single" w:sz="4"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0" w:type="dxa"/>
            <w:vMerge/>
            <w:tcBorders>
              <w:left w:val="single" w:sz="4" w:space="0" w:color="000000"/>
              <w:bottom w:val="single" w:sz="4" w:space="0" w:color="000000"/>
              <w:right w:val="single" w:sz="4" w:space="0" w:color="000000"/>
            </w:tcBorders>
          </w:tcPr>
          <w:p>
            <w:pPr/>
          </w:p>
        </w:tc>
      </w:tr>
      <w:tr>
        <w:trPr>
          <w:trHeight w:val="4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8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2,541,833.34</w:t>
            </w: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2,541,833.34</w:t>
            </w:r>
          </w:p>
        </w:tc>
      </w:tr>
      <w:tr>
        <w:trPr>
          <w:trHeight w:val="4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2,541,833.34</w:t>
            </w: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2,541,833.34</w:t>
            </w:r>
          </w:p>
        </w:tc>
      </w:tr>
    </w:tbl>
    <w:p>
      <w:pPr>
        <w:pStyle w:val="BodyText"/>
        <w:spacing w:line="240" w:lineRule="auto" w:before="51"/>
        <w:ind w:left="514" w:right="123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610"/>
        <w:gridCol w:w="1886"/>
        <w:gridCol w:w="1607"/>
        <w:gridCol w:w="1445"/>
        <w:gridCol w:w="1500"/>
        <w:gridCol w:w="1610"/>
      </w:tblGrid>
      <w:tr>
        <w:trPr>
          <w:trHeight w:val="422" w:hRule="exact"/>
        </w:trPr>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62"/>
              <w:ind w:left="52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2" w:hRule="exact"/>
        </w:trPr>
        <w:tc>
          <w:tcPr>
            <w:tcW w:w="1610" w:type="dxa"/>
            <w:vMerge/>
            <w:tcBorders>
              <w:left w:val="single" w:sz="4" w:space="0" w:color="000000"/>
              <w:right w:val="single" w:sz="4" w:space="0" w:color="000000"/>
            </w:tcBorders>
          </w:tcPr>
          <w:p>
            <w:pPr/>
          </w:p>
        </w:tc>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61"/>
              <w:ind w:left="398"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22" w:hRule="exact"/>
        </w:trPr>
        <w:tc>
          <w:tcPr>
            <w:tcW w:w="1610" w:type="dxa"/>
            <w:vMerge/>
            <w:tcBorders>
              <w:left w:val="single" w:sz="4" w:space="0" w:color="000000"/>
              <w:bottom w:val="single" w:sz="4"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0" w:type="dxa"/>
            <w:vMerge/>
            <w:tcBorders>
              <w:left w:val="single" w:sz="4" w:space="0" w:color="000000"/>
              <w:bottom w:val="single" w:sz="4" w:space="0" w:color="000000"/>
              <w:right w:val="single" w:sz="4" w:space="0" w:color="000000"/>
            </w:tcBorders>
          </w:tcPr>
          <w:p>
            <w:pPr/>
          </w:p>
        </w:tc>
      </w:tr>
      <w:tr>
        <w:trPr>
          <w:trHeight w:val="4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417,800.00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417,800.00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1610"/>
        <w:gridCol w:w="1886"/>
        <w:gridCol w:w="1607"/>
        <w:gridCol w:w="1445"/>
        <w:gridCol w:w="1500"/>
        <w:gridCol w:w="1610"/>
      </w:tblGrid>
      <w:tr>
        <w:trPr>
          <w:trHeight w:val="4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8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417,800.00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417,800.00</w:t>
            </w:r>
          </w:p>
        </w:tc>
      </w:tr>
    </w:tbl>
    <w:p>
      <w:pPr>
        <w:pStyle w:val="BodyText"/>
        <w:spacing w:line="240" w:lineRule="auto" w:before="51"/>
        <w:ind w:left="514" w:right="123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单项计提减值的应收款项情况见本财务报表附注合并财务报表项目注释之应收款项说明。</w:t>
      </w:r>
    </w:p>
    <w:p>
      <w:pPr>
        <w:pStyle w:val="BodyText"/>
        <w:spacing w:line="338" w:lineRule="auto" w:before="103"/>
        <w:ind w:left="513"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流动风险</w:t>
      </w:r>
      <w:r>
        <w:rPr>
          <w:w w:val="99"/>
        </w:rPr>
        <w:t> </w:t>
      </w:r>
      <w:r>
        <w:rPr>
          <w:spacing w:val="-2"/>
        </w:rPr>
        <w:t>流动风险，是指本公司在履行以交付现金或其他金融资产的方式结算的义务时发生资金短缺的风险。流动风险可能源于</w:t>
      </w:r>
    </w:p>
    <w:p>
      <w:pPr>
        <w:pStyle w:val="BodyText"/>
        <w:spacing w:line="319" w:lineRule="auto" w:before="2"/>
        <w:ind w:right="1118"/>
        <w:jc w:val="left"/>
      </w:pPr>
      <w:r>
        <w:rPr>
          <w:spacing w:val="-2"/>
        </w:rPr>
        <w:t>无法尽快以公允价值售出金融资产；或者源于对方无法偿还其合同债务；或者源于提前到期的债务；或者源于无法产生预期</w:t>
      </w:r>
      <w:r>
        <w:rPr>
          <w:spacing w:val="-66"/>
        </w:rPr>
        <w:t> </w:t>
      </w:r>
      <w:r>
        <w:rPr>
          <w:spacing w:val="-66"/>
        </w:rPr>
      </w:r>
      <w:r>
        <w:rPr/>
        <w:t>的现金流量。</w:t>
      </w:r>
    </w:p>
    <w:p>
      <w:pPr>
        <w:pStyle w:val="BodyText"/>
        <w:spacing w:line="319" w:lineRule="auto" w:before="55"/>
        <w:ind w:right="0" w:firstLine="360"/>
        <w:jc w:val="left"/>
      </w:pPr>
      <w:r>
        <w:rPr>
          <w:spacing w:val="-2"/>
        </w:rPr>
        <w:t>为控制该项风险，本公司综合运用票据结算等融资手段，并采取长、短期融资方式适当结合，优化融资结构的方法，保</w:t>
      </w:r>
      <w:r>
        <w:rPr/>
        <w:t> 持融资持续性与灵活性之间的平衡。本公司已从多家商业银行取得银行授信额度以满足营运资金需求和资本开支。</w:t>
      </w:r>
    </w:p>
    <w:p>
      <w:pPr>
        <w:pStyle w:val="BodyText"/>
        <w:spacing w:line="240" w:lineRule="auto" w:before="56"/>
        <w:ind w:left="513" w:right="1235"/>
        <w:jc w:val="left"/>
      </w:pPr>
      <w:r>
        <w:rPr/>
        <w:t>金融负债按剩余到期日分类</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467"/>
        <w:gridCol w:w="1910"/>
        <w:gridCol w:w="1923"/>
        <w:gridCol w:w="1910"/>
        <w:gridCol w:w="1205"/>
        <w:gridCol w:w="1244"/>
      </w:tblGrid>
      <w:tr>
        <w:trPr>
          <w:trHeight w:val="421" w:hRule="exact"/>
        </w:trPr>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61"/>
              <w:ind w:left="45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1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22" w:hRule="exact"/>
        </w:trPr>
        <w:tc>
          <w:tcPr>
            <w:tcW w:w="1467" w:type="dxa"/>
            <w:vMerge/>
            <w:tcBorders>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51,668,271.52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51,668,271.52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51,668,271.52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132,750,726.60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132,750,726.60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132,750,726.60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33,277,612.90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33,277,612.90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33,277,612.90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217,696,611.02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217,696,611.02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217,696,611.02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604" w:right="1235"/>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467"/>
        <w:gridCol w:w="1910"/>
        <w:gridCol w:w="1923"/>
        <w:gridCol w:w="1910"/>
        <w:gridCol w:w="1205"/>
        <w:gridCol w:w="1244"/>
      </w:tblGrid>
      <w:tr>
        <w:trPr>
          <w:trHeight w:val="421" w:hRule="exact"/>
        </w:trPr>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61"/>
              <w:ind w:left="45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1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3" w:hRule="exact"/>
        </w:trPr>
        <w:tc>
          <w:tcPr>
            <w:tcW w:w="1467" w:type="dxa"/>
            <w:vMerge/>
            <w:tcBorders>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61,647,211.87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61,647,211.87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61,647,211.87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134,528,834.18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134,528,834.18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134,528,834.18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33,335,551.47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33,335,551.47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33,335,551.47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229,511,597.52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229,511,597.52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229,511,597.52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left="513" w:right="10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市场风险</w:t>
      </w:r>
      <w:r>
        <w:rPr>
          <w:w w:val="99"/>
        </w:rPr>
        <w:t> </w:t>
      </w:r>
      <w:r>
        <w:rPr/>
        <w:t>市场风险，是指金融工具的公允价值或未来现金流量因市场价格变动而发生波动的风险。市场风险主要包括利率风险。</w:t>
      </w:r>
      <w:r>
        <w:rPr>
          <w:spacing w:val="-85"/>
        </w:rPr>
        <w:t> </w:t>
      </w:r>
      <w:r>
        <w:rPr>
          <w:spacing w:val="-85"/>
        </w:rPr>
      </w:r>
      <w:r>
        <w:rPr>
          <w:spacing w:val="-2"/>
        </w:rPr>
        <w:t>利率风险，是指金融工具的公允价值或未来现金流量因市场利率变动而发生波动的风险。本公司面临的市场利率变动的</w:t>
      </w:r>
    </w:p>
    <w:p>
      <w:pPr>
        <w:pStyle w:val="BodyText"/>
        <w:spacing w:line="357" w:lineRule="auto"/>
        <w:ind w:left="514" w:right="6972" w:hanging="360"/>
        <w:jc w:val="left"/>
      </w:pPr>
      <w:r>
        <w:rPr/>
        <w:t>风险主要与本公司以浮动利率计息的借款有关。 公司本年没有借款。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0"/>
        <w:ind w:left="154" w:right="1235"/>
        <w:jc w:val="left"/>
        <w:rPr>
          <w:b w:val="0"/>
          <w:bCs w:val="0"/>
        </w:rPr>
      </w:pPr>
      <w:bookmarkStart w:name="十一、公允价值的披露" w:id="395"/>
      <w:bookmarkEnd w:id="395"/>
      <w:r>
        <w:rPr>
          <w:b w:val="0"/>
          <w:bCs w:val="0"/>
        </w:rPr>
      </w:r>
      <w:r>
        <w:rPr/>
        <w:t>十一、公允价值的披露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235"/>
        <w:jc w:val="left"/>
        <w:rPr>
          <w:b w:val="0"/>
          <w:bCs w:val="0"/>
        </w:rPr>
      </w:pPr>
      <w:bookmarkStart w:name="十二、关联方及关联交易" w:id="396"/>
      <w:bookmarkEnd w:id="396"/>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本企业的母公司情况" w:id="397"/>
      <w:bookmarkEnd w:id="39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jc w:val="left"/>
      </w:pPr>
      <w:r>
        <w:rPr>
          <w:spacing w:val="-3"/>
        </w:rPr>
        <w:t>本企业最终控制方是罗瑞发、刘咏平、杨成、王明宽、李娜、李朝莉。。</w:t>
      </w:r>
      <w:r>
        <w:rPr>
          <w:spacing w:val="-84"/>
        </w:rPr>
        <w:t> </w:t>
      </w:r>
      <w:r>
        <w:rPr>
          <w:spacing w:val="-84"/>
        </w:rPr>
      </w:r>
      <w:r>
        <w:rPr>
          <w:spacing w:val="-2"/>
        </w:rPr>
        <w:t>其他说明：本公司股东罗瑞发、刘咏平、杨成、王明宽、李娜和李朝莉为一致行动人，罗瑞发等一致行动人直接持有本公司</w:t>
      </w:r>
      <w:r>
        <w:rPr>
          <w:spacing w:val="-66"/>
        </w:rPr>
        <w:t> </w:t>
      </w:r>
      <w:r>
        <w:rPr>
          <w:spacing w:val="-66"/>
        </w:rPr>
      </w:r>
      <w:r>
        <w:rPr>
          <w:rFonts w:ascii="Times New Roman" w:hAnsi="Times New Roman" w:cs="Times New Roman" w:eastAsia="Times New Roman" w:hint="default"/>
        </w:rPr>
        <w:t>36.67%</w:t>
      </w:r>
      <w:r>
        <w:rPr/>
        <w:t>的股权，罗瑞发通过其控制的深圳市敏行电子有限公司间接持有本公司</w:t>
      </w:r>
      <w:r>
        <w:rPr>
          <w:spacing w:val="-48"/>
        </w:rPr>
        <w:t> </w:t>
      </w:r>
      <w:r>
        <w:rPr>
          <w:rFonts w:ascii="Times New Roman" w:hAnsi="Times New Roman" w:cs="Times New Roman" w:eastAsia="Times New Roman" w:hint="default"/>
        </w:rPr>
        <w:t>18.83%</w:t>
      </w:r>
      <w:r>
        <w:rPr/>
        <w:t>的股权。</w:t>
      </w:r>
    </w:p>
    <w:p>
      <w:pPr>
        <w:spacing w:line="240" w:lineRule="auto" w:before="7"/>
        <w:rPr>
          <w:rFonts w:ascii="宋体" w:hAnsi="宋体" w:cs="宋体" w:eastAsia="宋体" w:hint="default"/>
          <w:sz w:val="19"/>
          <w:szCs w:val="19"/>
        </w:rPr>
      </w:pPr>
    </w:p>
    <w:p>
      <w:pPr>
        <w:pStyle w:val="Heading3"/>
        <w:spacing w:line="240" w:lineRule="auto"/>
        <w:ind w:left="153" w:right="1235"/>
        <w:jc w:val="left"/>
        <w:rPr>
          <w:b w:val="0"/>
          <w:bCs w:val="0"/>
        </w:rPr>
      </w:pPr>
      <w:bookmarkStart w:name="2、本企业的子公司情况" w:id="398"/>
      <w:bookmarkEnd w:id="39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本企业子公司的情况详见附注“九、在其他主体中的权益</w:t>
      </w:r>
      <w:r>
        <w:rPr>
          <w:spacing w:val="-90"/>
        </w:rPr>
        <w:t>”</w:t>
      </w:r>
      <w:r>
        <w:rPr/>
        <w:t>。</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本企业合营和联营企业情况" w:id="399"/>
      <w:bookmarkEnd w:id="39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其他关联方情况" w:id="400"/>
      <w:bookmarkEnd w:id="40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WeiLong </w:t>
            </w:r>
            <w:r>
              <w:rPr>
                <w:rFonts w:ascii="Times New Roman" w:hAnsi="Times New Roman" w:cs="Times New Roman" w:eastAsia="Times New Roman" w:hint="default"/>
                <w:sz w:val="18"/>
                <w:szCs w:val="18"/>
              </w:rPr>
              <w:t>Electronics Engineering 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（新加坡伟龙）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有限公司之少数股东</w:t>
            </w:r>
          </w:p>
        </w:tc>
      </w:tr>
    </w:tbl>
    <w:p>
      <w:pPr>
        <w:pStyle w:val="BodyText"/>
        <w:spacing w:line="240" w:lineRule="auto" w:before="51"/>
        <w:ind w:left="154" w:right="1235"/>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235"/>
        <w:jc w:val="left"/>
        <w:rPr>
          <w:b w:val="0"/>
          <w:bCs w:val="0"/>
        </w:rPr>
      </w:pPr>
      <w:bookmarkStart w:name="5、关联交易情况" w:id="401"/>
      <w:bookmarkEnd w:id="40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购销商品、提供和接受劳务的关联交易" w:id="402"/>
      <w:bookmarkEnd w:id="40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8" w:lineRule="auto" w:before="44"/>
        <w:ind w:left="154" w:right="-20"/>
        <w:jc w:val="left"/>
      </w:pPr>
      <w:r>
        <w:rPr/>
        <w:t>采购商品</w:t>
      </w:r>
      <w:r>
        <w:rPr>
          <w:rFonts w:ascii="Times New Roman" w:hAnsi="Times New Roman" w:cs="Times New Roman" w:eastAsia="Times New Roman" w:hint="default"/>
        </w:rPr>
        <w:t>/</w:t>
      </w:r>
      <w:r>
        <w:rPr/>
        <w:t>接受劳务情况表 无 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100" w:bottom="1160" w:left="980" w:right="0"/>
          <w:cols w:num="2" w:equalWidth="0">
            <w:col w:w="2185" w:space="664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3,273,623.79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6,241,550.00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2）关联受托管理/承包及委托管理/出包情况" w:id="403"/>
      <w:bookmarkEnd w:id="40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关联租赁情况" w:id="404"/>
      <w:bookmarkEnd w:id="40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type w:val="continuous"/>
          <w:pgSz w:w="11910" w:h="16840"/>
          <w:pgMar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关联担保情况" w:id="405"/>
      <w:bookmarkEnd w:id="40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5）关联方资金拆借" w:id="406"/>
      <w:bookmarkEnd w:id="40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关联方资产转让、债务重组情况" w:id="407"/>
      <w:bookmarkEnd w:id="40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7）关键管理人员报酬" w:id="408"/>
      <w:bookmarkEnd w:id="40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7,809,114.93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9,359,103.76</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8）其他关联交易" w:id="409"/>
      <w:bookmarkEnd w:id="40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关联方应收应付款项" w:id="410"/>
      <w:bookmarkEnd w:id="41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35"/>
        <w:jc w:val="left"/>
        <w:rPr>
          <w:b w:val="0"/>
          <w:bCs w:val="0"/>
        </w:rPr>
      </w:pPr>
      <w:bookmarkStart w:name="（1）应收项目" w:id="411"/>
      <w:bookmarkEnd w:id="41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应付项目" w:id="412"/>
      <w:bookmarkEnd w:id="41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798,761.21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1,250,000.00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7、关联方承诺" w:id="413"/>
      <w:bookmarkEnd w:id="41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8、其他" w:id="414"/>
      <w:bookmarkEnd w:id="414"/>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235"/>
        <w:jc w:val="left"/>
        <w:rPr>
          <w:b w:val="0"/>
          <w:bCs w:val="0"/>
        </w:rPr>
      </w:pPr>
      <w:bookmarkStart w:name="十三、股份支付" w:id="415"/>
      <w:bookmarkEnd w:id="415"/>
      <w:r>
        <w:rPr>
          <w:b w:val="0"/>
          <w:bCs w:val="0"/>
        </w:rPr>
      </w:r>
      <w:r>
        <w:rPr/>
        <w:t>十三、股份支付</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0"/>
        <w:rPr>
          <w:rFonts w:ascii="宋体" w:hAnsi="宋体" w:cs="宋体" w:eastAsia="宋体" w:hint="default"/>
          <w:sz w:val="25"/>
          <w:szCs w:val="25"/>
        </w:rPr>
      </w:pPr>
    </w:p>
    <w:p>
      <w:pPr>
        <w:pStyle w:val="Heading2"/>
        <w:spacing w:line="240" w:lineRule="auto"/>
        <w:ind w:right="1235"/>
        <w:jc w:val="left"/>
        <w:rPr>
          <w:b w:val="0"/>
          <w:bCs w:val="0"/>
        </w:rPr>
      </w:pPr>
      <w:bookmarkStart w:name="十四、承诺及或有事项" w:id="416"/>
      <w:bookmarkEnd w:id="416"/>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重要承诺事项" w:id="417"/>
      <w:bookmarkEnd w:id="41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5653" w:hanging="420"/>
        <w:jc w:val="left"/>
      </w:pPr>
      <w:r>
        <w:rPr/>
        <w:pict>
          <v:shape style="position:absolute;margin-left:56.459999pt;margin-top:32.651688pt;width:476.5pt;height:51.8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1581"/>
                    <w:gridCol w:w="2747"/>
                    <w:gridCol w:w="2128"/>
                  </w:tblGrid>
                  <w:tr>
                    <w:trPr>
                      <w:trHeight w:val="34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租赁期限</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预计最低支付总额</w:t>
                        </w:r>
                      </w:p>
                    </w:tc>
                  </w:tr>
                  <w:tr>
                    <w:trPr>
                      <w:trHeight w:val="34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sz w:val="18"/>
                            <w:szCs w:val="18"/>
                          </w:rPr>
                          <w:t>房屋租赁费</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2017/12/14-2020/12/13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41,748,687.43</w:t>
                        </w:r>
                      </w:p>
                    </w:tc>
                  </w:tr>
                  <w:tr>
                    <w:trPr>
                      <w:trHeight w:val="34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深圳市科技评审管理中心</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hAnsi="宋体" w:cs="宋体" w:eastAsia="宋体" w:hint="default"/>
                            <w:sz w:val="18"/>
                            <w:szCs w:val="18"/>
                          </w:rPr>
                          <w:t>房屋租赁费</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2018/2/1-2023/1/31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25,512,577.44</w:t>
                        </w:r>
                      </w:p>
                    </w:tc>
                  </w:tr>
                </w:tbl>
                <w:p>
                  <w:pPr/>
                </w:p>
              </w:txbxContent>
            </v:textbox>
            <w10:wrap type="none"/>
          </v:shape>
        </w:pict>
      </w:r>
      <w:r>
        <w:rPr/>
        <w:t>资产负债表日存在的重要承诺 根据已签订的正在或准备履行的重要租赁合同，详情如下：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35"/>
        <w:ind w:right="1235"/>
        <w:jc w:val="left"/>
        <w:rPr>
          <w:b w:val="0"/>
          <w:bCs w:val="0"/>
        </w:rPr>
      </w:pPr>
      <w:bookmarkStart w:name="2、或有事项" w:id="418"/>
      <w:bookmarkEnd w:id="41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35"/>
        <w:jc w:val="left"/>
        <w:rPr>
          <w:b w:val="0"/>
          <w:bCs w:val="0"/>
        </w:rPr>
      </w:pPr>
      <w:bookmarkStart w:name="（1）资产负债表日存在的重要或有事项" w:id="419"/>
      <w:bookmarkEnd w:id="41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235"/>
        <w:jc w:val="left"/>
      </w:pPr>
      <w:r>
        <w:rPr/>
        <w:t>截至资产负债表日，本公司不存在需要披露的重要或有事项。</w:t>
      </w:r>
    </w:p>
    <w:p>
      <w:pPr>
        <w:spacing w:line="240" w:lineRule="auto" w:before="12"/>
        <w:rPr>
          <w:rFonts w:ascii="宋体" w:hAnsi="宋体" w:cs="宋体" w:eastAsia="宋体" w:hint="default"/>
          <w:sz w:val="26"/>
          <w:szCs w:val="26"/>
        </w:rPr>
      </w:pPr>
    </w:p>
    <w:p>
      <w:pPr>
        <w:pStyle w:val="Heading3"/>
        <w:spacing w:line="240" w:lineRule="auto"/>
        <w:ind w:left="153" w:right="1235"/>
        <w:jc w:val="left"/>
        <w:rPr>
          <w:b w:val="0"/>
          <w:bCs w:val="0"/>
        </w:rPr>
      </w:pPr>
      <w:bookmarkStart w:name="（2）公司没有需要披露的重要或有事项，也应予以说明" w:id="420"/>
      <w:bookmarkEnd w:id="42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235"/>
        <w:jc w:val="left"/>
      </w:pPr>
      <w:r>
        <w:rPr/>
        <w:t>公司不存在需要披露的重要或有事项。</w:t>
      </w:r>
    </w:p>
    <w:p>
      <w:pPr>
        <w:spacing w:line="240" w:lineRule="auto" w:before="12"/>
        <w:rPr>
          <w:rFonts w:ascii="宋体" w:hAnsi="宋体" w:cs="宋体" w:eastAsia="宋体" w:hint="default"/>
          <w:sz w:val="26"/>
          <w:szCs w:val="26"/>
        </w:rPr>
      </w:pPr>
    </w:p>
    <w:p>
      <w:pPr>
        <w:pStyle w:val="Heading3"/>
        <w:spacing w:line="240" w:lineRule="auto"/>
        <w:ind w:left="153" w:right="1235"/>
        <w:jc w:val="left"/>
        <w:rPr>
          <w:b w:val="0"/>
          <w:bCs w:val="0"/>
        </w:rPr>
      </w:pPr>
      <w:bookmarkStart w:name="3、其他" w:id="421"/>
      <w:bookmarkEnd w:id="421"/>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十五、资产负债表日后事项" w:id="422"/>
      <w:bookmarkEnd w:id="422"/>
      <w:r>
        <w:rPr>
          <w:b w:val="0"/>
          <w:bCs w:val="0"/>
        </w:rPr>
      </w:r>
      <w:r>
        <w:rPr/>
        <w:t>十五、资产负债表日后事项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153" w:right="1235"/>
        <w:jc w:val="left"/>
        <w:rPr>
          <w:b w:val="0"/>
          <w:bCs w:val="0"/>
        </w:rPr>
      </w:pPr>
      <w:bookmarkStart w:name="1、重要的非调整事项" w:id="423"/>
      <w:bookmarkEnd w:id="42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2、利润分配情况" w:id="424"/>
      <w:bookmarkEnd w:id="42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3、销售退回" w:id="425"/>
      <w:bookmarkEnd w:id="42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4、其他资产负债表日后事项说明" w:id="426"/>
      <w:bookmarkEnd w:id="42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0"/>
        <w:rPr>
          <w:rFonts w:ascii="宋体" w:hAnsi="宋体" w:cs="宋体" w:eastAsia="宋体" w:hint="default"/>
          <w:sz w:val="25"/>
          <w:szCs w:val="25"/>
        </w:rPr>
      </w:pPr>
    </w:p>
    <w:p>
      <w:pPr>
        <w:spacing w:line="506" w:lineRule="auto" w:before="0"/>
        <w:ind w:left="153" w:right="8584" w:firstLine="0"/>
        <w:jc w:val="left"/>
        <w:rPr>
          <w:rFonts w:ascii="宋体" w:hAnsi="宋体" w:cs="宋体" w:eastAsia="宋体" w:hint="default"/>
          <w:sz w:val="18"/>
          <w:szCs w:val="18"/>
        </w:rPr>
      </w:pPr>
      <w:bookmarkStart w:name="十六、其他重要事项" w:id="427"/>
      <w:bookmarkEnd w:id="427"/>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51"/>
        <w:ind w:left="153" w:right="1235"/>
        <w:jc w:val="left"/>
        <w:rPr>
          <w:b w:val="0"/>
          <w:bCs w:val="0"/>
        </w:rPr>
      </w:pPr>
      <w:bookmarkStart w:name="2、债务重组" w:id="429"/>
      <w:bookmarkEnd w:id="4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3、资产置换" w:id="430"/>
      <w:bookmarkEnd w:id="4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4、年金计划" w:id="431"/>
      <w:bookmarkEnd w:id="43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235"/>
        <w:jc w:val="left"/>
        <w:rPr>
          <w:b w:val="0"/>
          <w:bCs w:val="0"/>
        </w:rPr>
      </w:pPr>
      <w:bookmarkStart w:name="5、终止经营" w:id="432"/>
      <w:bookmarkEnd w:id="43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6、分部信息" w:id="433"/>
      <w:bookmarkEnd w:id="43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7、其他对投资者决策有影响的重要交易和事项" w:id="434"/>
      <w:bookmarkEnd w:id="43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013"/>
        <w:jc w:val="left"/>
      </w:pPr>
      <w:r>
        <w:rPr/>
        <w:t>无 注：说明其他对投资者决策有影响的重要交易和事项，包括具体情况、判断依据及相关会计处理。</w:t>
      </w:r>
    </w:p>
    <w:p>
      <w:pPr>
        <w:spacing w:line="240" w:lineRule="auto" w:before="13"/>
        <w:rPr>
          <w:rFonts w:ascii="宋体" w:hAnsi="宋体" w:cs="宋体" w:eastAsia="宋体" w:hint="default"/>
          <w:sz w:val="19"/>
          <w:szCs w:val="19"/>
        </w:rPr>
      </w:pPr>
    </w:p>
    <w:p>
      <w:pPr>
        <w:pStyle w:val="Heading3"/>
        <w:spacing w:line="240" w:lineRule="auto"/>
        <w:ind w:left="153" w:right="1235"/>
        <w:jc w:val="left"/>
        <w:rPr>
          <w:b w:val="0"/>
          <w:bCs w:val="0"/>
        </w:rPr>
      </w:pPr>
      <w:bookmarkStart w:name="8、其他" w:id="435"/>
      <w:bookmarkEnd w:id="435"/>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235"/>
        <w:jc w:val="left"/>
        <w:rPr>
          <w:b w:val="0"/>
          <w:bCs w:val="0"/>
        </w:rPr>
      </w:pPr>
      <w:bookmarkStart w:name="十七、母公司财务报表主要项目注释" w:id="436"/>
      <w:bookmarkEnd w:id="436"/>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应收账款" w:id="437"/>
      <w:bookmarkEnd w:id="43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应收账款分类披露" w:id="438"/>
      <w:bookmarkEnd w:id="4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298,816,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572.16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45,254,1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253,562,4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258,756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,714.63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35,653,36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223,103,35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1,470,5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1,470,500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300,287,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072.16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46,724,6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15.56%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253,562,4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260,227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,214.63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37,123,86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223,103,35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2.96</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137,272,806.11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6,863,640.31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35,869,481.90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3,586,948.19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23,281,138.29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6,984,341.49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8,549,334.06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4,274,667.03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3,193,444.95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2,554,755.96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3,444,843.08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3,444,843.08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211,611,048.39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27,709,196.06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r>
    </w:tbl>
    <w:p>
      <w:pPr>
        <w:pStyle w:val="BodyText"/>
        <w:spacing w:line="240" w:lineRule="auto" w:before="51"/>
        <w:ind w:left="154" w:right="1235"/>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100" w:bottom="1160" w:left="980" w:right="0"/>
        </w:sectPr>
      </w:pPr>
    </w:p>
    <w:p>
      <w:pPr>
        <w:spacing w:line="240" w:lineRule="auto" w:before="12"/>
        <w:rPr>
          <w:rFonts w:ascii="宋体" w:hAnsi="宋体" w:cs="宋体" w:eastAsia="宋体" w:hint="default"/>
          <w:sz w:val="24"/>
          <w:szCs w:val="24"/>
        </w:rPr>
      </w:pPr>
    </w:p>
    <w:tbl>
      <w:tblPr>
        <w:tblW w:w="0" w:type="auto"/>
        <w:jc w:val="left"/>
        <w:tblInd w:w="202" w:type="dxa"/>
        <w:tblLayout w:type="fixed"/>
        <w:tblCellMar>
          <w:top w:w="0" w:type="dxa"/>
          <w:left w:w="0" w:type="dxa"/>
          <w:bottom w:w="0" w:type="dxa"/>
          <w:right w:w="0" w:type="dxa"/>
        </w:tblCellMar>
        <w:tblLook w:val="01E0"/>
      </w:tblPr>
      <w:tblGrid>
        <w:gridCol w:w="3324"/>
        <w:gridCol w:w="2005"/>
        <w:gridCol w:w="2325"/>
        <w:gridCol w:w="2003"/>
      </w:tblGrid>
      <w:tr>
        <w:trPr>
          <w:trHeight w:val="337" w:hRule="exact"/>
        </w:trPr>
        <w:tc>
          <w:tcPr>
            <w:tcW w:w="33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3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324" w:type="dxa"/>
            <w:vMerge/>
            <w:tcBorders>
              <w:left w:val="single" w:sz="4" w:space="0" w:color="000000"/>
              <w:bottom w:val="single" w:sz="4" w:space="0" w:color="000000"/>
              <w:right w:val="single" w:sz="4" w:space="0" w:color="000000"/>
            </w:tcBorders>
            <w:shd w:val="clear" w:color="auto" w:fill="D2D2D2"/>
          </w:tcPr>
          <w:p>
            <w:pP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36"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200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39,089,062.63</w:t>
            </w:r>
          </w:p>
        </w:tc>
        <w:tc>
          <w:tcPr>
            <w:tcW w:w="23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3,908,906.26</w:t>
            </w:r>
          </w:p>
        </w:tc>
        <w:tc>
          <w:tcPr>
            <w:tcW w:w="20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8,275,273.68</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4,137,636.84</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w:t>
            </w:r>
          </w:p>
        </w:tc>
      </w:tr>
      <w:tr>
        <w:trPr>
          <w:trHeight w:val="34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9,498,422.00</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9,498,422.00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56,862,758.31</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17,544,965.10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30.85%</w:t>
            </w:r>
          </w:p>
        </w:tc>
      </w:tr>
    </w:tbl>
    <w:p>
      <w:pPr>
        <w:pStyle w:val="BodyText"/>
        <w:spacing w:line="240" w:lineRule="auto" w:before="51"/>
        <w:ind w:left="214" w:right="0"/>
        <w:jc w:val="left"/>
      </w:pPr>
      <w:r>
        <w:rPr/>
        <w:t>单项金额虽不重大但单项计提坏账准备的应收账款</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58"/>
        <w:gridCol w:w="2122"/>
        <w:gridCol w:w="2209"/>
        <w:gridCol w:w="1697"/>
        <w:gridCol w:w="1969"/>
      </w:tblGrid>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本期计提、收回或转回的坏账准备情况" w:id="439"/>
      <w:bookmarkEnd w:id="4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t>本期计提坏账准备金额</w:t>
      </w:r>
      <w:r>
        <w:rPr>
          <w:spacing w:val="-47"/>
        </w:rPr>
        <w:t> </w:t>
      </w:r>
      <w:r>
        <w:rPr>
          <w:rFonts w:ascii="Times New Roman" w:hAnsi="Times New Roman" w:cs="Times New Roman" w:eastAsia="Times New Roman" w:hint="default"/>
        </w:rPr>
        <w:t>9,600,799.49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213" w:right="0"/>
        <w:jc w:val="left"/>
        <w:rPr>
          <w:b w:val="0"/>
          <w:bCs w:val="0"/>
        </w:rPr>
      </w:pPr>
      <w:bookmarkStart w:name="（3）本期实际核销的应收账款情况" w:id="440"/>
      <w:bookmarkEnd w:id="4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3"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0"/>
        <w:jc w:val="left"/>
        <w:rPr>
          <w:b w:val="0"/>
          <w:bCs w:val="0"/>
        </w:rPr>
      </w:pPr>
      <w:bookmarkStart w:name="（4）按欠款方归集的期末余额前五名的应收账款情况" w:id="441"/>
      <w:bookmarkEnd w:id="4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99" w:type="dxa"/>
        <w:tblLayout w:type="fixed"/>
        <w:tblCellMar>
          <w:top w:w="0" w:type="dxa"/>
          <w:left w:w="0" w:type="dxa"/>
          <w:bottom w:w="0" w:type="dxa"/>
          <w:right w:w="0" w:type="dxa"/>
        </w:tblCellMar>
        <w:tblLook w:val="01E0"/>
      </w:tblPr>
      <w:tblGrid>
        <w:gridCol w:w="3997"/>
        <w:gridCol w:w="2227"/>
        <w:gridCol w:w="1449"/>
        <w:gridCol w:w="1986"/>
      </w:tblGrid>
      <w:tr>
        <w:trPr>
          <w:trHeight w:val="347" w:hRule="exact"/>
        </w:trPr>
        <w:tc>
          <w:tcPr>
            <w:tcW w:w="3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5662" w:type="dxa"/>
            <w:gridSpan w:val="3"/>
            <w:tcBorders>
              <w:top w:val="single" w:sz="4" w:space="0" w:color="000000"/>
              <w:left w:val="single" w:sz="4" w:space="0" w:color="000000"/>
              <w:bottom w:val="single" w:sz="4" w:space="0" w:color="D2D2D2"/>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7" w:hRule="exact"/>
        </w:trPr>
        <w:tc>
          <w:tcPr>
            <w:tcW w:w="3997" w:type="dxa"/>
            <w:vMerge/>
            <w:tcBorders>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58" w:right="0"/>
              <w:jc w:val="left"/>
              <w:rPr>
                <w:rFonts w:ascii="宋体" w:hAnsi="宋体" w:cs="宋体" w:eastAsia="宋体" w:hint="default"/>
                <w:sz w:val="18"/>
                <w:szCs w:val="18"/>
              </w:rPr>
            </w:pPr>
            <w:r>
              <w:rPr>
                <w:rFonts w:ascii="宋体" w:hAnsi="宋体" w:cs="宋体" w:eastAsia="宋体" w:hint="default"/>
                <w:sz w:val="18"/>
                <w:szCs w:val="18"/>
              </w:rPr>
              <w:t>余额占比</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32,477,606.48</w:t>
            </w:r>
          </w:p>
        </w:tc>
        <w:tc>
          <w:tcPr>
            <w:tcW w:w="14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10.82%</w:t>
            </w:r>
          </w:p>
        </w:tc>
        <w:tc>
          <w:tcPr>
            <w:tcW w:w="19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2,393,382.03</w:t>
            </w:r>
          </w:p>
        </w:tc>
      </w:tr>
      <w:tr>
        <w:trPr>
          <w:trHeight w:val="34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25,753,503.62</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1,641,753.45</w:t>
            </w:r>
          </w:p>
        </w:tc>
      </w:tr>
      <w:tr>
        <w:trPr>
          <w:trHeight w:val="34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22,155,060.00</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3,123,573.00</w:t>
            </w:r>
          </w:p>
        </w:tc>
      </w:tr>
      <w:tr>
        <w:trPr>
          <w:trHeight w:val="34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17,191,782.99</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12,703,606.80</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4.23%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2,585,181.28</w:t>
            </w:r>
          </w:p>
        </w:tc>
      </w:tr>
      <w:tr>
        <w:trPr>
          <w:trHeight w:val="34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110,281,559.89</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36.73%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9,743,889.76</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bookmarkStart w:name="（5）因金融资产转移而终止确认的应收账款" w:id="442"/>
      <w:bookmarkEnd w:id="4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6）转移应收账款且继续涉入形成的资产、负债金额" w:id="443"/>
      <w:bookmarkEnd w:id="4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left"/>
      </w:pPr>
      <w:r>
        <w:rPr/>
        <w:t>无</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其他应收款" w:id="444"/>
      <w:bookmarkEnd w:id="4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其他应收款分类披露" w:id="445"/>
      <w:bookmarkEnd w:id="4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61,157,4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1,374,93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59,782,55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40,575,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806,200.9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39,769,199.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61,157,4</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89.15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1,374,93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59,782,55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40,575,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400.54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806,200.9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39,769,199.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13,831,845.90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691,592.80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1,706,067.33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511,820.20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15,640.15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113,083.70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16,105,027.23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1,374,936.85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w:t>
            </w:r>
          </w:p>
        </w:tc>
      </w:tr>
    </w:tbl>
    <w:p>
      <w:pPr>
        <w:pStyle w:val="BodyText"/>
        <w:spacing w:line="240" w:lineRule="auto" w:before="51"/>
        <w:ind w:left="154" w:right="1235"/>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2）本期计提、收回或转回的坏账准备情况" w:id="446"/>
      <w:bookmarkEnd w:id="4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本期计提坏账准备金额</w:t>
      </w:r>
      <w:r>
        <w:rPr>
          <w:spacing w:val="-46"/>
        </w:rPr>
        <w:t> </w:t>
      </w:r>
      <w:r>
        <w:rPr>
          <w:rFonts w:ascii="Times New Roman" w:hAnsi="Times New Roman" w:cs="Times New Roman" w:eastAsia="Times New Roman" w:hint="default"/>
        </w:rPr>
        <w:t>568,735.93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3）本期实际核销的其他应收款情况" w:id="447"/>
      <w:bookmarkEnd w:id="44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4）其他应收款按款项性质分类情况" w:id="448"/>
      <w:bookmarkEnd w:id="44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8,490,948.48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5,245,857.43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5,636,763.73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761,538.81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712,950.31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45,052,461.92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32,849,692.24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1,215,776.21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1,766,900.56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61,157,489.15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40,575,400.54</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5）按欠款方归集的期末余额前五名的其他应收款情况" w:id="449"/>
      <w:bookmarkEnd w:id="44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42,557,807.24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5,636,763.73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281,838.19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2,368,575.84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118,428.79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1,749,914.13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949,424.75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47,471.24</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53,262,485.69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447,738.22</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6）涉及政府补助的应收款项" w:id="450"/>
      <w:bookmarkEnd w:id="45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56.459999pt;margin-top:-36.568283pt;width:479.25pt;height:92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深圳市南山区国家税务 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增值税超税负返还</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5,636,763.73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已全额收到上述款项。</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5,636,763.73</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7）因金融资产转移而终止确认的其他应收款" w:id="451"/>
      <w:bookmarkEnd w:id="45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8）转移其他应收款且继续涉入形成的资产、负债金额" w:id="452"/>
      <w:bookmarkEnd w:id="45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35"/>
        <w:jc w:val="left"/>
      </w:pPr>
      <w:r>
        <w:rPr/>
        <w:t>无</w:t>
      </w:r>
    </w:p>
    <w:p>
      <w:pPr>
        <w:spacing w:line="240" w:lineRule="auto" w:before="10"/>
        <w:rPr>
          <w:rFonts w:ascii="宋体" w:hAnsi="宋体" w:cs="宋体" w:eastAsia="宋体" w:hint="default"/>
          <w:sz w:val="26"/>
          <w:szCs w:val="26"/>
        </w:rPr>
      </w:pPr>
    </w:p>
    <w:p>
      <w:pPr>
        <w:pStyle w:val="Heading3"/>
        <w:spacing w:line="240" w:lineRule="auto"/>
        <w:ind w:right="1235"/>
        <w:jc w:val="left"/>
        <w:rPr>
          <w:b w:val="0"/>
          <w:bCs w:val="0"/>
        </w:rPr>
      </w:pPr>
      <w:bookmarkStart w:name="3、长期股权投资" w:id="453"/>
      <w:bookmarkEnd w:id="4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355,532,100.00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355,532,100.00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68,700,000.00</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1）对子公司投资" w:id="454"/>
      <w:bookmarkEnd w:id="4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青岛金溢科技有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广东华信金溢信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7,100,000.00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伟龙金溢科技（深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北京中交金溢科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无锡金溢科技有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佛山金溢科技有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286,809,600.00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306,809,600.00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68,700,000.00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286,832,100.00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235"/>
        <w:jc w:val="left"/>
        <w:rPr>
          <w:b w:val="0"/>
          <w:bCs w:val="0"/>
        </w:rPr>
      </w:pPr>
      <w:bookmarkStart w:name="（2）对联营、合营企业投资" w:id="455"/>
      <w:bookmarkEnd w:id="45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235"/>
        <w:jc w:val="left"/>
      </w:pPr>
      <w:r>
        <w:rPr/>
        <w:t>无</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left="153" w:right="1235"/>
        <w:jc w:val="left"/>
        <w:rPr>
          <w:b w:val="0"/>
          <w:bCs w:val="0"/>
        </w:rPr>
      </w:pPr>
      <w:bookmarkStart w:name="（3）其他说明" w:id="456"/>
      <w:bookmarkEnd w:id="45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35"/>
        <w:jc w:val="left"/>
        <w:rPr>
          <w:b w:val="0"/>
          <w:bCs w:val="0"/>
        </w:rPr>
      </w:pPr>
      <w:bookmarkStart w:name="4、营业收入和营业成本" w:id="457"/>
      <w:bookmarkEnd w:id="45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605,481,013.51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350,328,124.37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655,063,779.26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350,841,932.34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3,719,415.50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256,695.83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8,232,825.38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6,852,679.31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609,200,429.01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350,584,820.20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663,296,604.64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357,694,611.65</w:t>
            </w: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5、投资收益" w:id="458"/>
      <w:bookmarkEnd w:id="45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2,967,123.29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2,967,123.29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35"/>
        <w:jc w:val="left"/>
        <w:rPr>
          <w:b w:val="0"/>
          <w:bCs w:val="0"/>
        </w:rPr>
      </w:pPr>
      <w:bookmarkStart w:name="6、其他" w:id="459"/>
      <w:bookmarkEnd w:id="45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235"/>
        <w:jc w:val="left"/>
        <w:rPr>
          <w:b w:val="0"/>
          <w:bCs w:val="0"/>
        </w:rPr>
      </w:pPr>
      <w:bookmarkStart w:name="十八、补充资料" w:id="460"/>
      <w:bookmarkEnd w:id="46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1、当期非经常性损益明细表" w:id="461"/>
      <w:bookmarkEnd w:id="46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40,327.88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13,203,573.18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研发项目补助及其他补助</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3,956,289.96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公司购买理财产品产生的收益</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-890,160.90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16,310,030.12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2,579,955.50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10,065.16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13,720,009.46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2、净资产收益率及每股收益" w:id="462"/>
      <w:bookmarkEnd w:id="46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r>
    </w:tbl>
    <w:p>
      <w:pPr>
        <w:spacing w:line="240" w:lineRule="auto" w:before="2"/>
        <w:rPr>
          <w:rFonts w:ascii="宋体" w:hAnsi="宋体" w:cs="宋体" w:eastAsia="宋体" w:hint="default"/>
          <w:b/>
          <w:bCs/>
          <w:sz w:val="19"/>
          <w:szCs w:val="19"/>
        </w:rPr>
      </w:pPr>
    </w:p>
    <w:p>
      <w:pPr>
        <w:pStyle w:val="Heading3"/>
        <w:spacing w:line="240" w:lineRule="auto" w:before="35"/>
        <w:ind w:right="1235"/>
        <w:jc w:val="left"/>
        <w:rPr>
          <w:b w:val="0"/>
          <w:bCs w:val="0"/>
        </w:rPr>
      </w:pPr>
      <w:bookmarkStart w:name="3、境内外会计准则下会计数据差异" w:id="463"/>
      <w:bookmarkEnd w:id="46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35"/>
        <w:jc w:val="left"/>
        <w:rPr>
          <w:b w:val="0"/>
          <w:bCs w:val="0"/>
        </w:rPr>
      </w:pPr>
      <w:bookmarkStart w:name="（1）同时按照国际会计准则与按中国会计准则披露的财务报告中净利润和净资产差异情况" w:id="464"/>
      <w:bookmarkEnd w:id="46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235"/>
        <w:jc w:val="left"/>
        <w:rPr>
          <w:b w:val="0"/>
          <w:bCs w:val="0"/>
        </w:rPr>
      </w:pPr>
      <w:bookmarkStart w:name="（2）同时按照境外会计准则与按中国会计准则披露的财务报告中净利润和净资产差异情况" w:id="465"/>
      <w:bookmarkEnd w:id="46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2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66"/>
      <w:bookmarkEnd w:id="46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35"/>
        <w:jc w:val="left"/>
        <w:rPr>
          <w:b w:val="0"/>
          <w:bCs w:val="0"/>
        </w:rPr>
      </w:pPr>
      <w:bookmarkStart w:name="4、其他" w:id="467"/>
      <w:bookmarkEnd w:id="46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1235"/>
        <w:jc w:val="left"/>
        <w:rPr>
          <w:b w:val="0"/>
          <w:bCs w:val="0"/>
        </w:rPr>
      </w:pPr>
      <w:bookmarkStart w:name="第十二节 备查文件目录" w:id="468"/>
      <w:bookmarkEnd w:id="468"/>
      <w:r>
        <w:rPr>
          <w:b w:val="0"/>
          <w:bCs w:val="0"/>
        </w:rPr>
      </w:r>
      <w:bookmarkStart w:name="_bookmark11" w:id="469"/>
      <w:bookmarkEnd w:id="469"/>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355" w:lineRule="auto"/>
        <w:ind w:right="3553"/>
        <w:jc w:val="left"/>
      </w:pPr>
      <w:r>
        <w:rPr/>
        <w:t>一、载有公司法定代表人、主管会计工作负责人、会计机构负责人签名并盖章的财务报表。 二、载有会计师事务所盖章、注册会计师签名并盖章的审计报告原件。 三、载有公司法定代表人签名并盖章的</w:t>
      </w:r>
      <w:r>
        <w:rPr>
          <w:rFonts w:ascii="Times New Roman" w:hAnsi="Times New Roman" w:cs="Times New Roman" w:eastAsia="Times New Roman" w:hint="default"/>
        </w:rPr>
        <w:t>2017</w:t>
      </w:r>
      <w:r>
        <w:rPr/>
        <w:t>年年度报告原件。 四、报告期内在中国证监会指定报纸上公开披露过的所有公司文件的正本及公告的原稿。 五、以上文件均齐备、完整，并备于本公司董事会办公室以供查阅。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130"/>
        <w:jc w:val="right"/>
      </w:pPr>
      <w:r>
        <w:rPr/>
        <w:t>深圳市金溢科技股份有限公司</w:t>
      </w:r>
    </w:p>
    <w:p>
      <w:pPr>
        <w:pStyle w:val="BodyText"/>
        <w:spacing w:line="357" w:lineRule="auto" w:before="116"/>
        <w:ind w:left="7813" w:right="1130" w:firstLine="720"/>
        <w:jc w:val="right"/>
      </w:pPr>
      <w:r>
        <w:rPr/>
        <w:t>董事长：罗瑞发 二〇一八年四月二十四日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944" type="#_x0000_t75" stroked="false">
          <v:imagedata r:id="rId1" o:title=""/>
        </v:shape>
      </w:pict>
    </w:r>
    <w:r>
      <w:rPr/>
      <w:pict>
        <v:shape style="position:absolute;margin-left:527.679993pt;margin-top:781.957947pt;width:13pt;height:11pt;mso-position-horizontal-relative:page;mso-position-vertical-relative:page;z-index:-956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56824" type="#_x0000_t75" stroked="false">
          <v:imagedata r:id="rId1" o:title=""/>
        </v:shape>
      </w:pict>
    </w:r>
    <w:r>
      <w:rPr/>
      <w:pict>
        <v:shape style="position:absolute;margin-left:758.97998pt;margin-top:535.357971pt;width:13pt;height:11pt;mso-position-horizontal-relative:page;mso-position-vertical-relative:page;z-index:-956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728" type="#_x0000_t75" stroked="false">
          <v:imagedata r:id="rId1" o:title=""/>
        </v:shape>
      </w:pict>
    </w:r>
    <w:r>
      <w:rPr/>
      <w:pict>
        <v:shape style="position:absolute;margin-left:527.679993pt;margin-top:781.957947pt;width:13pt;height:11pt;mso-position-horizontal-relative:page;mso-position-vertical-relative:page;z-index:-956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56656" type="#_x0000_t75" stroked="false">
          <v:imagedata r:id="rId1" o:title=""/>
        </v:shape>
      </w:pict>
    </w:r>
    <w:r>
      <w:rPr/>
      <w:pict>
        <v:shape style="position:absolute;margin-left:758.97998pt;margin-top:535.357971pt;width:13pt;height:11pt;mso-position-horizontal-relative:page;mso-position-vertical-relative:page;z-index:-956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560" type="#_x0000_t75" stroked="false">
          <v:imagedata r:id="rId1" o:title=""/>
        </v:shape>
      </w:pict>
    </w:r>
    <w:r>
      <w:rPr/>
      <w:pict>
        <v:shape style="position:absolute;margin-left:527.679993pt;margin-top:781.957947pt;width:13pt;height:11pt;mso-position-horizontal-relative:page;mso-position-vertical-relative:page;z-index:-956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512" type="#_x0000_t75" stroked="false">
          <v:imagedata r:id="rId1" o:title=""/>
        </v:shape>
      </w:pict>
    </w:r>
    <w:r>
      <w:rPr/>
      <w:pict>
        <v:shape style="position:absolute;margin-left:524.179993pt;margin-top:781.957947pt;width:15.5pt;height:11pt;mso-position-horizontal-relative:page;mso-position-vertical-relative:page;z-index:-956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464" type="#_x0000_t75" stroked="false">
          <v:imagedata r:id="rId1" o:title=""/>
        </v:shape>
      </w:pict>
    </w:r>
    <w:r>
      <w:rPr/>
      <w:pict>
        <v:shape style="position:absolute;margin-left:523.179993pt;margin-top:781.957947pt;width:17.5pt;height:11pt;mso-position-horizontal-relative:page;mso-position-vertical-relative:page;z-index:-956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416" type="#_x0000_t75" stroked="false">
          <v:imagedata r:id="rId1" o:title=""/>
        </v:shape>
      </w:pict>
    </w:r>
    <w:r>
      <w:rPr/>
      <w:pict>
        <v:shape style="position:absolute;margin-left:523.179993pt;margin-top:781.957947pt;width:17.5pt;height:11pt;mso-position-horizontal-relative:page;mso-position-vertical-relative:page;z-index:-956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6368" type="#_x0000_t75" stroked="false">
          <v:imagedata r:id="rId1" o:title=""/>
        </v:shape>
      </w:pict>
    </w:r>
    <w:r>
      <w:rPr/>
      <w:pict>
        <v:shape style="position:absolute;margin-left:523.179993pt;margin-top:781.957947pt;width:17.5pt;height:11pt;mso-position-horizontal-relative:page;mso-position-vertical-relative:page;z-index:-956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569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60004pt;margin-top:42.865608pt;width:204.55pt;height:11.5pt;mso-position-horizontal-relative:page;mso-position-vertical-relative:page;z-index:-956968"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568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956872"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956848"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567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53.160004pt;margin-top:42.865608pt;width:186.55pt;height:11.5pt;mso-position-horizontal-relative:page;mso-position-vertical-relative:page;z-index:-956752"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60022pt;margin-top:42.865631pt;width:186.55pt;height:11.5pt;mso-position-horizontal-relative:page;mso-position-vertical-relative:page;z-index:-956680"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566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56584"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42"/>
      <w:ind w:left="154"/>
    </w:pPr>
    <w:rPr>
      <w:rFonts w:ascii="宋体" w:hAnsi="宋体" w:eastAsia="宋体"/>
      <w:sz w:val="22"/>
      <w:szCs w:val="22"/>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2"/>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baike.baidu.com/item/%E6%99%BA%E8%83%BD%E4%BA%A4%E9%80%9A%E7%B3%BB%E7%BB%9F" TargetMode="External"/><Relationship Id="rId9" Type="http://schemas.openxmlformats.org/officeDocument/2006/relationships/hyperlink" Target="http://www.genvict.com/" TargetMode="External"/><Relationship Id="rId10" Type="http://schemas.openxmlformats.org/officeDocument/2006/relationships/hyperlink" Target="mailto:ir@genvict.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yperlink" Target="http://www/" TargetMode="Externa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yperlink" Target="http://www.cninfo.com.cm/" TargetMode="External"/><Relationship Id="rId23" Type="http://schemas.openxmlformats.org/officeDocument/2006/relationships/image" Target="media/image3.jpe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深圳市金溢科技股份有限公司</dc:creator>
  <dc:title>深圳市金溢科技股份有限公司2017年年度报告</dc:title>
  <dcterms:created xsi:type="dcterms:W3CDTF">2020-05-02T23:26:28Z</dcterms:created>
  <dcterms:modified xsi:type="dcterms:W3CDTF">2020-05-02T23:26:28Z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